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adjustRightInd/>
        <w:spacing w:line="560" w:lineRule="exact"/>
        <w:jc w:val="center"/>
        <w:textAlignment w:val="auto"/>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highlight w:val="none"/>
          <w:lang w:val="en-US" w:eastAsia="zh-CN"/>
        </w:rPr>
        <w:t>昆明市呈贡区残疾人联合会</w:t>
      </w:r>
      <w:r>
        <w:rPr>
          <w:rFonts w:hint="eastAsia" w:ascii="方正小标宋简体" w:hAnsi="方正小标宋简体" w:eastAsia="方正小标宋简体" w:cs="方正小标宋简体"/>
          <w:sz w:val="36"/>
          <w:szCs w:val="36"/>
          <w:highlight w:val="none"/>
          <w:lang w:val="en-US" w:eastAsia="zh-CN"/>
        </w:rPr>
        <w:t>2025</w:t>
      </w:r>
      <w:r>
        <w:rPr>
          <w:rFonts w:hint="eastAsia" w:ascii="方正小标宋简体" w:hAnsi="方正小标宋简体" w:eastAsia="方正小标宋简体" w:cs="方正小标宋简体"/>
          <w:sz w:val="36"/>
          <w:szCs w:val="36"/>
          <w:highlight w:val="none"/>
        </w:rPr>
        <w:t>年度部门决算</w:t>
      </w:r>
    </w:p>
    <w:p>
      <w:pPr>
        <w:keepNext w:val="0"/>
        <w:keepLines w:val="0"/>
        <w:pageBreakBefore w:val="0"/>
        <w:kinsoku/>
        <w:overflowPunct/>
        <w:topLinePunct w:val="0"/>
        <w:autoSpaceDE/>
        <w:autoSpaceDN/>
        <w:bidi w:val="0"/>
        <w:adjustRightInd/>
        <w:spacing w:line="560" w:lineRule="exact"/>
        <w:jc w:val="center"/>
        <w:textAlignment w:val="auto"/>
        <w:rPr>
          <w:rFonts w:hint="eastAsia" w:ascii="方正小标宋简体" w:hAnsi="方正小标宋简体" w:eastAsia="方正小标宋简体" w:cs="方正小标宋简体"/>
          <w:sz w:val="36"/>
          <w:szCs w:val="36"/>
          <w:highlight w:val="none"/>
        </w:rPr>
      </w:pPr>
    </w:p>
    <w:p>
      <w:pPr>
        <w:keepNext w:val="0"/>
        <w:keepLines w:val="0"/>
        <w:pageBreakBefore w:val="0"/>
        <w:kinsoku/>
        <w:overflowPunct/>
        <w:topLinePunct w:val="0"/>
        <w:autoSpaceDE/>
        <w:autoSpaceDN/>
        <w:bidi w:val="0"/>
        <w:adjustRightInd/>
        <w:spacing w:line="560" w:lineRule="exact"/>
        <w:jc w:val="center"/>
        <w:textAlignment w:val="auto"/>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pPr>
        <w:keepNext w:val="0"/>
        <w:keepLines w:val="0"/>
        <w:pageBreakBefore w:val="0"/>
        <w:kinsoku/>
        <w:overflowPunct/>
        <w:topLinePunct w:val="0"/>
        <w:autoSpaceDE/>
        <w:autoSpaceDN/>
        <w:bidi w:val="0"/>
        <w:adjustRightInd/>
        <w:spacing w:line="560" w:lineRule="exact"/>
        <w:jc w:val="left"/>
        <w:textAlignment w:val="auto"/>
        <w:rPr>
          <w:rFonts w:hint="eastAsia" w:ascii="黑体" w:hAnsi="黑体" w:eastAsia="黑体"/>
          <w:sz w:val="30"/>
          <w:szCs w:val="30"/>
          <w:highlight w:val="none"/>
        </w:rPr>
      </w:pPr>
    </w:p>
    <w:p>
      <w:pPr>
        <w:keepNext w:val="0"/>
        <w:keepLines w:val="0"/>
        <w:pageBreakBefore w:val="0"/>
        <w:kinsoku/>
        <w:overflowPunct/>
        <w:topLinePunct w:val="0"/>
        <w:autoSpaceDE/>
        <w:autoSpaceDN/>
        <w:bidi w:val="0"/>
        <w:adjustRightInd/>
        <w:spacing w:line="56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部门</w:t>
      </w:r>
      <w:r>
        <w:rPr>
          <w:rFonts w:hint="eastAsia" w:ascii="黑体" w:hAnsi="黑体" w:eastAsia="黑体"/>
          <w:sz w:val="30"/>
          <w:szCs w:val="30"/>
          <w:highlight w:val="none"/>
        </w:rPr>
        <w:t>概况</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pPr>
        <w:keepNext w:val="0"/>
        <w:keepLines w:val="0"/>
        <w:pageBreakBefore w:val="0"/>
        <w:kinsoku/>
        <w:overflowPunct/>
        <w:topLinePunct w:val="0"/>
        <w:autoSpaceDE/>
        <w:autoSpaceDN/>
        <w:bidi w:val="0"/>
        <w:adjustRightInd/>
        <w:spacing w:line="56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w:t>
      </w:r>
      <w:r>
        <w:rPr>
          <w:rFonts w:hint="eastAsia" w:ascii="黑体" w:hAnsi="黑体" w:eastAsia="黑体"/>
          <w:sz w:val="30"/>
          <w:szCs w:val="30"/>
          <w:highlight w:val="none"/>
        </w:rPr>
        <w:t>年度部门决算表</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pPr>
        <w:keepNext w:val="0"/>
        <w:keepLines w:val="0"/>
        <w:pageBreakBefore w:val="0"/>
        <w:kinsoku/>
        <w:overflowPunct/>
        <w:topLinePunct w:val="0"/>
        <w:autoSpaceDE/>
        <w:autoSpaceDN/>
        <w:bidi w:val="0"/>
        <w:adjustRightInd/>
        <w:spacing w:line="560" w:lineRule="exact"/>
        <w:jc w:val="left"/>
        <w:textAlignment w:val="auto"/>
        <w:outlineLvl w:val="0"/>
        <w:rPr>
          <w:rFonts w:hint="eastAsia" w:ascii="楷体" w:hAnsi="楷体" w:eastAsia="楷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w:t>
      </w:r>
      <w:r>
        <w:rPr>
          <w:rFonts w:hint="eastAsia" w:ascii="黑体" w:hAnsi="黑体" w:eastAsia="黑体"/>
          <w:sz w:val="30"/>
          <w:szCs w:val="30"/>
          <w:highlight w:val="none"/>
        </w:rPr>
        <w:t>年度部门决算情况说明</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pPr>
        <w:keepNext w:val="0"/>
        <w:keepLines w:val="0"/>
        <w:pageBreakBefore w:val="0"/>
        <w:widowControl/>
        <w:kinsoku/>
        <w:overflowPunct/>
        <w:topLinePunct w:val="0"/>
        <w:autoSpaceDE/>
        <w:autoSpaceDN/>
        <w:bidi w:val="0"/>
        <w:adjustRightInd/>
        <w:snapToGrid w:val="0"/>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pPr>
        <w:keepNext w:val="0"/>
        <w:keepLines w:val="0"/>
        <w:pageBreakBefore w:val="0"/>
        <w:widowControl/>
        <w:kinsoku/>
        <w:overflowPunct/>
        <w:topLinePunct w:val="0"/>
        <w:autoSpaceDE/>
        <w:autoSpaceDN/>
        <w:bidi w:val="0"/>
        <w:adjustRightInd/>
        <w:snapToGrid w:val="0"/>
        <w:spacing w:line="56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部门绩效自评情况</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pPr>
        <w:keepNext w:val="0"/>
        <w:keepLines w:val="0"/>
        <w:pageBreakBefore w:val="0"/>
        <w:kinsoku/>
        <w:overflowPunct/>
        <w:topLinePunct w:val="0"/>
        <w:autoSpaceDE/>
        <w:autoSpaceDN/>
        <w:bidi w:val="0"/>
        <w:adjustRightInd/>
        <w:spacing w:line="56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pPr>
        <w:keepNext w:val="0"/>
        <w:keepLines w:val="0"/>
        <w:pageBreakBefore w:val="0"/>
        <w:widowControl/>
        <w:kinsoku/>
        <w:overflowPunct/>
        <w:topLinePunct w:val="0"/>
        <w:autoSpaceDE/>
        <w:autoSpaceDN/>
        <w:bidi w:val="0"/>
        <w:adjustRightInd/>
        <w:snapToGrid w:val="0"/>
        <w:spacing w:line="56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pPr>
        <w:keepNext w:val="0"/>
        <w:keepLines w:val="0"/>
        <w:pageBreakBefore w:val="0"/>
        <w:kinsoku/>
        <w:overflowPunct/>
        <w:topLinePunct w:val="0"/>
        <w:autoSpaceDE/>
        <w:autoSpaceDN/>
        <w:bidi w:val="0"/>
        <w:adjustRightInd/>
        <w:spacing w:line="560" w:lineRule="exact"/>
        <w:jc w:val="center"/>
        <w:textAlignment w:val="auto"/>
        <w:rPr>
          <w:rFonts w:hint="eastAsia" w:ascii="黑体" w:hAnsi="黑体" w:eastAsia="黑体"/>
          <w:sz w:val="32"/>
          <w:szCs w:val="32"/>
          <w:highlight w:val="none"/>
        </w:rPr>
      </w:pPr>
    </w:p>
    <w:p>
      <w:pPr>
        <w:keepNext w:val="0"/>
        <w:keepLines w:val="0"/>
        <w:pageBreakBefore w:val="0"/>
        <w:kinsoku/>
        <w:overflowPunct/>
        <w:topLinePunct w:val="0"/>
        <w:autoSpaceDE/>
        <w:autoSpaceDN/>
        <w:bidi w:val="0"/>
        <w:adjustRightInd/>
        <w:spacing w:line="560" w:lineRule="exact"/>
        <w:jc w:val="center"/>
        <w:textAlignment w:val="auto"/>
        <w:rPr>
          <w:rFonts w:hint="eastAsia" w:ascii="黑体" w:hAnsi="黑体" w:eastAsia="黑体"/>
          <w:sz w:val="32"/>
          <w:szCs w:val="32"/>
          <w:highlight w:val="none"/>
        </w:rPr>
      </w:pPr>
    </w:p>
    <w:p>
      <w:pPr>
        <w:keepNext w:val="0"/>
        <w:keepLines w:val="0"/>
        <w:pageBreakBefore w:val="0"/>
        <w:kinsoku/>
        <w:overflowPunct/>
        <w:topLinePunct w:val="0"/>
        <w:autoSpaceDE/>
        <w:autoSpaceDN/>
        <w:bidi w:val="0"/>
        <w:adjustRightInd/>
        <w:spacing w:line="560" w:lineRule="exact"/>
        <w:jc w:val="center"/>
        <w:textAlignment w:val="auto"/>
        <w:rPr>
          <w:rFonts w:hint="eastAsia" w:ascii="黑体" w:hAnsi="黑体" w:eastAsia="黑体"/>
          <w:sz w:val="32"/>
          <w:szCs w:val="32"/>
          <w:highlight w:val="none"/>
        </w:rPr>
      </w:pPr>
    </w:p>
    <w:p>
      <w:pPr>
        <w:keepNext w:val="0"/>
        <w:keepLines w:val="0"/>
        <w:pageBreakBefore w:val="0"/>
        <w:kinsoku/>
        <w:overflowPunct/>
        <w:topLinePunct w:val="0"/>
        <w:autoSpaceDE/>
        <w:autoSpaceDN/>
        <w:bidi w:val="0"/>
        <w:adjustRightInd/>
        <w:spacing w:line="560" w:lineRule="exact"/>
        <w:jc w:val="center"/>
        <w:textAlignment w:val="auto"/>
        <w:rPr>
          <w:rFonts w:hint="eastAsia" w:ascii="黑体" w:hAnsi="黑体" w:eastAsia="黑体"/>
          <w:sz w:val="32"/>
          <w:szCs w:val="32"/>
          <w:highlight w:val="none"/>
        </w:rPr>
      </w:pPr>
    </w:p>
    <w:p>
      <w:pPr>
        <w:keepNext w:val="0"/>
        <w:keepLines w:val="0"/>
        <w:pageBreakBefore w:val="0"/>
        <w:kinsoku/>
        <w:overflowPunct/>
        <w:topLinePunct w:val="0"/>
        <w:autoSpaceDE/>
        <w:autoSpaceDN/>
        <w:bidi w:val="0"/>
        <w:adjustRightInd/>
        <w:spacing w:line="560" w:lineRule="exact"/>
        <w:jc w:val="center"/>
        <w:textAlignment w:val="auto"/>
        <w:rPr>
          <w:rFonts w:hint="eastAsia" w:ascii="黑体" w:hAnsi="黑体" w:eastAsia="黑体"/>
          <w:sz w:val="32"/>
          <w:szCs w:val="32"/>
          <w:highlight w:val="none"/>
        </w:rPr>
      </w:pPr>
    </w:p>
    <w:p>
      <w:pPr>
        <w:keepNext w:val="0"/>
        <w:keepLines w:val="0"/>
        <w:pageBreakBefore w:val="0"/>
        <w:kinsoku/>
        <w:overflowPunct/>
        <w:topLinePunct w:val="0"/>
        <w:autoSpaceDE/>
        <w:autoSpaceDN/>
        <w:bidi w:val="0"/>
        <w:adjustRightInd/>
        <w:spacing w:line="560" w:lineRule="exact"/>
        <w:jc w:val="center"/>
        <w:textAlignment w:val="auto"/>
        <w:rPr>
          <w:rFonts w:hint="eastAsia" w:ascii="黑体" w:hAnsi="黑体" w:eastAsia="黑体"/>
          <w:sz w:val="32"/>
          <w:szCs w:val="32"/>
          <w:highlight w:val="none"/>
        </w:rPr>
      </w:pPr>
    </w:p>
    <w:p>
      <w:pPr>
        <w:keepNext w:val="0"/>
        <w:keepLines w:val="0"/>
        <w:pageBreakBefore w:val="0"/>
        <w:kinsoku/>
        <w:overflowPunct/>
        <w:topLinePunct w:val="0"/>
        <w:autoSpaceDE/>
        <w:autoSpaceDN/>
        <w:bidi w:val="0"/>
        <w:adjustRightInd/>
        <w:spacing w:line="560" w:lineRule="exact"/>
        <w:jc w:val="center"/>
        <w:textAlignment w:val="auto"/>
        <w:rPr>
          <w:rFonts w:hint="eastAsia" w:ascii="黑体" w:hAnsi="黑体" w:eastAsia="黑体"/>
          <w:sz w:val="32"/>
          <w:szCs w:val="32"/>
          <w:highlight w:val="none"/>
        </w:rPr>
      </w:pPr>
    </w:p>
    <w:p>
      <w:pPr>
        <w:keepNext w:val="0"/>
        <w:keepLines w:val="0"/>
        <w:pageBreakBefore w:val="0"/>
        <w:kinsoku/>
        <w:overflowPunct/>
        <w:topLinePunct w:val="0"/>
        <w:autoSpaceDE/>
        <w:autoSpaceDN/>
        <w:bidi w:val="0"/>
        <w:adjustRightInd/>
        <w:spacing w:line="560" w:lineRule="exact"/>
        <w:jc w:val="center"/>
        <w:textAlignment w:val="auto"/>
        <w:rPr>
          <w:rFonts w:hint="eastAsia" w:ascii="黑体" w:hAnsi="黑体" w:eastAsia="黑体"/>
          <w:sz w:val="32"/>
          <w:szCs w:val="32"/>
          <w:highlight w:val="none"/>
        </w:rPr>
      </w:pPr>
    </w:p>
    <w:p>
      <w:pPr>
        <w:keepNext w:val="0"/>
        <w:keepLines w:val="0"/>
        <w:pageBreakBefore w:val="0"/>
        <w:kinsoku/>
        <w:overflowPunct/>
        <w:topLinePunct w:val="0"/>
        <w:autoSpaceDE/>
        <w:autoSpaceDN/>
        <w:bidi w:val="0"/>
        <w:adjustRightInd/>
        <w:spacing w:line="560" w:lineRule="exact"/>
        <w:jc w:val="center"/>
        <w:textAlignment w:val="auto"/>
        <w:rPr>
          <w:rFonts w:hint="eastAsia" w:ascii="黑体" w:hAnsi="黑体" w:eastAsia="黑体"/>
          <w:sz w:val="32"/>
          <w:szCs w:val="32"/>
          <w:highlight w:val="none"/>
        </w:rPr>
      </w:pPr>
      <w:bookmarkStart w:id="0" w:name="_GoBack"/>
      <w:bookmarkEnd w:id="0"/>
    </w:p>
    <w:p>
      <w:pPr>
        <w:keepNext w:val="0"/>
        <w:keepLines w:val="0"/>
        <w:pageBreakBefore w:val="0"/>
        <w:kinsoku/>
        <w:overflowPunct/>
        <w:topLinePunct w:val="0"/>
        <w:autoSpaceDE/>
        <w:autoSpaceDN/>
        <w:bidi w:val="0"/>
        <w:adjustRightInd/>
        <w:spacing w:line="560" w:lineRule="exact"/>
        <w:jc w:val="both"/>
        <w:textAlignment w:val="auto"/>
        <w:rPr>
          <w:rFonts w:hint="eastAsia" w:ascii="黑体" w:hAnsi="黑体" w:eastAsia="黑体"/>
          <w:sz w:val="32"/>
          <w:szCs w:val="32"/>
          <w:highlight w:val="none"/>
        </w:rPr>
      </w:pPr>
    </w:p>
    <w:p>
      <w:pPr>
        <w:keepNext w:val="0"/>
        <w:keepLines w:val="0"/>
        <w:pageBreakBefore w:val="0"/>
        <w:kinsoku/>
        <w:overflowPunct/>
        <w:topLinePunct w:val="0"/>
        <w:autoSpaceDE/>
        <w:autoSpaceDN/>
        <w:bidi w:val="0"/>
        <w:adjustRightInd/>
        <w:spacing w:line="560" w:lineRule="exact"/>
        <w:jc w:val="both"/>
        <w:textAlignment w:val="auto"/>
        <w:rPr>
          <w:rFonts w:hint="eastAsia" w:ascii="黑体" w:hAnsi="黑体" w:eastAsia="黑体"/>
          <w:sz w:val="32"/>
          <w:szCs w:val="32"/>
          <w:highlight w:val="none"/>
        </w:rPr>
      </w:pPr>
    </w:p>
    <w:p>
      <w:pPr>
        <w:keepNext w:val="0"/>
        <w:keepLines w:val="0"/>
        <w:pageBreakBefore w:val="0"/>
        <w:kinsoku/>
        <w:overflowPunct/>
        <w:topLinePunct w:val="0"/>
        <w:autoSpaceDE/>
        <w:autoSpaceDN/>
        <w:bidi w:val="0"/>
        <w:adjustRightInd/>
        <w:spacing w:line="560" w:lineRule="exact"/>
        <w:jc w:val="both"/>
        <w:textAlignment w:val="auto"/>
        <w:rPr>
          <w:rFonts w:hint="eastAsia" w:ascii="黑体" w:hAnsi="黑体" w:eastAsia="黑体"/>
          <w:sz w:val="32"/>
          <w:szCs w:val="32"/>
          <w:highlight w:val="none"/>
        </w:rPr>
      </w:pPr>
    </w:p>
    <w:p>
      <w:pPr>
        <w:keepNext w:val="0"/>
        <w:keepLines w:val="0"/>
        <w:pageBreakBefore w:val="0"/>
        <w:kinsoku/>
        <w:overflowPunct/>
        <w:topLinePunct w:val="0"/>
        <w:autoSpaceDE/>
        <w:autoSpaceDN/>
        <w:bidi w:val="0"/>
        <w:adjustRightInd/>
        <w:spacing w:line="560" w:lineRule="exact"/>
        <w:jc w:val="both"/>
        <w:textAlignment w:val="auto"/>
        <w:rPr>
          <w:rFonts w:hint="eastAsia" w:ascii="黑体" w:hAnsi="黑体" w:eastAsia="黑体"/>
          <w:sz w:val="32"/>
          <w:szCs w:val="32"/>
          <w:highlight w:val="none"/>
        </w:rPr>
      </w:pPr>
    </w:p>
    <w:p>
      <w:pPr>
        <w:keepNext w:val="0"/>
        <w:keepLines w:val="0"/>
        <w:pageBreakBefore w:val="0"/>
        <w:kinsoku/>
        <w:overflowPunct/>
        <w:topLinePunct w:val="0"/>
        <w:autoSpaceDE/>
        <w:autoSpaceDN/>
        <w:bidi w:val="0"/>
        <w:adjustRightInd/>
        <w:spacing w:line="560" w:lineRule="exact"/>
        <w:jc w:val="center"/>
        <w:textAlignment w:val="auto"/>
        <w:outlineLvl w:val="0"/>
        <w:rPr>
          <w:rFonts w:hint="eastAsia" w:ascii="黑体" w:hAnsi="黑体" w:eastAsia="黑体"/>
          <w:sz w:val="32"/>
          <w:szCs w:val="32"/>
          <w:highlight w:val="none"/>
          <w:lang w:eastAsia="zh-CN"/>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部门概况</w:t>
      </w:r>
    </w:p>
    <w:p>
      <w:pPr>
        <w:keepNext w:val="0"/>
        <w:keepLines w:val="0"/>
        <w:pageBreakBefore w:val="0"/>
        <w:kinsoku/>
        <w:overflowPunct/>
        <w:topLinePunct w:val="0"/>
        <w:autoSpaceDE/>
        <w:autoSpaceDN/>
        <w:bidi w:val="0"/>
        <w:adjustRightInd/>
        <w:spacing w:line="56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pPr>
        <w:keepNext w:val="0"/>
        <w:keepLines w:val="0"/>
        <w:pageBreakBefore w:val="0"/>
        <w:kinsoku/>
        <w:overflowPunct/>
        <w:topLinePunct w:val="0"/>
        <w:autoSpaceDE/>
        <w:autoSpaceDN/>
        <w:bidi w:val="0"/>
        <w:adjustRightInd/>
        <w:spacing w:line="560" w:lineRule="exact"/>
        <w:ind w:firstLine="600" w:firstLineChars="200"/>
        <w:textAlignment w:val="auto"/>
        <w:rPr>
          <w:rFonts w:hint="eastAsia" w:eastAsia="仿宋_GB2312"/>
          <w:sz w:val="30"/>
          <w:szCs w:val="30"/>
        </w:rPr>
      </w:pPr>
      <w:r>
        <w:rPr>
          <w:rFonts w:hint="eastAsia" w:eastAsia="仿宋_GB2312"/>
          <w:sz w:val="30"/>
          <w:szCs w:val="30"/>
        </w:rPr>
        <w:t>呈贡区残联作为政府和残疾人的沟通桥梁，履行“代表、服务、管理”职能，即代表残疾人共同利益，维护残疾人的合法权益；团结教育残疾人，为残疾人服务；履行政府赋予的职责，管理和发展残疾人事业。</w:t>
      </w:r>
    </w:p>
    <w:p>
      <w:pPr>
        <w:keepNext w:val="0"/>
        <w:keepLines w:val="0"/>
        <w:pageBreakBefore w:val="0"/>
        <w:numPr>
          <w:ilvl w:val="0"/>
          <w:numId w:val="1"/>
        </w:numPr>
        <w:kinsoku/>
        <w:overflowPunct/>
        <w:topLinePunct w:val="0"/>
        <w:autoSpaceDE/>
        <w:autoSpaceDN/>
        <w:bidi w:val="0"/>
        <w:adjustRightInd/>
        <w:spacing w:line="56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基本情况</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（一）机构设置情况</w:t>
      </w:r>
    </w:p>
    <w:p>
      <w:pPr>
        <w:keepNext w:val="0"/>
        <w:keepLines w:val="0"/>
        <w:pageBreakBefore w:val="0"/>
        <w:kinsoku/>
        <w:wordWrap/>
        <w:overflowPunct/>
        <w:topLinePunct w:val="0"/>
        <w:autoSpaceDE/>
        <w:autoSpaceDN/>
        <w:bidi w:val="0"/>
        <w:adjustRightInd/>
        <w:spacing w:line="560" w:lineRule="exact"/>
        <w:ind w:firstLine="600" w:firstLineChars="200"/>
        <w:textAlignment w:val="auto"/>
        <w:rPr>
          <w:rFonts w:hint="eastAsia" w:ascii="仿宋_GB2312" w:eastAsia="仿宋_GB2312"/>
          <w:color w:val="auto"/>
          <w:sz w:val="30"/>
          <w:szCs w:val="30"/>
          <w:lang w:eastAsia="zh-CN"/>
        </w:rPr>
      </w:pPr>
      <w:r>
        <w:rPr>
          <w:rFonts w:hint="eastAsia" w:ascii="仿宋_GB2312" w:eastAsia="仿宋_GB2312"/>
          <w:color w:val="auto"/>
          <w:sz w:val="30"/>
          <w:szCs w:val="30"/>
          <w:lang w:eastAsia="zh-CN"/>
        </w:rPr>
        <w:t>我部门共设置三个内设机构，包括：办公室、事业管理科、综合服务科。</w:t>
      </w:r>
    </w:p>
    <w:p>
      <w:pPr>
        <w:keepNext w:val="0"/>
        <w:keepLines w:val="0"/>
        <w:pageBreakBefore w:val="0"/>
        <w:kinsoku/>
        <w:wordWrap/>
        <w:overflowPunct/>
        <w:topLinePunct w:val="0"/>
        <w:autoSpaceDE/>
        <w:autoSpaceDN/>
        <w:bidi w:val="0"/>
        <w:adjustRightInd/>
        <w:spacing w:line="560" w:lineRule="exact"/>
        <w:ind w:firstLine="600" w:firstLineChars="200"/>
        <w:textAlignment w:val="auto"/>
        <w:rPr>
          <w:rFonts w:hint="eastAsia" w:ascii="仿宋_GB2312" w:eastAsia="仿宋_GB2312"/>
          <w:color w:val="auto"/>
          <w:sz w:val="30"/>
          <w:szCs w:val="30"/>
          <w:lang w:eastAsia="zh-CN"/>
        </w:rPr>
      </w:pPr>
      <w:r>
        <w:rPr>
          <w:rFonts w:hint="eastAsia" w:ascii="仿宋_GB2312" w:eastAsia="仿宋_GB2312"/>
          <w:color w:val="auto"/>
          <w:sz w:val="30"/>
          <w:szCs w:val="30"/>
          <w:lang w:eastAsia="zh-CN"/>
        </w:rPr>
        <w:t>无所属单位。</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（二）决算单位构成情况</w:t>
      </w:r>
    </w:p>
    <w:p>
      <w:pPr>
        <w:keepNext w:val="0"/>
        <w:keepLines w:val="0"/>
        <w:pageBreakBefore w:val="0"/>
        <w:numPr>
          <w:ilvl w:val="0"/>
          <w:numId w:val="0"/>
        </w:numPr>
        <w:kinsoku/>
        <w:wordWrap/>
        <w:overflowPunct/>
        <w:topLinePunct w:val="0"/>
        <w:autoSpaceDE/>
        <w:autoSpaceDN/>
        <w:bidi w:val="0"/>
        <w:adjustRightInd/>
        <w:spacing w:line="560" w:lineRule="exact"/>
        <w:ind w:firstLine="600" w:firstLineChars="200"/>
        <w:textAlignment w:val="auto"/>
        <w:rPr>
          <w:rFonts w:hint="eastAsia" w:ascii="仿宋_GB2312" w:eastAsia="仿宋_GB2312"/>
          <w:color w:val="auto"/>
          <w:sz w:val="30"/>
          <w:szCs w:val="30"/>
          <w:lang w:eastAsia="zh-CN"/>
        </w:rPr>
      </w:pPr>
      <w:r>
        <w:rPr>
          <w:rFonts w:hint="eastAsia" w:ascii="仿宋_GB2312" w:eastAsia="仿宋_GB2312"/>
          <w:color w:val="auto"/>
          <w:sz w:val="30"/>
          <w:szCs w:val="30"/>
        </w:rPr>
        <w:t>纳入</w:t>
      </w:r>
      <w:r>
        <w:rPr>
          <w:rFonts w:hint="eastAsia" w:ascii="仿宋_GB2312" w:eastAsia="仿宋_GB2312"/>
          <w:color w:val="auto"/>
          <w:sz w:val="30"/>
          <w:szCs w:val="30"/>
          <w:lang w:eastAsia="zh-CN"/>
        </w:rPr>
        <w:t>昆明市呈贡区残疾人联合会</w:t>
      </w:r>
      <w:r>
        <w:rPr>
          <w:rFonts w:hint="eastAsia" w:ascii="仿宋_GB2312" w:eastAsia="仿宋_GB2312"/>
          <w:color w:val="auto"/>
          <w:sz w:val="30"/>
          <w:szCs w:val="30"/>
          <w:lang w:val="en-US" w:eastAsia="zh-CN"/>
        </w:rPr>
        <w:t>2025</w:t>
      </w:r>
      <w:r>
        <w:rPr>
          <w:rFonts w:hint="eastAsia" w:ascii="仿宋_GB2312" w:eastAsia="仿宋_GB2312"/>
          <w:color w:val="auto"/>
          <w:sz w:val="30"/>
          <w:szCs w:val="30"/>
        </w:rPr>
        <w:t>年度部门决算编报的单位共</w:t>
      </w:r>
      <w:r>
        <w:rPr>
          <w:rFonts w:hint="eastAsia" w:ascii="仿宋_GB2312" w:eastAsia="仿宋_GB2312"/>
          <w:color w:val="auto"/>
          <w:sz w:val="30"/>
          <w:szCs w:val="30"/>
          <w:lang w:val="en-US" w:eastAsia="zh-CN"/>
        </w:rPr>
        <w:t>1</w:t>
      </w:r>
      <w:r>
        <w:rPr>
          <w:rFonts w:hint="eastAsia" w:ascii="仿宋_GB2312" w:eastAsia="仿宋_GB2312"/>
          <w:color w:val="auto"/>
          <w:sz w:val="30"/>
          <w:szCs w:val="30"/>
        </w:rPr>
        <w:t>个。其中：行政单位</w:t>
      </w:r>
      <w:r>
        <w:rPr>
          <w:rFonts w:hint="eastAsia" w:ascii="仿宋_GB2312" w:eastAsia="仿宋_GB2312"/>
          <w:color w:val="auto"/>
          <w:sz w:val="30"/>
          <w:szCs w:val="30"/>
          <w:lang w:val="en-US" w:eastAsia="zh-CN"/>
        </w:rPr>
        <w:t>0</w:t>
      </w:r>
      <w:r>
        <w:rPr>
          <w:rFonts w:hint="eastAsia" w:ascii="仿宋_GB2312" w:eastAsia="仿宋_GB2312"/>
          <w:color w:val="auto"/>
          <w:sz w:val="30"/>
          <w:szCs w:val="30"/>
        </w:rPr>
        <w:t>个，参照公务员法管理的事业单位</w:t>
      </w:r>
      <w:r>
        <w:rPr>
          <w:rFonts w:hint="eastAsia" w:ascii="仿宋_GB2312" w:eastAsia="仿宋_GB2312"/>
          <w:color w:val="auto"/>
          <w:sz w:val="30"/>
          <w:szCs w:val="30"/>
          <w:lang w:val="en-US" w:eastAsia="zh-CN"/>
        </w:rPr>
        <w:t>1</w:t>
      </w:r>
      <w:r>
        <w:rPr>
          <w:rFonts w:hint="eastAsia" w:ascii="仿宋_GB2312" w:eastAsia="仿宋_GB2312"/>
          <w:color w:val="auto"/>
          <w:sz w:val="30"/>
          <w:szCs w:val="30"/>
        </w:rPr>
        <w:t>个，其他事业单位</w:t>
      </w:r>
      <w:r>
        <w:rPr>
          <w:rFonts w:hint="eastAsia" w:ascii="仿宋_GB2312" w:eastAsia="仿宋_GB2312"/>
          <w:color w:val="auto"/>
          <w:sz w:val="30"/>
          <w:szCs w:val="30"/>
          <w:lang w:val="en-US" w:eastAsia="zh-CN"/>
        </w:rPr>
        <w:t>0</w:t>
      </w:r>
      <w:r>
        <w:rPr>
          <w:rFonts w:hint="eastAsia" w:ascii="仿宋_GB2312" w:eastAsia="仿宋_GB2312"/>
          <w:color w:val="auto"/>
          <w:sz w:val="30"/>
          <w:szCs w:val="30"/>
        </w:rPr>
        <w:t>个。分别是：</w:t>
      </w:r>
      <w:r>
        <w:rPr>
          <w:rFonts w:hint="eastAsia" w:ascii="仿宋_GB2312" w:eastAsia="仿宋_GB2312"/>
          <w:color w:val="auto"/>
          <w:sz w:val="30"/>
          <w:szCs w:val="30"/>
          <w:lang w:eastAsia="zh-CN"/>
        </w:rPr>
        <w:t>昆明市呈贡区残疾人联合会。</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纳入</w:t>
      </w:r>
      <w:r>
        <w:rPr>
          <w:rFonts w:hint="eastAsia" w:ascii="仿宋_GB2312" w:eastAsia="仿宋_GB2312"/>
          <w:sz w:val="30"/>
          <w:szCs w:val="30"/>
          <w:highlight w:val="none"/>
          <w:lang w:eastAsia="zh-CN"/>
        </w:rPr>
        <w:t>昆明市呈贡区残疾人联合会</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年度部门决算编报的单位</w:t>
      </w:r>
      <w:r>
        <w:rPr>
          <w:rFonts w:hint="eastAsia" w:ascii="仿宋_GB2312" w:eastAsia="仿宋_GB2312"/>
          <w:sz w:val="30"/>
          <w:szCs w:val="30"/>
          <w:highlight w:val="none"/>
          <w:lang w:eastAsia="zh-CN"/>
        </w:rPr>
        <w:t>与我部门所属单位范围保持一致。</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（三）部门人员和车辆的编制及实有情况</w:t>
      </w:r>
    </w:p>
    <w:p>
      <w:pPr>
        <w:keepNext w:val="0"/>
        <w:keepLines w:val="0"/>
        <w:pageBreakBefore w:val="0"/>
        <w:kinsoku/>
        <w:overflowPunct/>
        <w:topLinePunct w:val="0"/>
        <w:autoSpaceDE/>
        <w:autoSpaceDN/>
        <w:bidi w:val="0"/>
        <w:adjustRightInd/>
        <w:spacing w:line="560" w:lineRule="exact"/>
        <w:ind w:firstLine="600" w:firstLineChars="200"/>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eastAsia="zh-CN"/>
        </w:rPr>
        <w:t>我部门2025年末编制内实有人员</w:t>
      </w:r>
      <w:r>
        <w:rPr>
          <w:rFonts w:hint="eastAsia" w:ascii="仿宋_GB2312" w:hAnsi="仿宋_GB2312" w:eastAsia="仿宋_GB2312" w:cs="仿宋_GB2312"/>
          <w:color w:val="auto"/>
          <w:sz w:val="30"/>
          <w:szCs w:val="30"/>
          <w:highlight w:val="none"/>
          <w:lang w:eastAsia="zh-CN"/>
        </w:rPr>
        <w:t>5</w:t>
      </w:r>
      <w:r>
        <w:rPr>
          <w:rFonts w:hint="eastAsia" w:ascii="仿宋_GB2312" w:hAnsi="仿宋_GB2312" w:eastAsia="仿宋_GB2312" w:cs="仿宋_GB2312"/>
          <w:sz w:val="30"/>
          <w:szCs w:val="30"/>
          <w:highlight w:val="none"/>
          <w:lang w:eastAsia="zh-CN"/>
        </w:rPr>
        <w:t>人。包括财政拨款开支经费的：公务员0人，参照公务员法管理人员5人，事业管理人员和专业技术人员0人，机关和事业工人0人；经费自理人员0人。</w:t>
      </w:r>
    </w:p>
    <w:p>
      <w:pPr>
        <w:keepNext w:val="0"/>
        <w:keepLines w:val="0"/>
        <w:pageBreakBefore w:val="0"/>
        <w:kinsoku/>
        <w:overflowPunct/>
        <w:topLinePunct w:val="0"/>
        <w:autoSpaceDE/>
        <w:autoSpaceDN/>
        <w:bidi w:val="0"/>
        <w:adjustRightInd/>
        <w:spacing w:line="560" w:lineRule="exact"/>
        <w:ind w:firstLine="600" w:firstLineChars="200"/>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eastAsia="zh-CN"/>
        </w:rPr>
        <w:t>我部门2025年末其他人员</w:t>
      </w:r>
      <w:r>
        <w:rPr>
          <w:rFonts w:hint="eastAsia" w:ascii="仿宋_GB2312" w:hAnsi="仿宋_GB2312" w:eastAsia="仿宋_GB2312" w:cs="仿宋_GB2312"/>
          <w:sz w:val="30"/>
          <w:szCs w:val="30"/>
          <w:highlight w:val="none"/>
          <w:lang w:val="en-US" w:eastAsia="zh-CN"/>
        </w:rPr>
        <w:t>9</w:t>
      </w:r>
      <w:r>
        <w:rPr>
          <w:rFonts w:hint="eastAsia" w:ascii="仿宋_GB2312" w:hAnsi="仿宋_GB2312" w:eastAsia="仿宋_GB2312" w:cs="仿宋_GB2312"/>
          <w:sz w:val="30"/>
          <w:szCs w:val="30"/>
          <w:highlight w:val="none"/>
          <w:lang w:eastAsia="zh-CN"/>
        </w:rPr>
        <w:t>人。包括财政拨款开支经费的人员</w:t>
      </w:r>
      <w:r>
        <w:rPr>
          <w:rFonts w:hint="eastAsia" w:ascii="仿宋_GB2312" w:hAnsi="仿宋_GB2312" w:eastAsia="仿宋_GB2312" w:cs="仿宋_GB2312"/>
          <w:sz w:val="30"/>
          <w:szCs w:val="30"/>
          <w:highlight w:val="none"/>
          <w:lang w:val="en-US" w:eastAsia="zh-CN"/>
        </w:rPr>
        <w:t>9</w:t>
      </w:r>
      <w:r>
        <w:rPr>
          <w:rFonts w:hint="eastAsia" w:ascii="仿宋_GB2312" w:hAnsi="仿宋_GB2312" w:eastAsia="仿宋_GB2312" w:cs="仿宋_GB2312"/>
          <w:sz w:val="30"/>
          <w:szCs w:val="30"/>
          <w:highlight w:val="none"/>
          <w:lang w:eastAsia="zh-CN"/>
        </w:rPr>
        <w:t>人；经费自理人员0人。</w:t>
      </w:r>
    </w:p>
    <w:p>
      <w:pPr>
        <w:keepNext w:val="0"/>
        <w:keepLines w:val="0"/>
        <w:pageBreakBefore w:val="0"/>
        <w:kinsoku/>
        <w:overflowPunct/>
        <w:topLinePunct w:val="0"/>
        <w:autoSpaceDE/>
        <w:autoSpaceDN/>
        <w:bidi w:val="0"/>
        <w:adjustRightInd/>
        <w:spacing w:line="560" w:lineRule="exact"/>
        <w:ind w:firstLine="600" w:firstLineChars="200"/>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eastAsia="zh-CN"/>
        </w:rPr>
        <w:t>年末单位发放离退休费的离退休人员共计0人（离休0人，退休0人）。年末由养老保险基金发放养老金的离退休人员1人（离休0人，退休1人）。年末学生0人。年末遗属0人。</w:t>
      </w:r>
    </w:p>
    <w:p>
      <w:pPr>
        <w:keepNext w:val="0"/>
        <w:keepLines w:val="0"/>
        <w:pageBreakBefore w:val="0"/>
        <w:kinsoku/>
        <w:overflowPunct/>
        <w:topLinePunct w:val="0"/>
        <w:autoSpaceDE/>
        <w:autoSpaceDN/>
        <w:bidi w:val="0"/>
        <w:adjustRightInd/>
        <w:spacing w:line="560" w:lineRule="exact"/>
        <w:ind w:firstLine="600" w:firstLineChars="200"/>
        <w:jc w:val="left"/>
        <w:textAlignment w:val="auto"/>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车辆编制1辆，在编实有车辆1辆，超编0辆。</w:t>
      </w:r>
    </w:p>
    <w:p>
      <w:pPr>
        <w:keepNext w:val="0"/>
        <w:keepLines w:val="0"/>
        <w:pageBreakBefore w:val="0"/>
        <w:kinsoku/>
        <w:overflowPunct/>
        <w:topLinePunct w:val="0"/>
        <w:autoSpaceDE/>
        <w:autoSpaceDN/>
        <w:bidi w:val="0"/>
        <w:adjustRightInd/>
        <w:spacing w:line="56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pPr>
        <w:keepNext w:val="0"/>
        <w:keepLines w:val="0"/>
        <w:pageBreakBefore w:val="0"/>
        <w:kinsoku/>
        <w:overflowPunct/>
        <w:topLinePunct w:val="0"/>
        <w:autoSpaceDE/>
        <w:autoSpaceDN/>
        <w:bidi w:val="0"/>
        <w:adjustRightInd/>
        <w:spacing w:line="560" w:lineRule="exact"/>
        <w:ind w:firstLine="600" w:firstLineChars="200"/>
        <w:textAlignment w:val="auto"/>
        <w:rPr>
          <w:rFonts w:hint="eastAsia" w:ascii="Times New Roman" w:hAnsi="Times New Roman" w:eastAsia="仿宋_GB2312" w:cs="Times New Roman"/>
          <w:color w:val="auto"/>
          <w:spacing w:val="0"/>
          <w:sz w:val="32"/>
          <w:szCs w:val="32"/>
          <w:highlight w:val="none"/>
          <w:lang w:val="en-US" w:eastAsia="zh-CN"/>
        </w:rPr>
      </w:pPr>
      <w:r>
        <w:rPr>
          <w:rFonts w:hint="eastAsia" w:ascii="仿宋_GB2312" w:hAnsi="宋体" w:eastAsia="仿宋_GB2312" w:cs="Arial"/>
          <w:kern w:val="0"/>
          <w:sz w:val="30"/>
          <w:szCs w:val="30"/>
          <w:highlight w:val="none"/>
          <w:lang w:val="en-US" w:eastAsia="zh-CN"/>
        </w:rPr>
        <w:t>落实</w:t>
      </w:r>
      <w:r>
        <w:rPr>
          <w:rFonts w:hint="eastAsia" w:ascii="仿宋_GB2312" w:hAnsi="宋体" w:eastAsia="仿宋_GB2312" w:cs="Arial"/>
          <w:kern w:val="0"/>
          <w:sz w:val="30"/>
          <w:szCs w:val="30"/>
          <w:highlight w:val="none"/>
        </w:rPr>
        <w:t>残疾人社会保障</w:t>
      </w:r>
      <w:r>
        <w:rPr>
          <w:rFonts w:hint="eastAsia" w:ascii="仿宋_GB2312" w:hAnsi="宋体" w:eastAsia="仿宋_GB2312" w:cs="Arial"/>
          <w:kern w:val="0"/>
          <w:sz w:val="30"/>
          <w:szCs w:val="30"/>
          <w:highlight w:val="none"/>
          <w:lang w:eastAsia="zh-CN"/>
        </w:rPr>
        <w:t>制度</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坚决维护残疾人权益；</w:t>
      </w:r>
      <w:r>
        <w:rPr>
          <w:rFonts w:hint="default" w:ascii="仿宋_GB2312" w:hAnsi="宋体" w:eastAsia="仿宋_GB2312" w:cs="Arial"/>
          <w:kern w:val="0"/>
          <w:sz w:val="30"/>
          <w:szCs w:val="30"/>
          <w:highlight w:val="none"/>
          <w:lang w:eastAsia="zh-CN"/>
        </w:rPr>
        <w:t>开展残疾人精准康复工作</w:t>
      </w:r>
      <w:r>
        <w:rPr>
          <w:rFonts w:hint="default" w:ascii="仿宋_GB2312" w:hAnsi="宋体" w:eastAsia="仿宋_GB2312" w:cs="Arial"/>
          <w:kern w:val="0"/>
          <w:sz w:val="30"/>
          <w:szCs w:val="30"/>
          <w:highlight w:val="none"/>
        </w:rPr>
        <w:t>，</w:t>
      </w:r>
      <w:r>
        <w:rPr>
          <w:rFonts w:hint="default" w:ascii="仿宋_GB2312" w:hAnsi="宋体" w:eastAsia="仿宋_GB2312" w:cs="Arial"/>
          <w:kern w:val="0"/>
          <w:sz w:val="30"/>
          <w:szCs w:val="30"/>
          <w:highlight w:val="none"/>
          <w:lang w:eastAsia="zh-CN"/>
        </w:rPr>
        <w:t>提升残疾人康复服务水平</w:t>
      </w:r>
      <w:r>
        <w:rPr>
          <w:rFonts w:hint="eastAsia" w:ascii="仿宋_GB2312" w:hAnsi="宋体" w:eastAsia="仿宋_GB2312" w:cs="Arial"/>
          <w:kern w:val="0"/>
          <w:sz w:val="30"/>
          <w:szCs w:val="30"/>
          <w:highlight w:val="none"/>
          <w:lang w:eastAsia="zh-CN"/>
        </w:rPr>
        <w:t>；</w:t>
      </w:r>
      <w:r>
        <w:rPr>
          <w:rFonts w:hint="default" w:ascii="仿宋_GB2312" w:hAnsi="宋体" w:eastAsia="仿宋_GB2312" w:cs="Arial"/>
          <w:kern w:val="0"/>
          <w:sz w:val="30"/>
          <w:szCs w:val="30"/>
          <w:highlight w:val="none"/>
          <w:lang w:val="en-US" w:eastAsia="zh-CN"/>
        </w:rPr>
        <w:t>开展残疾人就业</w:t>
      </w:r>
      <w:r>
        <w:rPr>
          <w:rFonts w:hint="eastAsia" w:ascii="仿宋_GB2312" w:hAnsi="宋体" w:eastAsia="仿宋_GB2312" w:cs="Arial"/>
          <w:kern w:val="0"/>
          <w:sz w:val="30"/>
          <w:szCs w:val="30"/>
          <w:highlight w:val="none"/>
          <w:lang w:val="en-US" w:eastAsia="zh-CN"/>
        </w:rPr>
        <w:t>帮扶</w:t>
      </w:r>
      <w:r>
        <w:rPr>
          <w:rFonts w:hint="default" w:ascii="仿宋_GB2312" w:hAnsi="宋体" w:eastAsia="仿宋_GB2312" w:cs="Arial"/>
          <w:kern w:val="0"/>
          <w:sz w:val="30"/>
          <w:szCs w:val="30"/>
          <w:highlight w:val="none"/>
          <w:lang w:val="en-US" w:eastAsia="zh-CN"/>
        </w:rPr>
        <w:t>工作，</w:t>
      </w:r>
      <w:r>
        <w:rPr>
          <w:rFonts w:hint="eastAsia" w:ascii="仿宋_GB2312" w:hAnsi="宋体" w:eastAsia="仿宋_GB2312" w:cs="Arial"/>
          <w:kern w:val="0"/>
          <w:sz w:val="30"/>
          <w:szCs w:val="30"/>
          <w:highlight w:val="none"/>
          <w:lang w:val="en-US" w:eastAsia="zh-CN"/>
        </w:rPr>
        <w:t>提升残疾人生活水平；</w:t>
      </w:r>
      <w:r>
        <w:rPr>
          <w:rFonts w:hint="eastAsia" w:ascii="仿宋_GB2312" w:hAnsi="宋体" w:eastAsia="仿宋_GB2312" w:cs="Arial"/>
          <w:kern w:val="0"/>
          <w:sz w:val="30"/>
          <w:szCs w:val="30"/>
          <w:highlight w:val="none"/>
        </w:rPr>
        <w:t>做好基础数据</w:t>
      </w:r>
      <w:r>
        <w:rPr>
          <w:rFonts w:hint="eastAsia" w:ascii="仿宋_GB2312" w:hAnsi="宋体" w:eastAsia="仿宋_GB2312" w:cs="Arial"/>
          <w:kern w:val="0"/>
          <w:sz w:val="30"/>
          <w:szCs w:val="30"/>
          <w:highlight w:val="none"/>
          <w:lang w:eastAsia="zh-CN"/>
        </w:rPr>
        <w:t>核查</w:t>
      </w:r>
      <w:r>
        <w:rPr>
          <w:rFonts w:hint="eastAsia" w:ascii="仿宋_GB2312" w:hAnsi="宋体" w:eastAsia="仿宋_GB2312" w:cs="Arial"/>
          <w:kern w:val="0"/>
          <w:sz w:val="30"/>
          <w:szCs w:val="30"/>
          <w:highlight w:val="none"/>
        </w:rPr>
        <w:t>统计，</w:t>
      </w:r>
      <w:r>
        <w:rPr>
          <w:rFonts w:hint="eastAsia" w:ascii="仿宋_GB2312" w:hAnsi="宋体" w:eastAsia="仿宋_GB2312" w:cs="Arial"/>
          <w:kern w:val="0"/>
          <w:sz w:val="30"/>
          <w:szCs w:val="30"/>
          <w:highlight w:val="none"/>
          <w:lang w:eastAsia="zh-CN"/>
        </w:rPr>
        <w:t>优化服务</w:t>
      </w:r>
      <w:r>
        <w:rPr>
          <w:rFonts w:hint="eastAsia" w:ascii="仿宋_GB2312" w:hAnsi="宋体" w:eastAsia="仿宋_GB2312" w:cs="Arial"/>
          <w:kern w:val="0"/>
          <w:sz w:val="30"/>
          <w:szCs w:val="30"/>
          <w:highlight w:val="none"/>
        </w:rPr>
        <w:t>残疾人</w:t>
      </w:r>
      <w:r>
        <w:rPr>
          <w:rFonts w:hint="eastAsia" w:ascii="仿宋_GB2312" w:hAnsi="宋体" w:eastAsia="仿宋_GB2312" w:cs="Arial"/>
          <w:kern w:val="0"/>
          <w:sz w:val="30"/>
          <w:szCs w:val="30"/>
          <w:highlight w:val="none"/>
          <w:lang w:eastAsia="zh-CN"/>
        </w:rPr>
        <w:t>举措</w:t>
      </w:r>
      <w:r>
        <w:rPr>
          <w:rFonts w:hint="eastAsia" w:ascii="仿宋_GB2312" w:hAnsi="宋体" w:eastAsia="仿宋_GB2312" w:cs="Arial"/>
          <w:kern w:val="0"/>
          <w:sz w:val="30"/>
          <w:szCs w:val="30"/>
          <w:highlight w:val="none"/>
          <w:lang w:val="en-US" w:eastAsia="zh-CN"/>
        </w:rPr>
        <w:t>。</w:t>
      </w:r>
    </w:p>
    <w:p>
      <w:pPr>
        <w:keepNext w:val="0"/>
        <w:keepLines w:val="0"/>
        <w:pageBreakBefore w:val="0"/>
        <w:kinsoku/>
        <w:overflowPunct/>
        <w:topLinePunct w:val="0"/>
        <w:autoSpaceDE/>
        <w:autoSpaceDN/>
        <w:bidi w:val="0"/>
        <w:adjustRightInd/>
        <w:spacing w:line="560" w:lineRule="exact"/>
        <w:jc w:val="left"/>
        <w:textAlignment w:val="auto"/>
        <w:rPr>
          <w:rFonts w:hint="eastAsia" w:ascii="仿宋_GB2312" w:hAnsi="宋体" w:eastAsia="仿宋_GB2312" w:cs="Arial"/>
          <w:kern w:val="0"/>
          <w:sz w:val="30"/>
          <w:szCs w:val="30"/>
          <w:highlight w:val="none"/>
        </w:rPr>
      </w:pPr>
    </w:p>
    <w:p>
      <w:pPr>
        <w:keepNext w:val="0"/>
        <w:keepLines w:val="0"/>
        <w:pageBreakBefore w:val="0"/>
        <w:kinsoku/>
        <w:overflowPunct/>
        <w:topLinePunct w:val="0"/>
        <w:autoSpaceDE/>
        <w:autoSpaceDN/>
        <w:bidi w:val="0"/>
        <w:adjustRightInd/>
        <w:spacing w:line="560"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w:t>
      </w:r>
      <w:r>
        <w:rPr>
          <w:rFonts w:hint="eastAsia" w:ascii="黑体" w:hAnsi="黑体" w:eastAsia="黑体"/>
          <w:sz w:val="32"/>
          <w:szCs w:val="32"/>
          <w:highlight w:val="none"/>
        </w:rPr>
        <w:t>年度部门决算表</w:t>
      </w:r>
    </w:p>
    <w:p>
      <w:pPr>
        <w:keepNext w:val="0"/>
        <w:keepLines w:val="0"/>
        <w:pageBreakBefore w:val="0"/>
        <w:kinsoku/>
        <w:overflowPunct/>
        <w:topLinePunct w:val="0"/>
        <w:autoSpaceDE/>
        <w:autoSpaceDN/>
        <w:bidi w:val="0"/>
        <w:adjustRightInd/>
        <w:spacing w:line="560" w:lineRule="exact"/>
        <w:ind w:firstLine="600" w:firstLineChars="200"/>
        <w:jc w:val="center"/>
        <w:textAlignment w:val="auto"/>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pPr>
        <w:keepNext w:val="0"/>
        <w:keepLines w:val="0"/>
        <w:pageBreakBefore w:val="0"/>
        <w:kinsoku/>
        <w:overflowPunct/>
        <w:topLinePunct w:val="0"/>
        <w:autoSpaceDE/>
        <w:autoSpaceDN/>
        <w:bidi w:val="0"/>
        <w:adjustRightInd/>
        <w:spacing w:line="560" w:lineRule="exact"/>
        <w:ind w:firstLine="600" w:firstLineChars="200"/>
        <w:jc w:val="left"/>
        <w:textAlignment w:val="auto"/>
        <w:rPr>
          <w:rFonts w:hint="eastAsia" w:ascii="仿宋_GB2312" w:eastAsia="仿宋_GB2312"/>
          <w:sz w:val="30"/>
          <w:szCs w:val="30"/>
          <w:highlight w:val="none"/>
          <w:lang w:eastAsia="zh-CN"/>
        </w:rPr>
      </w:pPr>
    </w:p>
    <w:p>
      <w:pPr>
        <w:keepNext w:val="0"/>
        <w:keepLines w:val="0"/>
        <w:pageBreakBefore w:val="0"/>
        <w:kinsoku/>
        <w:overflowPunct/>
        <w:topLinePunct w:val="0"/>
        <w:autoSpaceDE/>
        <w:autoSpaceDN/>
        <w:bidi w:val="0"/>
        <w:adjustRightInd/>
        <w:spacing w:line="560"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w:t>
      </w:r>
      <w:r>
        <w:rPr>
          <w:rFonts w:hint="eastAsia" w:ascii="黑体" w:hAnsi="黑体" w:eastAsia="黑体"/>
          <w:sz w:val="32"/>
          <w:szCs w:val="32"/>
          <w:highlight w:val="none"/>
        </w:rPr>
        <w:t>年度部门决算情况说明</w:t>
      </w:r>
    </w:p>
    <w:p>
      <w:pPr>
        <w:keepNext w:val="0"/>
        <w:keepLines w:val="0"/>
        <w:pageBreakBefore w:val="0"/>
        <w:kinsoku/>
        <w:overflowPunct/>
        <w:topLinePunct w:val="0"/>
        <w:autoSpaceDE/>
        <w:autoSpaceDN/>
        <w:bidi w:val="0"/>
        <w:adjustRightInd/>
        <w:spacing w:line="56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pPr>
        <w:keepNext w:val="0"/>
        <w:keepLines w:val="0"/>
        <w:pageBreakBefore w:val="0"/>
        <w:widowControl/>
        <w:kinsoku/>
        <w:overflowPunct/>
        <w:topLinePunct w:val="0"/>
        <w:autoSpaceDE/>
        <w:autoSpaceDN/>
        <w:bidi w:val="0"/>
        <w:adjustRightInd/>
        <w:snapToGrid w:val="0"/>
        <w:spacing w:line="560" w:lineRule="exact"/>
        <w:ind w:firstLine="538"/>
        <w:jc w:val="left"/>
        <w:textAlignment w:val="auto"/>
        <w:rPr>
          <w:rFonts w:hint="eastAsia" w:ascii="仿宋_GB2312" w:eastAsia="仿宋_GB2312"/>
          <w:sz w:val="30"/>
          <w:szCs w:val="30"/>
          <w:highlight w:val="none"/>
        </w:rPr>
      </w:pPr>
      <w:r>
        <w:rPr>
          <w:rFonts w:hint="eastAsia" w:ascii="仿宋_GB2312" w:hAnsi="仿宋_GB2312" w:eastAsia="仿宋_GB2312" w:cs="仿宋_GB2312"/>
          <w:color w:val="auto"/>
          <w:sz w:val="30"/>
          <w:lang w:val="zh-CN"/>
        </w:rPr>
        <w:t>昆明市呈贡区残疾人联合会</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5</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950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594.03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5</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950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594.03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100.00</w:t>
      </w:r>
      <w:r>
        <w:rPr>
          <w:rFonts w:hint="eastAsia" w:ascii="仿宋_GB2312" w:eastAsia="仿宋_GB2312"/>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%；事业收入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p>
    <w:p>
      <w:pPr>
        <w:keepNext w:val="0"/>
        <w:keepLines w:val="0"/>
        <w:pageBreakBefore w:val="0"/>
        <w:widowControl/>
        <w:kinsoku/>
        <w:overflowPunct/>
        <w:topLinePunct w:val="0"/>
        <w:autoSpaceDE/>
        <w:autoSpaceDN/>
        <w:bidi w:val="0"/>
        <w:adjustRightInd/>
        <w:snapToGrid w:val="0"/>
        <w:spacing w:line="560" w:lineRule="exact"/>
        <w:ind w:firstLine="538"/>
        <w:jc w:val="left"/>
        <w:textAlignment w:val="auto"/>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eastAsia="zh-CN"/>
        </w:rPr>
        <w:t>增加</w:t>
      </w:r>
      <w:r>
        <w:rPr>
          <w:rFonts w:hint="eastAsia" w:ascii="仿宋_GB2312" w:eastAsia="仿宋_GB2312"/>
          <w:sz w:val="30"/>
          <w:szCs w:val="30"/>
          <w:highlight w:val="none"/>
          <w:lang w:val="en-US" w:eastAsia="zh-CN"/>
        </w:rPr>
        <w:t>363,654.16</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6.51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eastAsia="zh-CN"/>
        </w:rPr>
        <w:t>增加</w:t>
      </w:r>
      <w:r>
        <w:rPr>
          <w:rFonts w:hint="eastAsia" w:ascii="仿宋_GB2312" w:eastAsia="仿宋_GB2312"/>
          <w:sz w:val="30"/>
          <w:szCs w:val="30"/>
          <w:highlight w:val="none"/>
          <w:lang w:val="en-US" w:eastAsia="zh-CN"/>
        </w:rPr>
        <w:t>363,654.16</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6.51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；无事业收入；无经营收入；无附属单位上缴收入；无其他收入。</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color w:val="auto"/>
          <w:sz w:val="30"/>
          <w:szCs w:val="30"/>
          <w:highlight w:val="none"/>
          <w:lang w:eastAsia="zh-CN"/>
        </w:rPr>
        <w:t>202</w:t>
      </w:r>
      <w:r>
        <w:rPr>
          <w:rFonts w:hint="eastAsia" w:ascii="仿宋_GB2312" w:eastAsia="仿宋_GB2312"/>
          <w:color w:val="auto"/>
          <w:sz w:val="30"/>
          <w:szCs w:val="30"/>
          <w:highlight w:val="none"/>
          <w:lang w:val="en-US" w:eastAsia="zh-CN"/>
        </w:rPr>
        <w:t>5</w:t>
      </w:r>
      <w:r>
        <w:rPr>
          <w:rFonts w:hint="eastAsia" w:ascii="仿宋_GB2312" w:eastAsia="仿宋_GB2312"/>
          <w:color w:val="auto"/>
          <w:sz w:val="30"/>
          <w:szCs w:val="30"/>
          <w:highlight w:val="none"/>
          <w:lang w:eastAsia="zh-CN"/>
        </w:rPr>
        <w:t>年较上年人员经费和公用经费增加</w:t>
      </w:r>
      <w:r>
        <w:rPr>
          <w:rFonts w:hint="eastAsia" w:ascii="仿宋_GB2312" w:eastAsia="仿宋_GB2312"/>
          <w:color w:val="auto"/>
          <w:sz w:val="30"/>
          <w:szCs w:val="30"/>
          <w:highlight w:val="none"/>
        </w:rPr>
        <w:t>。</w:t>
      </w:r>
    </w:p>
    <w:p>
      <w:pPr>
        <w:keepNext w:val="0"/>
        <w:keepLines w:val="0"/>
        <w:pageBreakBefore w:val="0"/>
        <w:kinsoku/>
        <w:overflowPunct/>
        <w:topLinePunct w:val="0"/>
        <w:autoSpaceDE/>
        <w:autoSpaceDN/>
        <w:bidi w:val="0"/>
        <w:adjustRightInd/>
        <w:spacing w:line="56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pPr>
        <w:keepNext w:val="0"/>
        <w:keepLines w:val="0"/>
        <w:pageBreakBefore w:val="0"/>
        <w:kinsoku/>
        <w:overflowPunct/>
        <w:topLinePunct w:val="0"/>
        <w:autoSpaceDE/>
        <w:autoSpaceDN/>
        <w:bidi w:val="0"/>
        <w:adjustRightInd/>
        <w:spacing w:line="560" w:lineRule="exact"/>
        <w:ind w:firstLine="600" w:firstLineChars="200"/>
        <w:textAlignment w:val="auto"/>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昆明市呈贡区残疾人联合会</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5</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950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594.03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924</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456.26</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32.34</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4</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026</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137.77</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67.66</w:t>
      </w:r>
      <w:r>
        <w:rPr>
          <w:rFonts w:hint="eastAsia" w:ascii="仿宋_GB2312" w:hAnsi="宋体" w:eastAsia="仿宋_GB2312" w:cs="Arial"/>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w:t>
      </w:r>
    </w:p>
    <w:p>
      <w:pPr>
        <w:keepNext w:val="0"/>
        <w:keepLines w:val="0"/>
        <w:pageBreakBefore w:val="0"/>
        <w:widowControl/>
        <w:kinsoku/>
        <w:overflowPunct/>
        <w:topLinePunct w:val="0"/>
        <w:autoSpaceDE/>
        <w:autoSpaceDN/>
        <w:bidi w:val="0"/>
        <w:adjustRightInd/>
        <w:snapToGrid w:val="0"/>
        <w:spacing w:line="560" w:lineRule="exact"/>
        <w:ind w:firstLine="538"/>
        <w:jc w:val="left"/>
        <w:textAlignment w:val="auto"/>
        <w:rPr>
          <w:rFonts w:hint="eastAsia" w:ascii="仿宋_GB2312" w:eastAsia="仿宋_GB2312"/>
          <w:color w:val="FF0000"/>
          <w:sz w:val="30"/>
          <w:szCs w:val="30"/>
          <w:highlight w:val="none"/>
          <w:lang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eastAsia="zh-CN"/>
        </w:rPr>
        <w:t>增加</w:t>
      </w:r>
      <w:r>
        <w:rPr>
          <w:rFonts w:hint="eastAsia" w:ascii="仿宋_GB2312" w:eastAsia="仿宋_GB2312"/>
          <w:sz w:val="30"/>
          <w:szCs w:val="30"/>
          <w:highlight w:val="none"/>
          <w:lang w:val="en-US" w:eastAsia="zh-CN"/>
        </w:rPr>
        <w:t>363,654.16</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6.51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eastAsia="仿宋_GB2312"/>
          <w:sz w:val="30"/>
          <w:szCs w:val="30"/>
          <w:highlight w:val="none"/>
          <w:lang w:val="en-US" w:eastAsia="zh-CN"/>
        </w:rPr>
        <w:t>21,770.74</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1.44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；项目支出增加</w:t>
      </w:r>
      <w:r>
        <w:rPr>
          <w:rFonts w:hint="eastAsia" w:ascii="仿宋_GB2312" w:eastAsia="仿宋_GB2312"/>
          <w:sz w:val="30"/>
          <w:szCs w:val="30"/>
          <w:highlight w:val="none"/>
          <w:lang w:val="en-US" w:eastAsia="zh-CN"/>
        </w:rPr>
        <w:t>341,883.42</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9.28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；无上缴上级支出；无经营支出；无对附属单位补助支出。基本支出</w:t>
      </w:r>
      <w:r>
        <w:rPr>
          <w:rFonts w:hint="eastAsia" w:ascii="仿宋_GB2312" w:eastAsia="仿宋_GB2312"/>
          <w:color w:val="auto"/>
          <w:sz w:val="30"/>
          <w:szCs w:val="30"/>
          <w:highlight w:val="none"/>
          <w:lang w:eastAsia="zh-CN"/>
        </w:rPr>
        <w:t>增加的主要原因是202</w:t>
      </w:r>
      <w:r>
        <w:rPr>
          <w:rFonts w:hint="eastAsia" w:ascii="仿宋_GB2312" w:eastAsia="仿宋_GB2312"/>
          <w:color w:val="auto"/>
          <w:sz w:val="30"/>
          <w:szCs w:val="30"/>
          <w:highlight w:val="none"/>
          <w:lang w:val="en-US" w:eastAsia="zh-CN"/>
        </w:rPr>
        <w:t>5</w:t>
      </w:r>
      <w:r>
        <w:rPr>
          <w:rFonts w:hint="eastAsia" w:ascii="仿宋_GB2312" w:eastAsia="仿宋_GB2312"/>
          <w:color w:val="auto"/>
          <w:sz w:val="30"/>
          <w:szCs w:val="30"/>
          <w:highlight w:val="none"/>
          <w:lang w:eastAsia="zh-CN"/>
        </w:rPr>
        <w:t>年较上年人员经费和公用经费增加；项目支出增加的主要原因是202</w:t>
      </w:r>
      <w:r>
        <w:rPr>
          <w:rFonts w:hint="eastAsia" w:ascii="仿宋_GB2312" w:eastAsia="仿宋_GB2312"/>
          <w:color w:val="auto"/>
          <w:sz w:val="30"/>
          <w:szCs w:val="30"/>
          <w:highlight w:val="none"/>
          <w:lang w:val="en-US" w:eastAsia="zh-CN"/>
        </w:rPr>
        <w:t>5</w:t>
      </w:r>
      <w:r>
        <w:rPr>
          <w:rFonts w:hint="eastAsia" w:ascii="仿宋_GB2312" w:eastAsia="仿宋_GB2312"/>
          <w:sz w:val="30"/>
          <w:szCs w:val="30"/>
          <w:highlight w:val="none"/>
          <w:lang w:eastAsia="zh-CN"/>
        </w:rPr>
        <w:t>年科学规划项目工作，积极推进项目完成进度，使项目进度较上年有所加快。</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用于保障昆明市呈贡区残疾人联合会机关正常运转的日常支出1,924,456.26元。其中：基本工资、津贴补贴等人员经费支出1,245,127.95元，占基本支出的64.70％；办公费、印刷费、水电费、办公设备购置等公用经费679,328.31元，占基本支出的35.</w:t>
      </w:r>
      <w:r>
        <w:rPr>
          <w:rFonts w:hint="eastAsia" w:ascii="仿宋_GB2312" w:hAnsi="仿宋_GB2312" w:eastAsia="仿宋_GB2312" w:cs="仿宋_GB2312"/>
          <w:color w:val="auto"/>
          <w:sz w:val="30"/>
          <w:szCs w:val="30"/>
          <w:highlight w:val="none"/>
          <w:lang w:val="en-US" w:eastAsia="zh-CN"/>
        </w:rPr>
        <w:t>30％。</w:t>
      </w:r>
      <w:r>
        <w:rPr>
          <w:rFonts w:hint="eastAsia" w:ascii="仿宋_GB2312" w:hAnsi="仿宋_GB2312" w:eastAsia="仿宋_GB2312" w:cs="仿宋_GB2312"/>
          <w:color w:val="auto"/>
          <w:sz w:val="30"/>
          <w:szCs w:val="30"/>
          <w:highlight w:val="none"/>
        </w:rPr>
        <w:t>人均人员经费支出</w:t>
      </w:r>
      <w:r>
        <w:rPr>
          <w:rFonts w:hint="eastAsia" w:ascii="仿宋_GB2312" w:hAnsi="仿宋_GB2312" w:eastAsia="仿宋_GB2312" w:cs="仿宋_GB2312"/>
          <w:color w:val="auto"/>
          <w:sz w:val="30"/>
          <w:szCs w:val="30"/>
          <w:highlight w:val="none"/>
          <w:lang w:val="en-US" w:eastAsia="zh-CN"/>
        </w:rPr>
        <w:t>83,008.52</w:t>
      </w:r>
      <w:r>
        <w:rPr>
          <w:rFonts w:hint="eastAsia" w:ascii="仿宋_GB2312" w:hAnsi="仿宋_GB2312" w:eastAsia="仿宋_GB2312" w:cs="仿宋_GB2312"/>
          <w:color w:val="auto"/>
          <w:sz w:val="30"/>
          <w:szCs w:val="30"/>
          <w:highlight w:val="none"/>
        </w:rPr>
        <w:t>元；人均公用经费支出</w:t>
      </w:r>
      <w:r>
        <w:rPr>
          <w:rFonts w:hint="eastAsia" w:ascii="仿宋_GB2312" w:hAnsi="仿宋_GB2312" w:eastAsia="仿宋_GB2312" w:cs="仿宋_GB2312"/>
          <w:color w:val="auto"/>
          <w:sz w:val="30"/>
          <w:szCs w:val="30"/>
          <w:highlight w:val="none"/>
          <w:lang w:val="en-US" w:eastAsia="zh-CN"/>
        </w:rPr>
        <w:t>45</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highlight w:val="none"/>
          <w:lang w:val="en-US" w:eastAsia="zh-CN"/>
        </w:rPr>
        <w:t>288</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highlight w:val="none"/>
          <w:lang w:val="en-US" w:eastAsia="zh-CN"/>
        </w:rPr>
        <w:t>55</w:t>
      </w:r>
      <w:r>
        <w:rPr>
          <w:rFonts w:hint="eastAsia" w:ascii="仿宋_GB2312" w:hAnsi="仿宋_GB2312" w:eastAsia="仿宋_GB2312" w:cs="仿宋_GB2312"/>
          <w:color w:val="auto"/>
          <w:sz w:val="30"/>
          <w:szCs w:val="30"/>
          <w:highlight w:val="none"/>
        </w:rPr>
        <w:t>元</w:t>
      </w:r>
      <w:r>
        <w:rPr>
          <w:rFonts w:hint="eastAsia" w:ascii="仿宋_GB2312" w:hAnsi="仿宋_GB2312" w:eastAsia="仿宋_GB2312" w:cs="仿宋_GB2312"/>
          <w:color w:val="auto"/>
          <w:sz w:val="30"/>
          <w:szCs w:val="30"/>
          <w:highlight w:val="none"/>
          <w:lang w:eastAsia="zh-CN"/>
        </w:rPr>
        <w:t>。</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pPr>
        <w:keepNext w:val="0"/>
        <w:keepLines w:val="0"/>
        <w:pageBreakBefore w:val="0"/>
        <w:widowControl/>
        <w:kinsoku/>
        <w:wordWrap w:val="0"/>
        <w:overflowPunct/>
        <w:topLinePunct w:val="0"/>
        <w:autoSpaceDE/>
        <w:autoSpaceDN/>
        <w:bidi w:val="0"/>
        <w:adjustRightInd/>
        <w:snapToGrid w:val="0"/>
        <w:spacing w:line="560" w:lineRule="exact"/>
        <w:ind w:firstLine="600" w:firstLineChars="200"/>
        <w:jc w:val="both"/>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昆明市呈贡区残疾人联合会</w:t>
      </w:r>
      <w:r>
        <w:rPr>
          <w:rFonts w:hint="eastAsia" w:ascii="仿宋_GB2312" w:eastAsia="仿宋_GB2312"/>
          <w:sz w:val="30"/>
          <w:szCs w:val="30"/>
          <w:highlight w:val="none"/>
          <w:lang w:eastAsia="zh-CN"/>
        </w:rPr>
        <w:t>机关</w:t>
      </w:r>
      <w:r>
        <w:rPr>
          <w:rFonts w:hint="eastAsia" w:ascii="仿宋_GB2312" w:eastAsia="仿宋_GB2312"/>
          <w:sz w:val="30"/>
          <w:szCs w:val="30"/>
          <w:highlight w:val="none"/>
        </w:rPr>
        <w:t>为完成特定的行政工作任务或事业发展目标，用于专项业务工作的经费支出</w:t>
      </w:r>
    </w:p>
    <w:p>
      <w:pPr>
        <w:keepNext w:val="0"/>
        <w:keepLines w:val="0"/>
        <w:pageBreakBefore w:val="0"/>
        <w:widowControl/>
        <w:kinsoku/>
        <w:wordWrap w:val="0"/>
        <w:overflowPunct/>
        <w:topLinePunct w:val="0"/>
        <w:autoSpaceDE/>
        <w:autoSpaceDN/>
        <w:bidi w:val="0"/>
        <w:adjustRightInd/>
        <w:snapToGrid w:val="0"/>
        <w:spacing w:line="560" w:lineRule="exact"/>
        <w:jc w:val="both"/>
        <w:textAlignment w:val="auto"/>
        <w:rPr>
          <w:rFonts w:hint="eastAsia" w:ascii="仿宋_GB2312" w:eastAsia="仿宋_GB2312"/>
          <w:sz w:val="30"/>
          <w:szCs w:val="30"/>
          <w:highlight w:val="none"/>
        </w:rPr>
      </w:pPr>
      <w:r>
        <w:rPr>
          <w:rFonts w:hint="eastAsia" w:ascii="仿宋_GB2312" w:hAnsi="仿宋_GB2312" w:eastAsia="仿宋_GB2312" w:cs="仿宋_GB2312"/>
          <w:color w:val="auto"/>
          <w:sz w:val="30"/>
          <w:lang w:val="zh-CN"/>
        </w:rPr>
        <w:t>4</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026</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137.77</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pPr>
        <w:keepNext w:val="0"/>
        <w:keepLines w:val="0"/>
        <w:pageBreakBefore w:val="0"/>
        <w:widowControl/>
        <w:kinsoku/>
        <w:wordWrap w:val="0"/>
        <w:overflowPunct/>
        <w:topLinePunct w:val="0"/>
        <w:autoSpaceDE/>
        <w:autoSpaceDN/>
        <w:bidi w:val="0"/>
        <w:adjustRightInd/>
        <w:snapToGrid w:val="0"/>
        <w:spacing w:line="56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一般行政管理事务项目经费1,889,650.00元，主要用于</w:t>
      </w:r>
      <w:r>
        <w:rPr>
          <w:rFonts w:hint="eastAsia" w:ascii="仿宋_GB2312" w:eastAsia="仿宋_GB2312"/>
          <w:sz w:val="30"/>
          <w:szCs w:val="30"/>
          <w:highlight w:val="none"/>
          <w:lang w:eastAsia="zh-CN"/>
        </w:rPr>
        <w:t>基层残疾人工作者培训；残疾人意外伤害保险投保；精神残疾人服药补助；残疾人子女及残疾学生“春雨行动”助学补助；残疾人医疗保险代缴费补助；残疾人养老保险代缴费补助。</w:t>
      </w:r>
    </w:p>
    <w:p>
      <w:pPr>
        <w:keepNext w:val="0"/>
        <w:keepLines w:val="0"/>
        <w:pageBreakBefore w:val="0"/>
        <w:widowControl/>
        <w:kinsoku/>
        <w:wordWrap w:val="0"/>
        <w:overflowPunct/>
        <w:topLinePunct w:val="0"/>
        <w:autoSpaceDE/>
        <w:autoSpaceDN/>
        <w:bidi w:val="0"/>
        <w:adjustRightInd/>
        <w:snapToGrid w:val="0"/>
        <w:spacing w:line="56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rPr>
        <w:t>残疾人康复项目经费889</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322.77元，主要用于</w:t>
      </w:r>
      <w:r>
        <w:rPr>
          <w:rFonts w:hint="eastAsia" w:ascii="仿宋_GB2312" w:eastAsia="仿宋_GB2312"/>
          <w:sz w:val="30"/>
          <w:szCs w:val="30"/>
          <w:highlight w:val="none"/>
          <w:lang w:eastAsia="zh-CN"/>
        </w:rPr>
        <w:t>残疾人精准康复；残疾儿童康复救助；精神残疾人服药补助；残疾人住院医疗康复救助。</w:t>
      </w:r>
    </w:p>
    <w:p>
      <w:pPr>
        <w:keepNext w:val="0"/>
        <w:keepLines w:val="0"/>
        <w:pageBreakBefore w:val="0"/>
        <w:widowControl/>
        <w:kinsoku/>
        <w:wordWrap w:val="0"/>
        <w:overflowPunct/>
        <w:topLinePunct w:val="0"/>
        <w:autoSpaceDE/>
        <w:autoSpaceDN/>
        <w:bidi w:val="0"/>
        <w:adjustRightInd/>
        <w:snapToGrid w:val="0"/>
        <w:spacing w:line="56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rPr>
        <w:t>残疾人就业项目经费269</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246</w:t>
      </w:r>
      <w:r>
        <w:rPr>
          <w:rFonts w:hint="eastAsia" w:ascii="仿宋_GB2312" w:eastAsia="仿宋_GB2312"/>
          <w:sz w:val="30"/>
          <w:szCs w:val="30"/>
          <w:highlight w:val="none"/>
          <w:lang w:val="en-US" w:eastAsia="zh-CN"/>
        </w:rPr>
        <w:t>.00</w:t>
      </w:r>
      <w:r>
        <w:rPr>
          <w:rFonts w:hint="eastAsia" w:ascii="仿宋_GB2312" w:eastAsia="仿宋_GB2312"/>
          <w:sz w:val="30"/>
          <w:szCs w:val="30"/>
          <w:highlight w:val="none"/>
        </w:rPr>
        <w:t>元，主要用于</w:t>
      </w:r>
      <w:r>
        <w:rPr>
          <w:rFonts w:hint="eastAsia" w:ascii="仿宋_GB2312" w:eastAsia="仿宋_GB2312"/>
          <w:sz w:val="30"/>
          <w:szCs w:val="30"/>
          <w:highlight w:val="none"/>
          <w:lang w:eastAsia="zh-CN"/>
        </w:rPr>
        <w:t>残疾人就业创业扶持补助；盲人医疗按摩机构申报扶持。</w:t>
      </w:r>
    </w:p>
    <w:p>
      <w:pPr>
        <w:keepNext w:val="0"/>
        <w:keepLines w:val="0"/>
        <w:pageBreakBefore w:val="0"/>
        <w:widowControl/>
        <w:kinsoku/>
        <w:wordWrap w:val="0"/>
        <w:overflowPunct/>
        <w:topLinePunct w:val="0"/>
        <w:autoSpaceDE/>
        <w:autoSpaceDN/>
        <w:bidi w:val="0"/>
        <w:adjustRightInd/>
        <w:snapToGrid w:val="0"/>
        <w:spacing w:line="56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其他残疾人事业支出项目经费1</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104</w:t>
      </w:r>
      <w:r>
        <w:rPr>
          <w:rFonts w:hint="eastAsia" w:ascii="仿宋_GB2312" w:eastAsia="仿宋_GB2312"/>
          <w:sz w:val="30"/>
          <w:szCs w:val="30"/>
          <w:highlight w:val="none"/>
          <w:lang w:val="en-US" w:eastAsia="zh-CN"/>
        </w:rPr>
        <w:t>.00</w:t>
      </w:r>
      <w:r>
        <w:rPr>
          <w:rFonts w:hint="eastAsia" w:ascii="仿宋_GB2312" w:eastAsia="仿宋_GB2312"/>
          <w:sz w:val="30"/>
          <w:szCs w:val="30"/>
          <w:highlight w:val="none"/>
        </w:rPr>
        <w:t>元，主要用于</w:t>
      </w:r>
      <w:r>
        <w:rPr>
          <w:rFonts w:hint="eastAsia" w:ascii="仿宋_GB2312" w:eastAsia="仿宋_GB2312"/>
          <w:sz w:val="30"/>
          <w:szCs w:val="30"/>
          <w:highlight w:val="none"/>
          <w:lang w:eastAsia="zh-CN"/>
        </w:rPr>
        <w:t>残疾人文化宣传；残疾人基层组织建设。</w:t>
      </w:r>
    </w:p>
    <w:p>
      <w:pPr>
        <w:keepNext w:val="0"/>
        <w:keepLines w:val="0"/>
        <w:pageBreakBefore w:val="0"/>
        <w:widowControl/>
        <w:kinsoku/>
        <w:wordWrap w:val="0"/>
        <w:overflowPunct/>
        <w:topLinePunct w:val="0"/>
        <w:autoSpaceDE/>
        <w:autoSpaceDN/>
        <w:bidi w:val="0"/>
        <w:adjustRightInd/>
        <w:snapToGrid w:val="0"/>
        <w:spacing w:line="56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eastAsia="zh-CN"/>
        </w:rPr>
        <w:t>用于残疾人事业的彩票公益金支出</w:t>
      </w:r>
      <w:r>
        <w:rPr>
          <w:rFonts w:hint="eastAsia" w:ascii="仿宋_GB2312" w:eastAsia="仿宋_GB2312"/>
          <w:sz w:val="30"/>
          <w:szCs w:val="30"/>
          <w:highlight w:val="none"/>
        </w:rPr>
        <w:t>项目经费965,500.00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主要用于</w:t>
      </w:r>
      <w:r>
        <w:rPr>
          <w:rFonts w:hint="eastAsia" w:ascii="仿宋_GB2312" w:eastAsia="仿宋_GB2312"/>
          <w:sz w:val="30"/>
          <w:szCs w:val="30"/>
          <w:highlight w:val="none"/>
          <w:lang w:eastAsia="zh-CN"/>
        </w:rPr>
        <w:t>残疾儿童康复救助；精神残疾人服药补助；残疾人住院医疗康复救助；残疾人家庭无障碍改造。</w:t>
      </w:r>
    </w:p>
    <w:p>
      <w:pPr>
        <w:keepNext w:val="0"/>
        <w:keepLines w:val="0"/>
        <w:pageBreakBefore w:val="0"/>
        <w:widowControl/>
        <w:kinsoku/>
        <w:wordWrap w:val="0"/>
        <w:overflowPunct/>
        <w:topLinePunct w:val="0"/>
        <w:autoSpaceDE/>
        <w:autoSpaceDN/>
        <w:bidi w:val="0"/>
        <w:adjustRightInd/>
        <w:snapToGrid w:val="0"/>
        <w:spacing w:line="56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rPr>
        <w:t xml:space="preserve"> 行政运行项目经费</w:t>
      </w:r>
      <w:r>
        <w:rPr>
          <w:rFonts w:hint="eastAsia" w:ascii="仿宋_GB2312" w:eastAsia="仿宋_GB2312"/>
          <w:sz w:val="30"/>
          <w:szCs w:val="30"/>
          <w:highlight w:val="none"/>
          <w:lang w:val="en-US" w:eastAsia="zh-CN"/>
        </w:rPr>
        <w:t>11</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315</w:t>
      </w:r>
      <w:r>
        <w:rPr>
          <w:rFonts w:hint="eastAsia" w:ascii="仿宋_GB2312" w:eastAsia="仿宋_GB2312"/>
          <w:sz w:val="30"/>
          <w:szCs w:val="30"/>
          <w:highlight w:val="none"/>
        </w:rPr>
        <w:t>.00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主要用于</w:t>
      </w:r>
      <w:r>
        <w:rPr>
          <w:rFonts w:hint="eastAsia" w:ascii="仿宋_GB2312" w:eastAsia="仿宋_GB2312"/>
          <w:sz w:val="30"/>
          <w:szCs w:val="30"/>
          <w:highlight w:val="none"/>
          <w:lang w:eastAsia="zh-CN"/>
        </w:rPr>
        <w:t>残疾人文化宣传。</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昆明市呈贡区残疾人联合会</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4</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985</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094.03</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83.77</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减少</w:t>
      </w:r>
      <w:r>
        <w:rPr>
          <w:rFonts w:hint="eastAsia" w:ascii="仿宋_GB2312" w:hAnsi="宋体" w:eastAsia="仿宋_GB2312" w:cs="Arial"/>
          <w:kern w:val="0"/>
          <w:sz w:val="30"/>
          <w:szCs w:val="30"/>
          <w:highlight w:val="none"/>
          <w:lang w:val="zh-CN"/>
        </w:rPr>
        <w:t>423</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rPr>
        <w:t>845.84</w:t>
      </w:r>
      <w:r>
        <w:rPr>
          <w:rFonts w:hint="eastAsia" w:ascii="仿宋_GB2312" w:hAnsi="宋体" w:eastAsia="仿宋_GB2312" w:cs="Arial"/>
          <w:kern w:val="0"/>
          <w:sz w:val="30"/>
          <w:szCs w:val="30"/>
          <w:highlight w:val="none"/>
        </w:rPr>
        <w:t>元，下降</w:t>
      </w:r>
      <w:r>
        <w:rPr>
          <w:rFonts w:hint="eastAsia" w:ascii="仿宋_GB2312" w:hAnsi="宋体" w:eastAsia="仿宋_GB2312" w:cs="Arial"/>
          <w:kern w:val="0"/>
          <w:sz w:val="30"/>
          <w:szCs w:val="30"/>
          <w:highlight w:val="none"/>
          <w:lang w:val="zh-CN"/>
        </w:rPr>
        <w:t>7.84</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w:t>
      </w:r>
      <w:r>
        <w:rPr>
          <w:rFonts w:hint="eastAsia" w:ascii="仿宋_GB2312" w:hAnsi="宋体" w:eastAsia="仿宋_GB2312" w:cs="Arial"/>
          <w:color w:val="auto"/>
          <w:kern w:val="0"/>
          <w:sz w:val="30"/>
          <w:szCs w:val="30"/>
          <w:highlight w:val="none"/>
          <w:lang w:eastAsia="zh-CN"/>
        </w:rPr>
        <w:t>的</w:t>
      </w:r>
      <w:r>
        <w:rPr>
          <w:rFonts w:hint="eastAsia" w:ascii="仿宋_GB2312" w:hAnsi="宋体" w:eastAsia="仿宋_GB2312" w:cs="Arial"/>
          <w:color w:val="auto"/>
          <w:kern w:val="0"/>
          <w:sz w:val="30"/>
          <w:szCs w:val="30"/>
          <w:highlight w:val="none"/>
          <w:lang w:val="zh-CN"/>
        </w:rPr>
        <w:t>114.22</w:t>
      </w:r>
      <w:r>
        <w:rPr>
          <w:rFonts w:hint="eastAsia" w:ascii="仿宋_GB2312" w:hAnsi="宋体" w:eastAsia="仿宋_GB2312" w:cs="Arial"/>
          <w:color w:val="auto"/>
          <w:kern w:val="0"/>
          <w:sz w:val="30"/>
          <w:szCs w:val="30"/>
          <w:highlight w:val="none"/>
          <w:lang w:val="en-US" w:eastAsia="zh-CN"/>
        </w:rPr>
        <w:t>%</w:t>
      </w:r>
      <w:r>
        <w:rPr>
          <w:rFonts w:hint="eastAsia" w:ascii="仿宋_GB2312" w:hAnsi="宋体" w:eastAsia="仿宋_GB2312" w:cs="Arial"/>
          <w:color w:val="auto"/>
          <w:kern w:val="0"/>
          <w:sz w:val="30"/>
          <w:szCs w:val="30"/>
          <w:highlight w:val="none"/>
        </w:rPr>
        <w:t>。</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1.一般公共服务（类）支出0.00元，占一般公共预算财政拨款总支出的0.00%,年初无此项预算。</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2.外交（类）支出0.00元，占一般公共预算财政拨款总支出的0.00%,年初无此项预算。</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3.国防（类）支出0.00元，占一般公共预算财政拨款总支出的0.00%,年初无此项预算。</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4.公共安全（类）支出0.00元，占一般公共预算财政拨款总支出的0.00%,年初无此项预算。</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5.教育（类）支出0.00元，占一般公共预算财政拨款总支出的0.00%,年初无此项预算。</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6.科学技术（类）支出0.00元，占一般公共预算财政拨款总支出的0.00%,年初无此项预算。</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7.文化旅游体育与传媒（类）支出0.00元，占一般公共预算财政拨款总支出的0.00%,年初无此项预算。</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8.社会保障和就业（类）支出4784929.24元，占一般公共预算财政拨款总支出的95.98%,完成年初预算的114.55%</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主要用于行政单位离退休</w:t>
      </w:r>
      <w:r>
        <w:rPr>
          <w:rFonts w:hint="eastAsia" w:ascii="仿宋_GB2312" w:hAnsi="宋体" w:eastAsia="仿宋_GB2312" w:cs="Arial"/>
          <w:kern w:val="0"/>
          <w:sz w:val="30"/>
          <w:szCs w:val="30"/>
          <w:highlight w:val="none"/>
          <w:lang w:eastAsia="zh-CN"/>
        </w:rPr>
        <w:t>支出</w:t>
      </w:r>
      <w:r>
        <w:rPr>
          <w:rFonts w:hint="eastAsia" w:ascii="仿宋_GB2312" w:hAnsi="宋体" w:eastAsia="仿宋_GB2312" w:cs="Arial"/>
          <w:kern w:val="0"/>
          <w:sz w:val="30"/>
          <w:szCs w:val="30"/>
          <w:highlight w:val="none"/>
        </w:rPr>
        <w:t>25,480.00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机关事业单位基本养老保险缴费支出118,420.16</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行政运行</w:t>
      </w:r>
      <w:r>
        <w:rPr>
          <w:rFonts w:hint="eastAsia" w:ascii="仿宋_GB2312" w:hAnsi="宋体" w:eastAsia="仿宋_GB2312" w:cs="Arial"/>
          <w:kern w:val="0"/>
          <w:sz w:val="30"/>
          <w:szCs w:val="30"/>
          <w:highlight w:val="none"/>
          <w:lang w:eastAsia="zh-CN"/>
        </w:rPr>
        <w:t>支出</w:t>
      </w:r>
      <w:r>
        <w:rPr>
          <w:rFonts w:hint="eastAsia" w:ascii="仿宋_GB2312" w:hAnsi="宋体" w:eastAsia="仿宋_GB2312" w:cs="Arial"/>
          <w:kern w:val="0"/>
          <w:sz w:val="30"/>
          <w:szCs w:val="30"/>
          <w:highlight w:val="none"/>
        </w:rPr>
        <w:t>1,591,706.31</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一般行政管理事务</w:t>
      </w:r>
      <w:r>
        <w:rPr>
          <w:rFonts w:hint="eastAsia" w:ascii="仿宋_GB2312" w:hAnsi="宋体" w:eastAsia="仿宋_GB2312" w:cs="Arial"/>
          <w:kern w:val="0"/>
          <w:sz w:val="30"/>
          <w:szCs w:val="30"/>
          <w:highlight w:val="none"/>
          <w:lang w:eastAsia="zh-CN"/>
        </w:rPr>
        <w:t>支出</w:t>
      </w:r>
      <w:r>
        <w:rPr>
          <w:rFonts w:hint="eastAsia" w:ascii="仿宋_GB2312" w:hAnsi="宋体" w:eastAsia="仿宋_GB2312" w:cs="Arial"/>
          <w:kern w:val="0"/>
          <w:sz w:val="30"/>
          <w:szCs w:val="30"/>
          <w:highlight w:val="none"/>
        </w:rPr>
        <w:t>1,889,650.00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残疾人康复</w:t>
      </w:r>
      <w:r>
        <w:rPr>
          <w:rFonts w:hint="eastAsia" w:ascii="仿宋_GB2312" w:hAnsi="宋体" w:eastAsia="仿宋_GB2312" w:cs="Arial"/>
          <w:kern w:val="0"/>
          <w:sz w:val="30"/>
          <w:szCs w:val="30"/>
          <w:highlight w:val="none"/>
          <w:lang w:eastAsia="zh-CN"/>
        </w:rPr>
        <w:t>支出</w:t>
      </w:r>
      <w:r>
        <w:rPr>
          <w:rFonts w:hint="eastAsia" w:ascii="仿宋_GB2312" w:hAnsi="宋体" w:eastAsia="仿宋_GB2312" w:cs="Arial"/>
          <w:kern w:val="0"/>
          <w:sz w:val="30"/>
          <w:szCs w:val="30"/>
          <w:highlight w:val="none"/>
        </w:rPr>
        <w:t xml:space="preserve">889,322.77 </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残疾人就业</w:t>
      </w:r>
      <w:r>
        <w:rPr>
          <w:rFonts w:hint="eastAsia" w:ascii="仿宋_GB2312" w:hAnsi="宋体" w:eastAsia="仿宋_GB2312" w:cs="Arial"/>
          <w:kern w:val="0"/>
          <w:sz w:val="30"/>
          <w:szCs w:val="30"/>
          <w:highlight w:val="none"/>
          <w:lang w:eastAsia="zh-CN"/>
        </w:rPr>
        <w:t>支出</w:t>
      </w:r>
      <w:r>
        <w:rPr>
          <w:rFonts w:hint="eastAsia" w:ascii="仿宋_GB2312" w:hAnsi="宋体" w:eastAsia="仿宋_GB2312" w:cs="Arial"/>
          <w:kern w:val="0"/>
          <w:sz w:val="30"/>
          <w:szCs w:val="30"/>
          <w:highlight w:val="none"/>
        </w:rPr>
        <w:t>269,246.00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 xml:space="preserve">其他残疾人事业支出1,104.00 </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hAnsi="宋体" w:eastAsia="仿宋_GB2312" w:cs="Arial"/>
          <w:color w:val="auto"/>
          <w:kern w:val="0"/>
          <w:sz w:val="30"/>
          <w:szCs w:val="30"/>
          <w:highlight w:val="none"/>
          <w:lang w:val="en-US" w:eastAsia="zh-CN"/>
        </w:rPr>
        <w:t>造成</w:t>
      </w:r>
      <w:r>
        <w:rPr>
          <w:rFonts w:hint="eastAsia" w:ascii="仿宋_GB2312" w:hAnsi="宋体" w:eastAsia="仿宋_GB2312" w:cs="Arial"/>
          <w:color w:val="auto"/>
          <w:kern w:val="0"/>
          <w:sz w:val="30"/>
          <w:szCs w:val="30"/>
          <w:highlight w:val="none"/>
          <w:lang w:eastAsia="zh-CN"/>
        </w:rPr>
        <w:t>预决算差异的主要是预算编制的准确性和科学性仍需提高。</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9.卫生健康（类）支出95073.79元，占一般公共预算财政拨款总支出的1.91%,完成年初预算的96.89%。主要用于行政单位医疗</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医疗补助</w:t>
      </w:r>
      <w:r>
        <w:rPr>
          <w:rFonts w:hint="eastAsia" w:ascii="仿宋_GB2312" w:hAnsi="宋体" w:eastAsia="仿宋_GB2312" w:cs="Arial"/>
          <w:kern w:val="0"/>
          <w:sz w:val="30"/>
          <w:szCs w:val="30"/>
          <w:highlight w:val="none"/>
          <w:lang w:eastAsia="zh-CN"/>
        </w:rPr>
        <w:t>及医疗支出</w:t>
      </w:r>
      <w:r>
        <w:rPr>
          <w:rFonts w:hint="eastAsia" w:ascii="仿宋_GB2312" w:hAnsi="宋体" w:eastAsia="仿宋_GB2312" w:cs="Arial"/>
          <w:kern w:val="0"/>
          <w:sz w:val="30"/>
          <w:szCs w:val="30"/>
          <w:highlight w:val="none"/>
        </w:rPr>
        <w:t>；</w:t>
      </w:r>
      <w:r>
        <w:rPr>
          <w:rFonts w:hint="eastAsia" w:ascii="仿宋_GB2312" w:hAnsi="宋体" w:eastAsia="仿宋_GB2312" w:cs="Arial"/>
          <w:color w:val="auto"/>
          <w:kern w:val="0"/>
          <w:sz w:val="30"/>
          <w:szCs w:val="30"/>
          <w:highlight w:val="none"/>
          <w:lang w:val="en-US" w:eastAsia="zh-CN"/>
        </w:rPr>
        <w:t>造成</w:t>
      </w:r>
      <w:r>
        <w:rPr>
          <w:rFonts w:hint="eastAsia" w:ascii="仿宋_GB2312" w:hAnsi="宋体" w:eastAsia="仿宋_GB2312" w:cs="Arial"/>
          <w:color w:val="auto"/>
          <w:kern w:val="0"/>
          <w:sz w:val="30"/>
          <w:szCs w:val="30"/>
          <w:highlight w:val="none"/>
          <w:lang w:eastAsia="zh-CN"/>
        </w:rPr>
        <w:t>预决算差异的主要是预算编制的准确性和科学性仍需提高。</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10.节能环保（类）支出0.00元，占一般公共预算财政拨款总支出的0.00%,年初无此项预算。</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11.城乡社区（类）支出0.00元，占一般公共预算财政拨款总支出的0.00%,年初无此项预算。</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12.农林水（类）支出0.00元，占一般公共预算财政拨款总支出的0.00%,年初无此项预算。</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13.交通运输（类）支出0.00元，占一般公共预算财政拨款总支出的0.00%,年初无此项预算。</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14.资源勘探工业信息等（类）支出0.00元，占一般公共预算财政拨款总支出的0.00%,年初无此项预算。</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15.商业服务业等（类）支出0.00元，占一般公共预算财政拨款总支出的0.00%,年初无此项预算。</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16.金融（类）支出0.00元，占一般公共预算财政拨款总支出的0.00%,年初无此项预算。</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17.援助其他地区（类）支出0.00元，占一般公共预算财政拨款总支出的0.00%,年初无此项预算。</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18.自然资源海洋气象等（类）支出0.00元，占一般公共预算财政拨款总支出的0.00%,年初无此项预算。</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19.住房保障（类）支出105091.00元，占一般公共预算财政拨款总支出的2.11%,完成年初预算的119.53%。主要用于住房公积金103,411.00</w:t>
      </w:r>
      <w:r>
        <w:rPr>
          <w:rFonts w:hint="eastAsia" w:ascii="仿宋_GB2312" w:hAnsi="宋体" w:eastAsia="仿宋_GB2312" w:cs="Arial"/>
          <w:kern w:val="0"/>
          <w:sz w:val="30"/>
          <w:szCs w:val="30"/>
          <w:highlight w:val="none"/>
          <w:lang w:eastAsia="zh-CN"/>
        </w:rPr>
        <w:t>元和购房补贴1,680.00 元</w:t>
      </w:r>
      <w:r>
        <w:rPr>
          <w:rFonts w:hint="eastAsia" w:ascii="仿宋_GB2312" w:hAnsi="宋体" w:eastAsia="仿宋_GB2312" w:cs="Arial"/>
          <w:kern w:val="0"/>
          <w:sz w:val="30"/>
          <w:szCs w:val="30"/>
          <w:highlight w:val="none"/>
        </w:rPr>
        <w:t>；</w:t>
      </w:r>
      <w:r>
        <w:rPr>
          <w:rFonts w:hint="eastAsia" w:ascii="仿宋_GB2312" w:hAnsi="宋体" w:eastAsia="仿宋_GB2312" w:cs="Arial"/>
          <w:color w:val="auto"/>
          <w:kern w:val="0"/>
          <w:sz w:val="30"/>
          <w:szCs w:val="30"/>
          <w:highlight w:val="none"/>
          <w:lang w:val="en-US" w:eastAsia="zh-CN"/>
        </w:rPr>
        <w:t>造成</w:t>
      </w:r>
      <w:r>
        <w:rPr>
          <w:rFonts w:hint="eastAsia" w:ascii="仿宋_GB2312" w:hAnsi="宋体" w:eastAsia="仿宋_GB2312" w:cs="Arial"/>
          <w:color w:val="auto"/>
          <w:kern w:val="0"/>
          <w:sz w:val="30"/>
          <w:szCs w:val="30"/>
          <w:highlight w:val="none"/>
          <w:lang w:eastAsia="zh-CN"/>
        </w:rPr>
        <w:t>预决算差异的主要是预算编制的准确性和科学性仍需提高</w:t>
      </w:r>
      <w:r>
        <w:rPr>
          <w:rFonts w:hint="eastAsia" w:ascii="仿宋_GB2312" w:hAnsi="宋体" w:eastAsia="仿宋_GB2312" w:cs="Arial"/>
          <w:kern w:val="0"/>
          <w:sz w:val="30"/>
          <w:szCs w:val="30"/>
          <w:highlight w:val="none"/>
        </w:rPr>
        <w:t>。</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rPr>
        <w:t>20.粮油物资储备（类）支出0.00元，占一般公共预算财政拨款总支出的0.00%,年初无此项预算</w:t>
      </w:r>
      <w:r>
        <w:rPr>
          <w:rFonts w:hint="eastAsia" w:ascii="仿宋_GB2312" w:hAnsi="宋体" w:eastAsia="仿宋_GB2312" w:cs="Arial"/>
          <w:kern w:val="0"/>
          <w:sz w:val="30"/>
          <w:szCs w:val="30"/>
          <w:highlight w:val="none"/>
          <w:lang w:eastAsia="zh-CN"/>
        </w:rPr>
        <w:t>。</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21.国有资本经营预算（类）支出0.00元，占一般公共预算财政拨款总支出的0.00%,年初无此项预算。</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22.灾害防治及应急管理（类）支出0.00元，占一般公共预算财政拨款总支出的0.00%,年初无此项预算。</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23.其他（类）支出0.00元，占一般公共预算财政拨款总支出的0.00%,年初无此项预算。</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24.债务还本（类）支出0.00元，占一般公共预算财政拨款总支出的0.00%,年初无此项预算。</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25.债务付息（类）支出0.00元，占一般公共预算财政拨款总支出的0.00%,年初无此项预算。</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26.抗疫特别国债安排（类）支出0.00元，占一般公共预算财政拨款总支出的0.00%,年初无此项预算。</w:t>
      </w:r>
    </w:p>
    <w:p>
      <w:pPr>
        <w:keepNext w:val="0"/>
        <w:keepLines w:val="0"/>
        <w:pageBreakBefore w:val="0"/>
        <w:widowControl/>
        <w:numPr>
          <w:ilvl w:val="0"/>
          <w:numId w:val="2"/>
        </w:numPr>
        <w:kinsoku/>
        <w:overflowPunct/>
        <w:topLinePunct w:val="0"/>
        <w:autoSpaceDE/>
        <w:autoSpaceDN/>
        <w:bidi w:val="0"/>
        <w:adjustRightInd/>
        <w:snapToGrid w:val="0"/>
        <w:spacing w:line="56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00" w:firstLineChars="200"/>
        <w:jc w:val="left"/>
        <w:textAlignment w:val="auto"/>
        <w:rPr>
          <w:rFonts w:hint="eastAsia" w:ascii="仿宋_GB2312" w:hAnsi="仿宋_GB2312" w:eastAsia="仿宋_GB2312" w:cs="仿宋_GB2312"/>
          <w:kern w:val="0"/>
          <w:sz w:val="30"/>
          <w:szCs w:val="30"/>
          <w:highlight w:val="none"/>
          <w:lang w:val="en-US" w:eastAsia="zh-CN"/>
        </w:rPr>
      </w:pPr>
      <w:r>
        <w:rPr>
          <w:rFonts w:hint="eastAsia" w:ascii="仿宋_GB2312" w:hAnsi="仿宋_GB2312" w:eastAsia="仿宋_GB2312" w:cs="仿宋_GB2312"/>
          <w:kern w:val="0"/>
          <w:sz w:val="30"/>
          <w:szCs w:val="30"/>
          <w:highlight w:val="none"/>
          <w:lang w:val="en-US" w:eastAsia="zh-CN"/>
        </w:rPr>
        <w:t>2025年度</w:t>
      </w:r>
      <w:r>
        <w:rPr>
          <w:rFonts w:hint="eastAsia" w:ascii="仿宋_GB2312" w:hAnsi="仿宋_GB2312" w:eastAsia="仿宋_GB2312" w:cs="仿宋_GB2312"/>
          <w:kern w:val="0"/>
          <w:sz w:val="30"/>
          <w:szCs w:val="30"/>
          <w:highlight w:val="none"/>
        </w:rPr>
        <w:t>财政拨款“三公”经费支出决算中，财政拨款“三公”经费支出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kern w:val="0"/>
          <w:sz w:val="30"/>
          <w:lang w:val="en-US" w:eastAsia="zh-CN"/>
        </w:rPr>
        <w:t>25,420.00</w:t>
      </w:r>
      <w:r>
        <w:rPr>
          <w:rFonts w:hint="eastAsia" w:ascii="仿宋_GB2312" w:hAnsi="仿宋_GB2312" w:eastAsia="仿宋_GB2312" w:cs="仿宋_GB2312"/>
          <w:kern w:val="0"/>
          <w:sz w:val="30"/>
          <w:szCs w:val="30"/>
          <w:highlight w:val="none"/>
        </w:rPr>
        <w:t>元，决算为</w:t>
      </w:r>
      <w:r>
        <w:rPr>
          <w:rFonts w:hint="eastAsia" w:ascii="仿宋_GB2312" w:hAnsi="仿宋_GB2312" w:eastAsia="仿宋_GB2312" w:cs="仿宋_GB2312"/>
          <w:color w:val="000000"/>
          <w:sz w:val="30"/>
          <w:lang w:val="zh-CN"/>
        </w:rPr>
        <w:t>11</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666.55</w:t>
      </w:r>
      <w:r>
        <w:rPr>
          <w:rFonts w:hint="eastAsia" w:ascii="仿宋_GB2312" w:hAnsi="仿宋_GB2312" w:eastAsia="仿宋_GB2312" w:cs="仿宋_GB2312"/>
          <w:kern w:val="0"/>
          <w:sz w:val="30"/>
          <w:szCs w:val="30"/>
          <w:highlight w:val="none"/>
        </w:rPr>
        <w:t>元，完成</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预算的</w:t>
      </w:r>
      <w:r>
        <w:rPr>
          <w:rFonts w:hint="eastAsia" w:ascii="仿宋_GB2312" w:hAnsi="仿宋_GB2312" w:eastAsia="仿宋_GB2312" w:cs="仿宋_GB2312"/>
          <w:color w:val="000000"/>
          <w:sz w:val="30"/>
          <w:lang w:val="zh-CN"/>
        </w:rPr>
        <w:t>45.90</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；支出决算较上年增加</w:t>
      </w:r>
      <w:r>
        <w:rPr>
          <w:rFonts w:hint="eastAsia" w:ascii="仿宋_GB2312" w:hAnsi="仿宋_GB2312" w:eastAsia="仿宋_GB2312" w:cs="仿宋_GB2312"/>
          <w:color w:val="000000"/>
          <w:sz w:val="30"/>
          <w:lang w:val="zh-CN"/>
        </w:rPr>
        <w:t>3</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540.70</w:t>
      </w:r>
      <w:r>
        <w:rPr>
          <w:rFonts w:hint="eastAsia" w:ascii="仿宋_GB2312" w:hAnsi="仿宋_GB2312" w:eastAsia="仿宋_GB2312" w:cs="仿宋_GB2312"/>
          <w:kern w:val="0"/>
          <w:sz w:val="30"/>
          <w:szCs w:val="30"/>
          <w:highlight w:val="none"/>
          <w:lang w:val="en-US" w:eastAsia="zh-CN"/>
        </w:rPr>
        <w:t>元，增长</w:t>
      </w:r>
      <w:r>
        <w:rPr>
          <w:rFonts w:hint="eastAsia" w:ascii="仿宋_GB2312" w:hAnsi="仿宋_GB2312" w:eastAsia="仿宋_GB2312" w:cs="仿宋_GB2312"/>
          <w:color w:val="000000"/>
          <w:sz w:val="30"/>
          <w:lang w:val="zh-CN"/>
        </w:rPr>
        <w:t>43.57</w:t>
      </w:r>
      <w:r>
        <w:rPr>
          <w:rFonts w:hint="eastAsia" w:ascii="仿宋_GB2312" w:hAnsi="仿宋_GB2312" w:eastAsia="仿宋_GB2312" w:cs="仿宋_GB2312"/>
          <w:kern w:val="0"/>
          <w:sz w:val="30"/>
          <w:szCs w:val="30"/>
          <w:highlight w:val="none"/>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00" w:firstLineChars="200"/>
        <w:jc w:val="left"/>
        <w:textAlignment w:val="auto"/>
        <w:rPr>
          <w:rFonts w:hint="eastAsia" w:ascii="仿宋_GB2312" w:hAnsi="仿宋_GB2312" w:eastAsia="仿宋_GB2312" w:cs="仿宋_GB2312"/>
          <w:color w:val="FF0000"/>
          <w:sz w:val="30"/>
          <w:szCs w:val="30"/>
          <w:lang w:eastAsia="zh-CN"/>
        </w:rPr>
      </w:pPr>
      <w:r>
        <w:rPr>
          <w:rFonts w:hint="eastAsia" w:ascii="仿宋_GB2312" w:hAnsi="仿宋_GB2312" w:eastAsia="仿宋_GB2312" w:cs="仿宋_GB2312"/>
          <w:kern w:val="0"/>
          <w:sz w:val="30"/>
          <w:szCs w:val="30"/>
          <w:highlight w:val="none"/>
          <w:lang w:eastAsia="zh-CN"/>
        </w:rPr>
        <w:t>因公出国（境）费用</w:t>
      </w:r>
      <w:r>
        <w:rPr>
          <w:rFonts w:hint="eastAsia" w:ascii="仿宋_GB2312" w:hAnsi="仿宋_GB2312" w:eastAsia="仿宋_GB2312" w:cs="仿宋_GB2312"/>
          <w:kern w:val="0"/>
          <w:sz w:val="30"/>
          <w:szCs w:val="30"/>
          <w:highlight w:val="none"/>
        </w:rPr>
        <w:t>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%；公务用车购置费支出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%；公务用车</w:t>
      </w:r>
      <w:r>
        <w:rPr>
          <w:rFonts w:hint="eastAsia" w:ascii="仿宋_GB2312" w:hAnsi="仿宋_GB2312" w:eastAsia="仿宋_GB2312" w:cs="仿宋_GB2312"/>
          <w:kern w:val="0"/>
          <w:sz w:val="30"/>
          <w:szCs w:val="30"/>
          <w:highlight w:val="none"/>
          <w:lang w:eastAsia="zh-CN"/>
        </w:rPr>
        <w:t>运行维护</w:t>
      </w:r>
      <w:r>
        <w:rPr>
          <w:rFonts w:hint="eastAsia" w:ascii="仿宋_GB2312" w:hAnsi="仿宋_GB2312" w:eastAsia="仿宋_GB2312" w:cs="仿宋_GB2312"/>
          <w:kern w:val="0"/>
          <w:sz w:val="30"/>
          <w:szCs w:val="30"/>
          <w:highlight w:val="none"/>
        </w:rPr>
        <w:t>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25</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420.00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11</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666.55</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100.00</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，完成年初预算的</w:t>
      </w:r>
      <w:r>
        <w:rPr>
          <w:rFonts w:hint="eastAsia" w:ascii="仿宋_GB2312" w:hAnsi="仿宋_GB2312" w:eastAsia="仿宋_GB2312" w:cs="仿宋_GB2312"/>
          <w:color w:val="000000"/>
          <w:sz w:val="30"/>
          <w:lang w:val="zh-CN"/>
        </w:rPr>
        <w:t>45.90</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rPr>
        <w:t>公务接待费支出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color w:val="auto"/>
          <w:sz w:val="30"/>
          <w:szCs w:val="30"/>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00" w:firstLineChars="200"/>
        <w:jc w:val="left"/>
        <w:textAlignment w:val="auto"/>
        <w:rPr>
          <w:rFonts w:hint="eastAsia" w:ascii="仿宋_GB2312" w:hAnsi="仿宋_GB2312" w:eastAsia="仿宋_GB2312" w:cs="仿宋_GB2312"/>
          <w:kern w:val="0"/>
          <w:sz w:val="30"/>
          <w:szCs w:val="30"/>
          <w:highlight w:val="none"/>
          <w:lang w:eastAsia="zh-CN"/>
        </w:rPr>
      </w:pPr>
      <w:r>
        <w:rPr>
          <w:rFonts w:hint="eastAsia" w:ascii="仿宋_GB2312" w:hAnsi="仿宋_GB2312" w:eastAsia="仿宋_GB2312" w:cs="仿宋_GB2312"/>
          <w:sz w:val="30"/>
          <w:szCs w:val="30"/>
          <w:highlight w:val="none"/>
          <w:lang w:eastAsia="zh-CN"/>
        </w:rPr>
        <w:t>因公出国（境）费支出决算较上年增加0元，上年无此项支出；公务用车购置费支出决算较上年增加0元，上年无此项支出；</w:t>
      </w:r>
      <w:r>
        <w:rPr>
          <w:rFonts w:hint="eastAsia" w:ascii="仿宋_GB2312" w:hAnsi="仿宋_GB2312" w:eastAsia="仿宋_GB2312" w:cs="仿宋_GB2312"/>
          <w:sz w:val="30"/>
          <w:szCs w:val="30"/>
          <w:highlight w:val="none"/>
        </w:rPr>
        <w:t>公务用车</w:t>
      </w:r>
      <w:r>
        <w:rPr>
          <w:rFonts w:hint="eastAsia" w:ascii="仿宋_GB2312" w:hAnsi="仿宋_GB2312" w:eastAsia="仿宋_GB2312" w:cs="仿宋_GB2312"/>
          <w:sz w:val="30"/>
          <w:szCs w:val="30"/>
          <w:highlight w:val="none"/>
          <w:lang w:eastAsia="zh-CN"/>
        </w:rPr>
        <w:t>运行维护费</w:t>
      </w:r>
      <w:r>
        <w:rPr>
          <w:rFonts w:hint="eastAsia" w:ascii="仿宋_GB2312" w:hAnsi="仿宋_GB2312" w:eastAsia="仿宋_GB2312" w:cs="仿宋_GB2312"/>
          <w:kern w:val="0"/>
          <w:sz w:val="30"/>
          <w:szCs w:val="30"/>
          <w:highlight w:val="none"/>
          <w:lang w:eastAsia="zh-CN"/>
        </w:rPr>
        <w:t>支出决算较上年增加</w:t>
      </w:r>
      <w:r>
        <w:rPr>
          <w:rFonts w:hint="eastAsia" w:ascii="仿宋_GB2312" w:hAnsi="仿宋_GB2312" w:eastAsia="仿宋_GB2312" w:cs="仿宋_GB2312"/>
          <w:color w:val="000000"/>
          <w:sz w:val="30"/>
          <w:lang w:val="zh-CN"/>
        </w:rPr>
        <w:t>3</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540.70</w:t>
      </w:r>
      <w:r>
        <w:rPr>
          <w:rFonts w:hint="eastAsia" w:ascii="仿宋_GB2312" w:hAnsi="仿宋_GB2312" w:eastAsia="仿宋_GB2312" w:cs="仿宋_GB2312"/>
          <w:kern w:val="0"/>
          <w:sz w:val="30"/>
          <w:szCs w:val="30"/>
          <w:highlight w:val="none"/>
          <w:lang w:val="en-US" w:eastAsia="zh-CN"/>
        </w:rPr>
        <w:t>元，增长</w:t>
      </w:r>
      <w:r>
        <w:rPr>
          <w:rFonts w:hint="eastAsia" w:ascii="仿宋_GB2312" w:hAnsi="仿宋_GB2312" w:eastAsia="仿宋_GB2312" w:cs="仿宋_GB2312"/>
          <w:color w:val="000000"/>
          <w:sz w:val="30"/>
          <w:lang w:val="zh-CN"/>
        </w:rPr>
        <w:t>43.57</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w:t>
      </w:r>
      <w:r>
        <w:rPr>
          <w:rFonts w:hint="eastAsia" w:ascii="仿宋_GB2312" w:eastAsia="仿宋_GB2312"/>
          <w:sz w:val="30"/>
          <w:szCs w:val="30"/>
          <w:highlight w:val="none"/>
        </w:rPr>
        <w:t>公务接待费</w:t>
      </w:r>
      <w:r>
        <w:rPr>
          <w:rFonts w:hint="eastAsia" w:ascii="仿宋_GB2312" w:hAnsi="宋体" w:eastAsia="仿宋_GB2312" w:cs="Arial"/>
          <w:kern w:val="0"/>
          <w:sz w:val="30"/>
          <w:szCs w:val="30"/>
          <w:highlight w:val="none"/>
          <w:lang w:eastAsia="zh-CN"/>
        </w:rPr>
        <w:t>支出决算较上年增加</w:t>
      </w:r>
      <w:r>
        <w:rPr>
          <w:rFonts w:hint="eastAsia" w:ascii="仿宋_GB2312" w:hAnsi="宋体" w:eastAsia="仿宋_GB2312" w:cs="Arial"/>
          <w:kern w:val="0"/>
          <w:sz w:val="30"/>
          <w:szCs w:val="30"/>
          <w:highlight w:val="none"/>
          <w:lang w:val="en-US" w:eastAsia="zh-CN"/>
        </w:rPr>
        <w:t>0元，</w:t>
      </w:r>
      <w:r>
        <w:rPr>
          <w:rFonts w:hint="eastAsia" w:ascii="仿宋_GB2312" w:eastAsia="仿宋_GB2312"/>
          <w:color w:val="auto"/>
          <w:sz w:val="30"/>
          <w:szCs w:val="30"/>
          <w:lang w:eastAsia="zh-CN"/>
        </w:rPr>
        <w:t>上年无此项支出</w:t>
      </w:r>
      <w:r>
        <w:rPr>
          <w:rFonts w:hint="eastAsia" w:ascii="仿宋_GB2312" w:hAnsi="宋体" w:eastAsia="仿宋_GB2312" w:cs="Arial"/>
          <w:kern w:val="0"/>
          <w:sz w:val="30"/>
          <w:szCs w:val="30"/>
          <w:highlight w:val="none"/>
          <w:lang w:eastAsia="zh-CN"/>
        </w:rPr>
        <w:t>；具体是国内接待费支出决算较上年增加</w:t>
      </w:r>
      <w:r>
        <w:rPr>
          <w:rFonts w:hint="eastAsia" w:ascii="仿宋_GB2312" w:hAnsi="宋体" w:eastAsia="仿宋_GB2312" w:cs="Arial"/>
          <w:kern w:val="0"/>
          <w:sz w:val="30"/>
          <w:szCs w:val="30"/>
          <w:highlight w:val="none"/>
          <w:lang w:val="en-US" w:eastAsia="zh-CN"/>
        </w:rPr>
        <w:t>0元</w:t>
      </w:r>
      <w:r>
        <w:rPr>
          <w:rFonts w:hint="eastAsia" w:ascii="仿宋_GB2312" w:hAnsi="宋体" w:eastAsia="仿宋_GB2312" w:cs="Arial"/>
          <w:kern w:val="0"/>
          <w:sz w:val="30"/>
          <w:szCs w:val="30"/>
          <w:highlight w:val="none"/>
          <w:lang w:eastAsia="zh-CN"/>
        </w:rPr>
        <w:t>（其中：外事接待费支出决算</w:t>
      </w:r>
      <w:r>
        <w:rPr>
          <w:rFonts w:hint="eastAsia" w:ascii="仿宋_GB2312" w:hAnsi="宋体" w:eastAsia="仿宋_GB2312" w:cs="Arial"/>
          <w:kern w:val="0"/>
          <w:sz w:val="30"/>
          <w:szCs w:val="30"/>
          <w:highlight w:val="none"/>
          <w:lang w:val="en-US" w:eastAsia="zh-CN"/>
        </w:rPr>
        <w:t>0</w:t>
      </w:r>
      <w:r>
        <w:rPr>
          <w:rFonts w:hint="eastAsia" w:ascii="仿宋_GB2312" w:hAnsi="宋体" w:eastAsia="仿宋_GB2312" w:cs="Arial"/>
          <w:kern w:val="0"/>
          <w:sz w:val="30"/>
          <w:szCs w:val="30"/>
          <w:highlight w:val="none"/>
          <w:lang w:eastAsia="zh-CN"/>
        </w:rPr>
        <w:t>元），上年无此项支出</w:t>
      </w:r>
      <w:r>
        <w:rPr>
          <w:rFonts w:hint="eastAsia" w:ascii="仿宋_GB2312" w:eastAsia="仿宋_GB2312"/>
          <w:color w:val="auto"/>
          <w:sz w:val="30"/>
          <w:szCs w:val="30"/>
          <w:lang w:eastAsia="zh-CN"/>
        </w:rPr>
        <w:t>；</w:t>
      </w:r>
      <w:r>
        <w:rPr>
          <w:rFonts w:hint="eastAsia" w:ascii="仿宋_GB2312" w:hAnsi="宋体" w:eastAsia="仿宋_GB2312" w:cs="Arial"/>
          <w:kern w:val="0"/>
          <w:sz w:val="30"/>
          <w:szCs w:val="30"/>
          <w:highlight w:val="none"/>
          <w:lang w:eastAsia="zh-CN"/>
        </w:rPr>
        <w:t>国（境）外接待费支出决算较上年增加</w:t>
      </w:r>
      <w:r>
        <w:rPr>
          <w:rFonts w:hint="eastAsia" w:ascii="仿宋_GB2312" w:hAnsi="宋体" w:eastAsia="仿宋_GB2312" w:cs="Arial"/>
          <w:kern w:val="0"/>
          <w:sz w:val="30"/>
          <w:szCs w:val="30"/>
          <w:highlight w:val="none"/>
          <w:lang w:val="en-US" w:eastAsia="zh-CN"/>
        </w:rPr>
        <w:t>0元，</w:t>
      </w:r>
      <w:r>
        <w:rPr>
          <w:rFonts w:hint="eastAsia" w:ascii="仿宋_GB2312" w:hAnsi="宋体" w:eastAsia="仿宋_GB2312" w:cs="Arial"/>
          <w:kern w:val="0"/>
          <w:sz w:val="30"/>
          <w:szCs w:val="30"/>
          <w:highlight w:val="none"/>
          <w:lang w:eastAsia="zh-CN"/>
        </w:rPr>
        <w:t>上年无此项支出。</w:t>
      </w:r>
    </w:p>
    <w:p>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00" w:firstLineChars="200"/>
        <w:jc w:val="left"/>
        <w:textAlignment w:val="auto"/>
        <w:rPr>
          <w:rFonts w:hint="eastAsia" w:ascii="仿宋_GB2312" w:hAnsi="仿宋_GB2312" w:eastAsia="仿宋_GB2312" w:cs="仿宋_GB2312"/>
          <w:kern w:val="0"/>
          <w:sz w:val="30"/>
          <w:szCs w:val="30"/>
          <w:highlight w:val="none"/>
          <w:lang w:eastAsia="zh-CN"/>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25</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420.00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，支出决算为</w:t>
      </w:r>
      <w:r>
        <w:rPr>
          <w:rFonts w:hint="eastAsia" w:ascii="仿宋_GB2312" w:hAnsi="仿宋_GB2312" w:eastAsia="仿宋_GB2312" w:cs="仿宋_GB2312"/>
          <w:color w:val="000000"/>
          <w:sz w:val="30"/>
          <w:lang w:val="zh-CN"/>
        </w:rPr>
        <w:t>11</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666.55</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，完成</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预算的</w:t>
      </w:r>
      <w:r>
        <w:rPr>
          <w:rFonts w:hint="eastAsia" w:ascii="仿宋_GB2312" w:hAnsi="仿宋_GB2312" w:eastAsia="仿宋_GB2312" w:cs="仿宋_GB2312"/>
          <w:color w:val="000000"/>
          <w:sz w:val="30"/>
          <w:lang w:val="zh-CN"/>
        </w:rPr>
        <w:t>45.90</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kern w:val="0"/>
          <w:sz w:val="30"/>
          <w:szCs w:val="30"/>
          <w:highlight w:val="none"/>
          <w:lang w:eastAsia="zh-CN"/>
        </w:rPr>
        <w:t>支出决算较上年增加</w:t>
      </w:r>
      <w:r>
        <w:rPr>
          <w:rFonts w:hint="eastAsia" w:ascii="仿宋_GB2312" w:hAnsi="仿宋_GB2312" w:eastAsia="仿宋_GB2312" w:cs="仿宋_GB2312"/>
          <w:color w:val="000000"/>
          <w:sz w:val="30"/>
          <w:lang w:val="zh-CN"/>
        </w:rPr>
        <w:t>3</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540.70</w:t>
      </w:r>
      <w:r>
        <w:rPr>
          <w:rFonts w:hint="eastAsia" w:ascii="仿宋_GB2312" w:hAnsi="仿宋_GB2312" w:eastAsia="仿宋_GB2312" w:cs="仿宋_GB2312"/>
          <w:kern w:val="0"/>
          <w:sz w:val="30"/>
          <w:szCs w:val="30"/>
          <w:highlight w:val="none"/>
          <w:lang w:val="en-US" w:eastAsia="zh-CN"/>
        </w:rPr>
        <w:t>元，增长</w:t>
      </w:r>
      <w:r>
        <w:rPr>
          <w:rFonts w:hint="eastAsia" w:ascii="仿宋_GB2312" w:hAnsi="仿宋_GB2312" w:eastAsia="仿宋_GB2312" w:cs="仿宋_GB2312"/>
          <w:color w:val="000000"/>
          <w:sz w:val="30"/>
          <w:lang w:val="zh-CN"/>
        </w:rPr>
        <w:t>43.57</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eastAsia="仿宋_GB2312"/>
          <w:sz w:val="30"/>
          <w:szCs w:val="30"/>
          <w:highlight w:val="none"/>
        </w:rPr>
      </w:pP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sz w:val="30"/>
          <w:szCs w:val="30"/>
          <w:highlight w:val="none"/>
          <w:lang w:eastAsia="zh-CN"/>
        </w:rPr>
        <w:t>中：</w:t>
      </w:r>
      <w:r>
        <w:rPr>
          <w:rFonts w:hint="eastAsia" w:ascii="仿宋_GB2312" w:eastAsia="仿宋_GB2312"/>
          <w:sz w:val="30"/>
          <w:szCs w:val="30"/>
          <w:highlight w:val="none"/>
        </w:rPr>
        <w:t>因公出国（境）费支出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lang w:eastAsia="zh-CN"/>
        </w:rPr>
        <w:t>元</w:t>
      </w:r>
      <w:r>
        <w:rPr>
          <w:rFonts w:hint="eastAsia" w:ascii="仿宋_GB2312" w:hAnsi="仿宋_GB2312" w:eastAsia="仿宋_GB2312" w:cs="仿宋_GB2312"/>
          <w:sz w:val="30"/>
          <w:szCs w:val="30"/>
          <w:highlight w:val="none"/>
        </w:rPr>
        <w:t>；公务用车</w:t>
      </w:r>
      <w:r>
        <w:rPr>
          <w:rFonts w:hint="eastAsia" w:ascii="仿宋_GB2312" w:hAnsi="仿宋_GB2312" w:eastAsia="仿宋_GB2312" w:cs="仿宋_GB2312"/>
          <w:sz w:val="30"/>
          <w:szCs w:val="30"/>
          <w:highlight w:val="none"/>
          <w:lang w:eastAsia="zh-CN"/>
        </w:rPr>
        <w:t>运行维护费</w:t>
      </w:r>
      <w:r>
        <w:rPr>
          <w:rFonts w:hint="eastAsia" w:ascii="仿宋_GB2312" w:hAnsi="仿宋_GB2312" w:eastAsia="仿宋_GB2312" w:cs="仿宋_GB2312"/>
          <w:sz w:val="30"/>
          <w:szCs w:val="30"/>
          <w:highlight w:val="none"/>
        </w:rPr>
        <w:t>支出</w:t>
      </w:r>
      <w:r>
        <w:rPr>
          <w:rFonts w:hint="eastAsia" w:ascii="仿宋_GB2312" w:hAnsi="仿宋_GB2312" w:eastAsia="仿宋_GB2312" w:cs="仿宋_GB2312"/>
          <w:sz w:val="30"/>
          <w:szCs w:val="30"/>
          <w:highlight w:val="none"/>
          <w:lang w:eastAsia="zh-CN"/>
        </w:rPr>
        <w:t>年</w:t>
      </w:r>
      <w:r>
        <w:rPr>
          <w:rFonts w:hint="eastAsia" w:ascii="仿宋_GB2312" w:hAnsi="仿宋_GB2312" w:eastAsia="仿宋_GB2312" w:cs="仿宋_GB2312"/>
          <w:kern w:val="0"/>
          <w:sz w:val="30"/>
          <w:szCs w:val="30"/>
          <w:highlight w:val="none"/>
          <w:lang w:eastAsia="zh-CN"/>
        </w:rPr>
        <w:t>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25</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420.00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，决算为</w:t>
      </w:r>
      <w:r>
        <w:rPr>
          <w:rFonts w:hint="eastAsia" w:ascii="仿宋_GB2312" w:hAnsi="仿宋_GB2312" w:eastAsia="仿宋_GB2312" w:cs="仿宋_GB2312"/>
          <w:color w:val="000000"/>
          <w:sz w:val="30"/>
          <w:lang w:val="zh-CN"/>
        </w:rPr>
        <w:t>11</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666.55</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，完成</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预算的</w:t>
      </w:r>
      <w:r>
        <w:rPr>
          <w:rFonts w:hint="eastAsia" w:ascii="仿宋_GB2312" w:hAnsi="仿宋_GB2312" w:eastAsia="仿宋_GB2312" w:cs="仿宋_GB2312"/>
          <w:color w:val="000000"/>
          <w:sz w:val="30"/>
          <w:lang w:val="zh-CN"/>
        </w:rPr>
        <w:t>45.90</w:t>
      </w:r>
      <w:r>
        <w:rPr>
          <w:rFonts w:hint="eastAsia" w:ascii="仿宋_GB2312" w:hAnsi="仿宋_GB2312" w:eastAsia="仿宋_GB2312" w:cs="仿宋_GB2312"/>
          <w:sz w:val="30"/>
          <w:szCs w:val="30"/>
          <w:highlight w:val="none"/>
        </w:rPr>
        <w:t>%；</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一般公共预算财政拨款“三公”经费支出决算数</w:t>
      </w:r>
      <w:r>
        <w:rPr>
          <w:rFonts w:hint="eastAsia" w:ascii="仿宋_GB2312" w:eastAsia="仿宋_GB2312"/>
          <w:sz w:val="30"/>
          <w:szCs w:val="30"/>
          <w:highlight w:val="none"/>
        </w:rPr>
        <w:t>小于</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预算数的主要原因</w:t>
      </w:r>
      <w:r>
        <w:rPr>
          <w:rFonts w:hint="eastAsia" w:ascii="仿宋_GB2312" w:eastAsia="仿宋_GB2312"/>
          <w:sz w:val="30"/>
          <w:szCs w:val="30"/>
          <w:highlight w:val="none"/>
          <w:lang w:eastAsia="zh-CN"/>
        </w:rPr>
        <w:t>是公务用车实际运行维护费用小于定额的公务用车运行维护费</w:t>
      </w:r>
      <w:r>
        <w:rPr>
          <w:rFonts w:hint="eastAsia" w:ascii="仿宋_GB2312" w:eastAsia="仿宋_GB2312"/>
          <w:sz w:val="30"/>
          <w:szCs w:val="30"/>
          <w:highlight w:val="none"/>
        </w:rPr>
        <w:t>。</w:t>
      </w:r>
    </w:p>
    <w:p>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00" w:firstLineChars="200"/>
        <w:jc w:val="both"/>
        <w:textAlignment w:val="auto"/>
        <w:rPr>
          <w:rFonts w:hint="eastAsia" w:ascii="仿宋_GB2312" w:eastAsia="仿宋_GB2312"/>
          <w:color w:val="auto"/>
          <w:sz w:val="30"/>
          <w:szCs w:val="30"/>
          <w:highlight w:val="none"/>
        </w:rPr>
      </w:pP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sz w:val="30"/>
          <w:szCs w:val="30"/>
          <w:highlight w:val="none"/>
          <w:lang w:eastAsia="zh-CN"/>
        </w:rPr>
        <w:t>中：</w:t>
      </w:r>
      <w:r>
        <w:rPr>
          <w:rFonts w:hint="eastAsia" w:ascii="仿宋_GB2312" w:eastAsia="仿宋_GB2312"/>
          <w:sz w:val="30"/>
          <w:szCs w:val="30"/>
          <w:highlight w:val="none"/>
        </w:rPr>
        <w:t>因公出国（境）费支出决算增加</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；公务用车购置费支出决算增加</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hAnsi="仿宋_GB2312" w:eastAsia="仿宋_GB2312" w:cs="仿宋_GB2312"/>
          <w:sz w:val="30"/>
          <w:szCs w:val="30"/>
          <w:highlight w:val="none"/>
        </w:rPr>
        <w:t>；公务用车</w:t>
      </w:r>
      <w:r>
        <w:rPr>
          <w:rFonts w:hint="eastAsia" w:ascii="仿宋_GB2312" w:hAnsi="仿宋_GB2312" w:eastAsia="仿宋_GB2312" w:cs="仿宋_GB2312"/>
          <w:sz w:val="30"/>
          <w:szCs w:val="30"/>
          <w:highlight w:val="none"/>
          <w:lang w:eastAsia="zh-CN"/>
        </w:rPr>
        <w:t>运行维护费</w:t>
      </w:r>
      <w:r>
        <w:rPr>
          <w:rFonts w:hint="eastAsia" w:ascii="仿宋_GB2312" w:hAnsi="仿宋_GB2312" w:eastAsia="仿宋_GB2312" w:cs="仿宋_GB2312"/>
          <w:sz w:val="30"/>
          <w:szCs w:val="30"/>
          <w:highlight w:val="none"/>
        </w:rPr>
        <w:t>支出决算增</w:t>
      </w:r>
      <w:r>
        <w:rPr>
          <w:rFonts w:hint="eastAsia" w:ascii="仿宋_GB2312" w:hAnsi="仿宋_GB2312" w:eastAsia="仿宋_GB2312" w:cs="仿宋_GB2312"/>
          <w:color w:val="000000"/>
          <w:sz w:val="30"/>
          <w:lang w:val="zh-CN"/>
        </w:rPr>
        <w:t>3</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540.70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，增长</w:t>
      </w:r>
      <w:r>
        <w:rPr>
          <w:rFonts w:hint="eastAsia" w:ascii="仿宋_GB2312" w:hAnsi="仿宋_GB2312" w:eastAsia="仿宋_GB2312" w:cs="仿宋_GB2312"/>
          <w:color w:val="000000"/>
          <w:sz w:val="30"/>
          <w:lang w:val="zh-CN"/>
        </w:rPr>
        <w:t>43.57</w:t>
      </w:r>
      <w:r>
        <w:rPr>
          <w:rFonts w:hint="eastAsia" w:ascii="仿宋_GB2312" w:hAnsi="仿宋_GB2312" w:eastAsia="仿宋_GB2312" w:cs="仿宋_GB2312"/>
          <w:sz w:val="30"/>
          <w:szCs w:val="30"/>
          <w:highlight w:val="none"/>
        </w:rPr>
        <w:t>%；</w:t>
      </w:r>
      <w:r>
        <w:rPr>
          <w:rFonts w:hint="eastAsia" w:ascii="仿宋_GB2312" w:eastAsia="仿宋_GB2312"/>
          <w:sz w:val="30"/>
          <w:szCs w:val="30"/>
          <w:highlight w:val="none"/>
        </w:rPr>
        <w:t>公务接待费支出决算增加</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宋体" w:eastAsia="仿宋_GB2312" w:cs="Arial"/>
          <w:kern w:val="0"/>
          <w:sz w:val="30"/>
          <w:szCs w:val="30"/>
          <w:highlight w:val="none"/>
          <w:lang w:val="en-US" w:eastAsia="zh-CN"/>
        </w:rPr>
        <w:t>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宋体" w:eastAsia="仿宋_GB2312" w:cs="Arial"/>
          <w:kern w:val="0"/>
          <w:sz w:val="30"/>
          <w:szCs w:val="30"/>
          <w:highlight w:val="none"/>
          <w:lang w:val="en-US" w:eastAsia="zh-CN"/>
        </w:rPr>
        <w:t>0</w:t>
      </w:r>
      <w:r>
        <w:rPr>
          <w:rFonts w:hint="eastAsia" w:ascii="仿宋_GB2312" w:hAnsi="宋体" w:eastAsia="仿宋_GB2312" w:cs="Arial"/>
          <w:kern w:val="0"/>
          <w:sz w:val="30"/>
          <w:szCs w:val="30"/>
          <w:highlight w:val="none"/>
          <w:lang w:eastAsia="zh-CN"/>
        </w:rPr>
        <w:t>元），</w:t>
      </w:r>
      <w:r>
        <w:rPr>
          <w:rFonts w:hint="eastAsia" w:ascii="仿宋_GB2312" w:eastAsia="仿宋_GB2312"/>
          <w:sz w:val="30"/>
          <w:szCs w:val="30"/>
          <w:highlight w:val="none"/>
          <w:lang w:eastAsia="zh-CN"/>
        </w:rPr>
        <w:t>上年无此项支出；</w:t>
      </w:r>
      <w:r>
        <w:rPr>
          <w:rFonts w:hint="eastAsia" w:ascii="仿宋_GB2312" w:hAnsi="宋体" w:eastAsia="仿宋_GB2312" w:cs="Arial"/>
          <w:kern w:val="0"/>
          <w:sz w:val="30"/>
          <w:szCs w:val="30"/>
          <w:highlight w:val="none"/>
          <w:lang w:eastAsia="zh-CN"/>
        </w:rPr>
        <w:t>国（境）外接待费支出决算</w:t>
      </w:r>
      <w:r>
        <w:rPr>
          <w:rFonts w:hint="eastAsia" w:ascii="仿宋_GB2312" w:hAnsi="宋体" w:eastAsia="仿宋_GB2312" w:cs="Arial"/>
          <w:kern w:val="0"/>
          <w:sz w:val="30"/>
          <w:szCs w:val="30"/>
          <w:highlight w:val="none"/>
          <w:lang w:val="en-US" w:eastAsia="zh-CN"/>
        </w:rPr>
        <w:t>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0元，</w:t>
      </w:r>
      <w:r>
        <w:rPr>
          <w:rFonts w:hint="eastAsia" w:ascii="仿宋_GB2312" w:eastAsia="仿宋_GB2312"/>
          <w:sz w:val="30"/>
          <w:szCs w:val="30"/>
          <w:highlight w:val="none"/>
          <w:lang w:eastAsia="zh-CN"/>
        </w:rPr>
        <w:t>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年度一般公共预算财政拨款“三公”经费支出决算增加的主要原因</w:t>
      </w:r>
      <w:r>
        <w:rPr>
          <w:rFonts w:hint="eastAsia" w:ascii="仿宋_GB2312" w:eastAsia="仿宋_GB2312"/>
          <w:sz w:val="30"/>
          <w:szCs w:val="30"/>
          <w:highlight w:val="none"/>
          <w:lang w:eastAsia="zh-CN"/>
        </w:rPr>
        <w:t>是根据工作实际</w:t>
      </w:r>
      <w:r>
        <w:rPr>
          <w:rFonts w:hint="eastAsia" w:ascii="仿宋_GB2312" w:eastAsia="仿宋_GB2312"/>
          <w:color w:val="auto"/>
          <w:sz w:val="30"/>
          <w:szCs w:val="30"/>
          <w:highlight w:val="none"/>
          <w:lang w:eastAsia="zh-CN"/>
        </w:rPr>
        <w:t>公务用车实际用车成本高于上年</w:t>
      </w:r>
      <w:r>
        <w:rPr>
          <w:rFonts w:hint="eastAsia" w:ascii="仿宋_GB2312" w:eastAsia="仿宋_GB2312"/>
          <w:color w:val="auto"/>
          <w:sz w:val="30"/>
          <w:szCs w:val="30"/>
          <w:highlight w:val="none"/>
        </w:rPr>
        <w:t>。</w:t>
      </w:r>
    </w:p>
    <w:p>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00" w:firstLineChars="200"/>
        <w:jc w:val="left"/>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sz w:val="30"/>
          <w:szCs w:val="30"/>
          <w:highlight w:val="none"/>
          <w:lang w:eastAsia="zh-CN"/>
        </w:rPr>
        <w:t>实物量的</w:t>
      </w:r>
      <w:r>
        <w:rPr>
          <w:rFonts w:hint="eastAsia" w:ascii="仿宋_GB2312" w:hAnsi="仿宋_GB2312" w:eastAsia="仿宋_GB2312" w:cs="仿宋_GB2312"/>
          <w:sz w:val="30"/>
          <w:szCs w:val="30"/>
          <w:highlight w:val="none"/>
        </w:rPr>
        <w:t>具体情况</w:t>
      </w:r>
      <w:r>
        <w:rPr>
          <w:rFonts w:hint="eastAsia" w:ascii="仿宋_GB2312" w:hAnsi="仿宋_GB2312" w:eastAsia="仿宋_GB2312" w:cs="仿宋_GB2312"/>
          <w:sz w:val="30"/>
          <w:szCs w:val="30"/>
          <w:highlight w:val="none"/>
          <w:lang w:eastAsia="zh-CN"/>
        </w:rPr>
        <w:t>：</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仿宋_GB2312" w:eastAsia="仿宋_GB2312" w:cs="仿宋_GB2312"/>
          <w:b w:val="0"/>
          <w:bCs/>
          <w:sz w:val="30"/>
          <w:szCs w:val="30"/>
          <w:highlight w:val="none"/>
        </w:rPr>
      </w:pPr>
      <w:r>
        <w:rPr>
          <w:rFonts w:hint="eastAsia" w:ascii="仿宋_GB2312" w:hAnsi="仿宋_GB2312" w:eastAsia="仿宋_GB2312" w:cs="仿宋_GB2312"/>
          <w:b w:val="0"/>
          <w:bCs/>
          <w:sz w:val="30"/>
          <w:szCs w:val="30"/>
          <w:highlight w:val="none"/>
        </w:rPr>
        <w:t>1.安排因公出国（境）团组</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b w:val="0"/>
          <w:bCs/>
          <w:sz w:val="30"/>
          <w:szCs w:val="30"/>
          <w:highlight w:val="none"/>
        </w:rPr>
        <w:t>人次。开展内容包括：具体出国开支及开展工作情况等。</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仿宋_GB2312" w:eastAsia="仿宋_GB2312" w:cs="仿宋_GB2312"/>
          <w:b w:val="0"/>
          <w:bCs/>
          <w:sz w:val="30"/>
          <w:szCs w:val="30"/>
          <w:highlight w:val="none"/>
        </w:rPr>
      </w:pPr>
      <w:r>
        <w:rPr>
          <w:rFonts w:hint="eastAsia" w:ascii="仿宋_GB2312" w:hAnsi="仿宋_GB2312" w:eastAsia="仿宋_GB2312" w:cs="仿宋_GB2312"/>
          <w:b w:val="0"/>
          <w:bCs/>
          <w:sz w:val="30"/>
          <w:szCs w:val="30"/>
          <w:highlight w:val="none"/>
        </w:rPr>
        <w:t>2.购置车辆</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b w:val="0"/>
          <w:bCs/>
          <w:sz w:val="30"/>
          <w:szCs w:val="30"/>
          <w:highlight w:val="none"/>
        </w:rPr>
        <w:t>辆。</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rPr>
          <w:rFonts w:hint="eastAsia" w:ascii="仿宋_GB2312" w:hAnsi="仿宋_GB2312" w:eastAsia="仿宋_GB2312" w:cs="仿宋_GB2312"/>
          <w:b w:val="0"/>
          <w:bCs/>
          <w:color w:val="FF0000"/>
          <w:sz w:val="30"/>
          <w:szCs w:val="30"/>
          <w:highlight w:val="none"/>
          <w:lang w:eastAsia="zh-CN"/>
        </w:rPr>
      </w:pPr>
      <w:r>
        <w:rPr>
          <w:rFonts w:hint="eastAsia" w:ascii="仿宋_GB2312" w:hAnsi="仿宋_GB2312" w:eastAsia="仿宋_GB2312" w:cs="仿宋_GB2312"/>
          <w:b w:val="0"/>
          <w:bCs/>
          <w:sz w:val="30"/>
          <w:szCs w:val="30"/>
          <w:highlight w:val="none"/>
        </w:rPr>
        <w:t>3.安排</w:t>
      </w:r>
      <w:r>
        <w:rPr>
          <w:rFonts w:hint="eastAsia" w:ascii="仿宋_GB2312" w:hAnsi="仿宋_GB2312" w:eastAsia="仿宋_GB2312" w:cs="仿宋_GB2312"/>
          <w:sz w:val="30"/>
          <w:szCs w:val="30"/>
          <w:highlight w:val="none"/>
        </w:rPr>
        <w:t>国内公务接待</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人）。</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不存在需要说明的事项。</w:t>
      </w:r>
    </w:p>
    <w:p>
      <w:pPr>
        <w:keepNext w:val="0"/>
        <w:keepLines w:val="0"/>
        <w:pageBreakBefore w:val="0"/>
        <w:widowControl/>
        <w:kinsoku/>
        <w:overflowPunct/>
        <w:topLinePunct w:val="0"/>
        <w:autoSpaceDE/>
        <w:autoSpaceDN/>
        <w:bidi w:val="0"/>
        <w:adjustRightInd/>
        <w:snapToGrid w:val="0"/>
        <w:spacing w:line="560" w:lineRule="exact"/>
        <w:ind w:firstLine="640" w:firstLineChars="200"/>
        <w:jc w:val="left"/>
        <w:textAlignment w:val="auto"/>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pPr>
        <w:keepNext w:val="0"/>
        <w:keepLines w:val="0"/>
        <w:pageBreakBefore w:val="0"/>
        <w:kinsoku/>
        <w:overflowPunct/>
        <w:topLinePunct w:val="0"/>
        <w:autoSpaceDE/>
        <w:autoSpaceDN/>
        <w:bidi w:val="0"/>
        <w:adjustRightInd/>
        <w:spacing w:line="560" w:lineRule="exact"/>
        <w:ind w:firstLine="600" w:firstLineChars="200"/>
        <w:jc w:val="left"/>
        <w:textAlignment w:val="auto"/>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pPr>
        <w:keepNext w:val="0"/>
        <w:keepLines w:val="0"/>
        <w:pageBreakBefore w:val="0"/>
        <w:widowControl/>
        <w:kinsoku/>
        <w:overflowPunct/>
        <w:topLinePunct w:val="0"/>
        <w:autoSpaceDE/>
        <w:autoSpaceDN/>
        <w:bidi w:val="0"/>
        <w:adjustRightInd/>
        <w:snapToGrid w:val="0"/>
        <w:spacing w:line="560" w:lineRule="exact"/>
        <w:ind w:firstLine="538"/>
        <w:jc w:val="both"/>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auto"/>
          <w:sz w:val="30"/>
          <w:lang w:val="zh-CN"/>
        </w:rPr>
        <w:t>昆明市呈贡区残疾人联合会</w:t>
      </w: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年机关运行经费支出</w:t>
      </w:r>
      <w:r>
        <w:rPr>
          <w:rFonts w:hint="eastAsia" w:ascii="仿宋_GB2312" w:hAnsi="仿宋_GB2312" w:eastAsia="仿宋_GB2312" w:cs="仿宋_GB2312"/>
          <w:color w:val="auto"/>
          <w:sz w:val="30"/>
          <w:lang w:val="en-US" w:eastAsia="zh-CN"/>
        </w:rPr>
        <w:t>679,328.31</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比上年</w:t>
      </w:r>
      <w:r>
        <w:rPr>
          <w:rFonts w:hint="eastAsia" w:ascii="仿宋_GB2312" w:hAnsi="仿宋_GB2312" w:eastAsia="仿宋_GB2312" w:cs="仿宋_GB2312"/>
          <w:sz w:val="30"/>
          <w:szCs w:val="30"/>
          <w:highlight w:val="none"/>
        </w:rPr>
        <w:t>减少</w:t>
      </w:r>
      <w:r>
        <w:rPr>
          <w:rFonts w:hint="eastAsia" w:ascii="仿宋_GB2312" w:hAnsi="仿宋_GB2312" w:eastAsia="仿宋_GB2312" w:cs="仿宋_GB2312"/>
          <w:color w:val="auto"/>
          <w:sz w:val="30"/>
          <w:lang w:val="en-US" w:eastAsia="zh-CN"/>
        </w:rPr>
        <w:t>54,893.44</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，下降</w:t>
      </w:r>
      <w:r>
        <w:rPr>
          <w:rFonts w:hint="eastAsia" w:ascii="仿宋_GB2312" w:hAnsi="仿宋_GB2312" w:eastAsia="仿宋_GB2312" w:cs="仿宋_GB2312"/>
          <w:color w:val="000000"/>
          <w:sz w:val="30"/>
          <w:lang w:val="zh-CN"/>
        </w:rPr>
        <w:t>7.48</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color w:val="auto"/>
          <w:sz w:val="30"/>
          <w:szCs w:val="30"/>
          <w:highlight w:val="none"/>
        </w:rPr>
        <w:t>主要原因</w:t>
      </w:r>
      <w:r>
        <w:rPr>
          <w:rFonts w:hint="eastAsia" w:ascii="仿宋_GB2312" w:hAnsi="仿宋_GB2312" w:eastAsia="仿宋_GB2312" w:cs="仿宋_GB2312"/>
          <w:color w:val="auto"/>
          <w:sz w:val="30"/>
          <w:szCs w:val="30"/>
          <w:highlight w:val="none"/>
          <w:lang w:eastAsia="zh-CN"/>
        </w:rPr>
        <w:t>是单位搬迁至新办公地点，新办公地点使用经费减少</w:t>
      </w:r>
      <w:r>
        <w:rPr>
          <w:rFonts w:hint="eastAsia" w:ascii="仿宋_GB2312" w:hAnsi="仿宋_GB2312" w:eastAsia="仿宋_GB2312" w:cs="仿宋_GB2312"/>
          <w:color w:val="auto"/>
          <w:sz w:val="30"/>
          <w:szCs w:val="30"/>
          <w:highlight w:val="none"/>
        </w:rPr>
        <w:t>。</w:t>
      </w:r>
      <w:r>
        <w:rPr>
          <w:rFonts w:hint="eastAsia" w:ascii="仿宋_GB2312" w:hAnsi="黑体" w:eastAsia="仿宋_GB2312" w:cs="方正小标宋简体"/>
          <w:sz w:val="30"/>
          <w:szCs w:val="30"/>
          <w:highlight w:val="none"/>
        </w:rPr>
        <w:t>部门机关运行经费主要用于</w:t>
      </w:r>
      <w:r>
        <w:rPr>
          <w:rFonts w:hint="eastAsia" w:ascii="仿宋_GB2312" w:eastAsia="仿宋_GB2312"/>
          <w:sz w:val="30"/>
          <w:szCs w:val="30"/>
          <w:highlight w:val="none"/>
        </w:rPr>
        <w:t>工资、津贴补贴</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办公费、印刷费、水电费、办公设备购置等</w:t>
      </w:r>
      <w:r>
        <w:rPr>
          <w:rFonts w:hint="eastAsia" w:ascii="仿宋_GB2312" w:hAnsi="黑体" w:eastAsia="仿宋_GB2312" w:cs="方正小标宋简体"/>
          <w:sz w:val="30"/>
          <w:szCs w:val="30"/>
          <w:highlight w:val="none"/>
        </w:rPr>
        <w:t>。</w:t>
      </w:r>
    </w:p>
    <w:p>
      <w:pPr>
        <w:keepNext w:val="0"/>
        <w:keepLines w:val="0"/>
        <w:pageBreakBefore w:val="0"/>
        <w:widowControl/>
        <w:kinsoku/>
        <w:overflowPunct/>
        <w:topLinePunct w:val="0"/>
        <w:autoSpaceDE/>
        <w:autoSpaceDN/>
        <w:bidi w:val="0"/>
        <w:adjustRightInd/>
        <w:spacing w:line="560" w:lineRule="exact"/>
        <w:ind w:firstLine="600" w:firstLineChars="200"/>
        <w:textAlignment w:val="auto"/>
        <w:outlineLvl w:val="1"/>
        <w:rPr>
          <w:rFonts w:hint="eastAsia" w:ascii="黑体" w:hAnsi="黑体" w:eastAsia="黑体" w:cs="黑体"/>
          <w:sz w:val="30"/>
          <w:szCs w:val="30"/>
          <w:highlight w:val="none"/>
          <w:lang w:eastAsia="zh-CN"/>
        </w:rPr>
      </w:pPr>
      <w:r>
        <w:rPr>
          <w:rFonts w:hint="eastAsia" w:ascii="黑体" w:hAnsi="黑体" w:eastAsia="黑体" w:cs="黑体"/>
          <w:sz w:val="30"/>
          <w:szCs w:val="30"/>
          <w:highlight w:val="none"/>
          <w:lang w:val="en-US" w:eastAsia="zh-CN"/>
        </w:rPr>
        <w:t>二、</w:t>
      </w:r>
      <w:r>
        <w:rPr>
          <w:rFonts w:hint="eastAsia" w:ascii="黑体" w:hAnsi="黑体" w:eastAsia="黑体" w:cs="黑体"/>
          <w:sz w:val="30"/>
          <w:szCs w:val="30"/>
          <w:highlight w:val="none"/>
          <w:lang w:eastAsia="zh-CN"/>
        </w:rPr>
        <w:t>国有资产占用情况</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00" w:firstLineChars="200"/>
        <w:textAlignment w:val="auto"/>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w:t>
      </w:r>
      <w:r>
        <w:rPr>
          <w:rFonts w:hint="eastAsia" w:ascii="仿宋_GB2312" w:hAnsi="仿宋_GB2312" w:eastAsia="仿宋_GB2312" w:cs="仿宋_GB2312"/>
          <w:sz w:val="30"/>
          <w:szCs w:val="30"/>
          <w:highlight w:val="none"/>
          <w:lang w:eastAsia="zh-CN"/>
        </w:rPr>
        <w:t>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年末，昆明市呈贡区残疾人联合会资产总额926,903.48元，其中，流动资产79611.26元，固定资产847,292.22元（净值），对外投资及有价证券</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。与上年相比，本年资产总额减少</w:t>
      </w:r>
      <w:r>
        <w:rPr>
          <w:rFonts w:hint="eastAsia" w:ascii="仿宋_GB2312" w:hAnsi="黑体" w:eastAsia="仿宋_GB2312" w:cs="方正小标宋简体"/>
          <w:color w:val="000000"/>
          <w:kern w:val="0"/>
          <w:sz w:val="30"/>
          <w:szCs w:val="30"/>
          <w:highlight w:val="none"/>
          <w:lang w:val="en-US" w:eastAsia="zh-CN"/>
        </w:rPr>
        <w:t>205,808.88</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，其中固定资产减少</w:t>
      </w:r>
      <w:r>
        <w:rPr>
          <w:rFonts w:hint="eastAsia" w:ascii="仿宋_GB2312" w:hAnsi="黑体" w:eastAsia="仿宋_GB2312" w:cs="方正小标宋简体"/>
          <w:color w:val="000000"/>
          <w:kern w:val="0"/>
          <w:sz w:val="30"/>
          <w:szCs w:val="30"/>
          <w:highlight w:val="none"/>
          <w:lang w:val="en-US" w:eastAsia="zh-CN"/>
        </w:rPr>
        <w:t>81,203.08</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pPr>
        <w:keepNext w:val="0"/>
        <w:keepLines w:val="0"/>
        <w:pageBreakBefore w:val="0"/>
        <w:widowControl/>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color w:val="000000"/>
          <w:kern w:val="0"/>
          <w:sz w:val="30"/>
          <w:szCs w:val="30"/>
          <w:highlight w:val="none"/>
          <w:lang w:eastAsia="zh-CN"/>
        </w:rPr>
      </w:pPr>
      <w:r>
        <w:rPr>
          <w:rFonts w:hint="eastAsia" w:ascii="仿宋_GB2312" w:hAnsi="仿宋_GB2312" w:eastAsia="仿宋_GB2312" w:cs="仿宋_GB2312"/>
          <w:color w:val="000000"/>
          <w:kern w:val="0"/>
          <w:sz w:val="30"/>
          <w:szCs w:val="30"/>
          <w:highlight w:val="none"/>
          <w:lang w:eastAsia="zh-CN"/>
        </w:rPr>
        <w:t>（</w:t>
      </w:r>
      <w:r>
        <w:rPr>
          <w:rFonts w:hint="eastAsia" w:ascii="仿宋_GB2312" w:hAnsi="仿宋_GB2312" w:eastAsia="仿宋_GB2312" w:cs="仿宋_GB2312"/>
          <w:color w:val="000000"/>
          <w:kern w:val="0"/>
          <w:sz w:val="30"/>
          <w:szCs w:val="30"/>
          <w:highlight w:val="none"/>
        </w:rPr>
        <w:t>国有资产占有使用情况表</w:t>
      </w:r>
      <w:r>
        <w:rPr>
          <w:rFonts w:hint="eastAsia" w:ascii="仿宋_GB2312" w:hAnsi="仿宋_GB2312" w:eastAsia="仿宋_GB2312" w:cs="仿宋_GB2312"/>
          <w:color w:val="000000"/>
          <w:kern w:val="0"/>
          <w:sz w:val="30"/>
          <w:szCs w:val="30"/>
          <w:highlight w:val="none"/>
          <w:lang w:eastAsia="zh-CN"/>
        </w:rPr>
        <w:t>详见附表）</w:t>
      </w:r>
    </w:p>
    <w:p>
      <w:pPr>
        <w:keepNext w:val="0"/>
        <w:keepLines w:val="0"/>
        <w:pageBreakBefore w:val="0"/>
        <w:widowControl/>
        <w:kinsoku/>
        <w:overflowPunct/>
        <w:topLinePunct w:val="0"/>
        <w:autoSpaceDE/>
        <w:autoSpaceDN/>
        <w:bidi w:val="0"/>
        <w:adjustRightInd/>
        <w:spacing w:line="560" w:lineRule="exact"/>
        <w:ind w:firstLine="600" w:firstLineChars="200"/>
        <w:textAlignment w:val="auto"/>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pPr>
        <w:keepNext w:val="0"/>
        <w:keepLines w:val="0"/>
        <w:pageBreakBefore w:val="0"/>
        <w:widowControl/>
        <w:kinsoku/>
        <w:overflowPunct/>
        <w:topLinePunct w:val="0"/>
        <w:autoSpaceDE/>
        <w:autoSpaceDN/>
        <w:bidi w:val="0"/>
        <w:adjustRightInd/>
        <w:spacing w:line="560" w:lineRule="exact"/>
        <w:ind w:firstLine="600" w:firstLineChars="200"/>
        <w:textAlignment w:val="auto"/>
        <w:outlineLvl w:val="1"/>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2025年度，部门政府采购支出总额365,145.51元，其中：政府采购货物支出2,990.96元；政府采购工程支出0.00元；政府采购服务支出362,154.55元。授予中小企业合同金额42,651.00元，其中：授予小微企业合同金额42,651.00元。</w:t>
      </w:r>
    </w:p>
    <w:p>
      <w:pPr>
        <w:keepNext w:val="0"/>
        <w:keepLines w:val="0"/>
        <w:pageBreakBefore w:val="0"/>
        <w:widowControl/>
        <w:kinsoku/>
        <w:overflowPunct/>
        <w:topLinePunct w:val="0"/>
        <w:autoSpaceDE/>
        <w:autoSpaceDN/>
        <w:bidi w:val="0"/>
        <w:adjustRightInd/>
        <w:spacing w:line="560" w:lineRule="exact"/>
        <w:ind w:firstLine="600" w:firstLineChars="200"/>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四、部门绩效自评情况</w:t>
      </w:r>
    </w:p>
    <w:p>
      <w:pPr>
        <w:keepNext w:val="0"/>
        <w:keepLines w:val="0"/>
        <w:pageBreakBefore w:val="0"/>
        <w:widowControl/>
        <w:kinsoku/>
        <w:overflowPunct/>
        <w:topLinePunct w:val="0"/>
        <w:autoSpaceDE/>
        <w:autoSpaceDN/>
        <w:bidi w:val="0"/>
        <w:adjustRightInd/>
        <w:snapToGrid w:val="0"/>
        <w:spacing w:line="560" w:lineRule="exact"/>
        <w:ind w:firstLine="600"/>
        <w:jc w:val="left"/>
        <w:textAlignment w:val="auto"/>
        <w:rPr>
          <w:rFonts w:hint="eastAsia" w:ascii="仿宋_GB2312" w:hAnsi="仿宋_GB2312" w:eastAsia="仿宋_GB2312" w:cs="仿宋_GB2312"/>
          <w:color w:val="FF0000"/>
          <w:sz w:val="30"/>
          <w:szCs w:val="30"/>
          <w:highlight w:val="none"/>
          <w:lang w:val="en-US" w:eastAsia="zh-CN"/>
        </w:rPr>
      </w:pPr>
      <w:r>
        <w:rPr>
          <w:rFonts w:hint="eastAsia" w:ascii="仿宋_GB2312" w:hAnsi="仿宋_GB2312" w:eastAsia="仿宋_GB2312" w:cs="仿宋_GB2312"/>
          <w:sz w:val="30"/>
          <w:szCs w:val="30"/>
          <w:highlight w:val="none"/>
          <w:lang w:val="en-US" w:eastAsia="zh-CN"/>
        </w:rPr>
        <w:t>部门绩效自评情况详见附表。</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pPr>
        <w:keepNext w:val="0"/>
        <w:keepLines w:val="0"/>
        <w:pageBreakBefore w:val="0"/>
        <w:kinsoku/>
        <w:overflowPunct/>
        <w:topLinePunct w:val="0"/>
        <w:autoSpaceDE/>
        <w:autoSpaceDN/>
        <w:bidi w:val="0"/>
        <w:adjustRightInd/>
        <w:spacing w:line="560" w:lineRule="exact"/>
        <w:ind w:firstLine="600" w:firstLineChars="200"/>
        <w:jc w:val="left"/>
        <w:textAlignment w:val="auto"/>
        <w:rPr>
          <w:rFonts w:hint="eastAsia" w:ascii="仿宋_GB2312" w:hAnsi="黑体" w:eastAsia="仿宋_GB2312" w:cs="方正小标宋简体"/>
          <w:color w:val="FF0000"/>
          <w:sz w:val="30"/>
          <w:szCs w:val="30"/>
          <w:highlight w:val="none"/>
        </w:rPr>
      </w:pPr>
      <w:r>
        <w:rPr>
          <w:rFonts w:hint="eastAsia" w:ascii="仿宋_GB2312" w:hAnsi="黑体" w:eastAsia="仿宋_GB2312" w:cs="方正小标宋简体"/>
          <w:sz w:val="30"/>
          <w:szCs w:val="30"/>
          <w:highlight w:val="none"/>
          <w:lang w:eastAsia="zh-CN"/>
        </w:rPr>
        <w:t>无其他重要事项说明</w:t>
      </w:r>
      <w:r>
        <w:rPr>
          <w:rFonts w:hint="eastAsia" w:ascii="仿宋_GB2312" w:hAnsi="黑体" w:eastAsia="仿宋_GB2312" w:cs="方正小标宋简体"/>
          <w:sz w:val="30"/>
          <w:szCs w:val="30"/>
          <w:highlight w:val="none"/>
        </w:rPr>
        <w:t>。</w:t>
      </w:r>
    </w:p>
    <w:p>
      <w:pPr>
        <w:keepNext w:val="0"/>
        <w:keepLines w:val="0"/>
        <w:pageBreakBefore w:val="0"/>
        <w:widowControl/>
        <w:kinsoku/>
        <w:overflowPunct/>
        <w:topLinePunct w:val="0"/>
        <w:autoSpaceDE/>
        <w:autoSpaceDN/>
        <w:bidi w:val="0"/>
        <w:adjustRightInd/>
        <w:snapToGrid w:val="0"/>
        <w:spacing w:line="560" w:lineRule="exact"/>
        <w:ind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pPr>
        <w:keepNext w:val="0"/>
        <w:keepLines w:val="0"/>
        <w:pageBreakBefore w:val="0"/>
        <w:kinsoku/>
        <w:overflowPunct/>
        <w:topLinePunct w:val="0"/>
        <w:autoSpaceDE/>
        <w:autoSpaceDN/>
        <w:bidi w:val="0"/>
        <w:adjustRightInd/>
        <w:spacing w:line="560" w:lineRule="exact"/>
        <w:ind w:firstLine="600" w:firstLineChars="200"/>
        <w:jc w:val="left"/>
        <w:textAlignment w:val="auto"/>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pPr>
        <w:keepNext w:val="0"/>
        <w:keepLines w:val="0"/>
        <w:pageBreakBefore w:val="0"/>
        <w:kinsoku/>
        <w:overflowPunct/>
        <w:topLinePunct w:val="0"/>
        <w:autoSpaceDE/>
        <w:autoSpaceDN/>
        <w:bidi w:val="0"/>
        <w:adjustRightInd/>
        <w:spacing w:line="560" w:lineRule="exact"/>
        <w:ind w:firstLine="600" w:firstLineChars="200"/>
        <w:jc w:val="left"/>
        <w:textAlignment w:val="auto"/>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pPr>
        <w:keepNext w:val="0"/>
        <w:keepLines w:val="0"/>
        <w:pageBreakBefore w:val="0"/>
        <w:kinsoku/>
        <w:overflowPunct/>
        <w:topLinePunct w:val="0"/>
        <w:autoSpaceDE/>
        <w:autoSpaceDN/>
        <w:bidi w:val="0"/>
        <w:adjustRightInd/>
        <w:spacing w:line="560" w:lineRule="exact"/>
        <w:ind w:firstLine="600" w:firstLineChars="200"/>
        <w:jc w:val="left"/>
        <w:textAlignment w:val="auto"/>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pPr>
        <w:keepNext w:val="0"/>
        <w:keepLines w:val="0"/>
        <w:pageBreakBefore w:val="0"/>
        <w:kinsoku/>
        <w:overflowPunct/>
        <w:topLinePunct w:val="0"/>
        <w:autoSpaceDE/>
        <w:autoSpaceDN/>
        <w:bidi w:val="0"/>
        <w:adjustRightInd/>
        <w:spacing w:line="560" w:lineRule="exact"/>
        <w:ind w:firstLine="600" w:firstLineChars="200"/>
        <w:jc w:val="left"/>
        <w:textAlignment w:val="auto"/>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指各部门（含下属单位）当年通过本级财政拨款和以前年度财政拨款结转结余资金安排的因公出国（境）费、公务用车购置及运行维护费和公务接待费支出数（包括基本支出和项目支出）。</w:t>
      </w:r>
    </w:p>
    <w:p>
      <w:pPr>
        <w:keepNext w:val="0"/>
        <w:keepLines w:val="0"/>
        <w:pageBreakBefore w:val="0"/>
        <w:kinsoku/>
        <w:overflowPunct/>
        <w:topLinePunct w:val="0"/>
        <w:autoSpaceDE/>
        <w:autoSpaceDN/>
        <w:bidi w:val="0"/>
        <w:adjustRightInd/>
        <w:spacing w:line="560" w:lineRule="exact"/>
        <w:jc w:val="center"/>
        <w:textAlignment w:val="auto"/>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pPr>
        <w:keepNext w:val="0"/>
        <w:keepLines w:val="0"/>
        <w:pageBreakBefore w:val="0"/>
        <w:kinsoku/>
        <w:overflowPunct/>
        <w:topLinePunct w:val="0"/>
        <w:autoSpaceDE/>
        <w:autoSpaceDN/>
        <w:bidi w:val="0"/>
        <w:adjustRightInd/>
        <w:spacing w:line="560" w:lineRule="exact"/>
        <w:ind w:firstLine="600" w:firstLineChars="200"/>
        <w:jc w:val="left"/>
        <w:textAlignment w:val="auto"/>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p>
      <w:pPr>
        <w:keepNext w:val="0"/>
        <w:keepLines w:val="0"/>
        <w:pageBreakBefore w:val="0"/>
        <w:kinsoku/>
        <w:overflowPunct/>
        <w:topLinePunct w:val="0"/>
        <w:autoSpaceDE/>
        <w:autoSpaceDN/>
        <w:bidi w:val="0"/>
        <w:adjustRightInd/>
        <w:spacing w:line="560" w:lineRule="exact"/>
        <w:ind w:firstLine="600" w:firstLineChars="200"/>
        <w:jc w:val="left"/>
        <w:textAlignment w:val="auto"/>
        <w:rPr>
          <w:rFonts w:hint="eastAsia" w:ascii="仿宋_GB2312" w:hAnsi="黑体" w:eastAsia="仿宋_GB2312" w:cs="方正小标宋简体"/>
          <w:color w:val="FF0000"/>
          <w:sz w:val="30"/>
          <w:szCs w:val="30"/>
          <w:highlight w:val="none"/>
          <w:lang w:eastAsia="zh-CN"/>
        </w:rPr>
      </w:pPr>
      <w:r>
        <w:rPr>
          <w:rFonts w:hint="eastAsia" w:ascii="仿宋_GB2312" w:hAnsi="黑体" w:eastAsia="仿宋_GB2312" w:cs="方正小标宋简体"/>
          <w:sz w:val="30"/>
          <w:szCs w:val="30"/>
          <w:lang w:val="en-US" w:eastAsia="zh-CN"/>
        </w:rPr>
        <w:t>“三公经费”：公务用车、公务接待、因公出国发生的费用。</w:t>
      </w:r>
    </w:p>
    <w:p>
      <w:pPr>
        <w:keepNext w:val="0"/>
        <w:keepLines w:val="0"/>
        <w:pageBreakBefore w:val="0"/>
        <w:kinsoku/>
        <w:overflowPunct/>
        <w:topLinePunct w:val="0"/>
        <w:autoSpaceDE/>
        <w:autoSpaceDN/>
        <w:bidi w:val="0"/>
        <w:adjustRightInd/>
        <w:spacing w:line="560" w:lineRule="exact"/>
        <w:ind w:firstLine="420" w:firstLineChars="200"/>
        <w:jc w:val="left"/>
        <w:textAlignment w:val="auto"/>
        <w:rPr>
          <w:color w:val="FF0000"/>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FB" w:usb2="0000002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3"/>
                            <w:rPr>
                              <w:rStyle w:val="7"/>
                            </w:rPr>
                          </w:pPr>
                          <w:r>
                            <w:rPr>
                              <w:sz w:val="28"/>
                              <w:szCs w:val="28"/>
                            </w:rPr>
                            <w:fldChar w:fldCharType="begin"/>
                          </w:r>
                          <w:r>
                            <w:rPr>
                              <w:rStyle w:val="7"/>
                              <w:sz w:val="28"/>
                              <w:szCs w:val="28"/>
                            </w:rPr>
                            <w:instrText xml:space="preserve">PAGE  </w:instrText>
                          </w:r>
                          <w:r>
                            <w:rPr>
                              <w:sz w:val="28"/>
                              <w:szCs w:val="28"/>
                            </w:rPr>
                            <w:fldChar w:fldCharType="separate"/>
                          </w:r>
                          <w:r>
                            <w:rPr>
                              <w:rStyle w:val="7"/>
                              <w:sz w:val="28"/>
                              <w:szCs w:val="28"/>
                            </w:rPr>
                            <w:t>8</w:t>
                          </w:r>
                          <w:r>
                            <w:rPr>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FgAAAGRycy9QSwECFAAUAAAACACHTuJAaGmCS9MAAAAFAQAADwAA&#10;AAAAAAABACAAAAA4AAAAZHJzL2Rvd25yZXYueG1sUEsBAhQAFAAAAAgAh07iQJFQUprMAQAAegMA&#10;AA4AAAAAAAAAAQAgAAAAOAEAAGRycy9lMm9Eb2MueG1sUEsFBgAAAAAGAAYAWQEAAHYFAAAAAA==&#10;">
              <v:fill on="f" focussize="0,0"/>
              <v:stroke on="f" weight="1.25pt"/>
              <v:imagedata o:title=""/>
              <o:lock v:ext="edit" aspectratio="f"/>
              <v:textbox inset="0mm,0mm,0mm,0mm" style="mso-fit-shape-to-text:t;">
                <w:txbxContent>
                  <w:p>
                    <w:pPr>
                      <w:pStyle w:val="3"/>
                      <w:rPr>
                        <w:rStyle w:val="7"/>
                      </w:rPr>
                    </w:pPr>
                    <w:r>
                      <w:rPr>
                        <w:sz w:val="28"/>
                        <w:szCs w:val="28"/>
                      </w:rPr>
                      <w:fldChar w:fldCharType="begin"/>
                    </w:r>
                    <w:r>
                      <w:rPr>
                        <w:rStyle w:val="7"/>
                        <w:sz w:val="28"/>
                        <w:szCs w:val="28"/>
                      </w:rPr>
                      <w:instrText xml:space="preserve">PAGE  </w:instrText>
                    </w:r>
                    <w:r>
                      <w:rPr>
                        <w:sz w:val="28"/>
                        <w:szCs w:val="28"/>
                      </w:rPr>
                      <w:fldChar w:fldCharType="separate"/>
                    </w:r>
                    <w:r>
                      <w:rPr>
                        <w:rStyle w:val="7"/>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separate"/>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09A084"/>
    <w:multiLevelType w:val="singleLevel"/>
    <w:tmpl w:val="B809A084"/>
    <w:lvl w:ilvl="0" w:tentative="0">
      <w:start w:val="4"/>
      <w:numFmt w:val="chineseCounting"/>
      <w:suff w:val="nothing"/>
      <w:lvlText w:val="%1、"/>
      <w:lvlJc w:val="left"/>
      <w:rPr>
        <w:rFonts w:hint="eastAsia"/>
      </w:rPr>
    </w:lvl>
  </w:abstractNum>
  <w:abstractNum w:abstractNumId="1">
    <w:nsid w:val="4B3B323A"/>
    <w:multiLevelType w:val="singleLevel"/>
    <w:tmpl w:val="4B3B323A"/>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9A7E2A"/>
    <w:rsid w:val="1462071F"/>
    <w:rsid w:val="1B8B671A"/>
    <w:rsid w:val="1EFD3889"/>
    <w:rsid w:val="2EBCA657"/>
    <w:rsid w:val="30D9700F"/>
    <w:rsid w:val="38176FFB"/>
    <w:rsid w:val="3DFBA503"/>
    <w:rsid w:val="47852781"/>
    <w:rsid w:val="4A070831"/>
    <w:rsid w:val="4EFFB6B9"/>
    <w:rsid w:val="57FF2A3E"/>
    <w:rsid w:val="5B6A6F04"/>
    <w:rsid w:val="6F973462"/>
    <w:rsid w:val="719FAEAE"/>
    <w:rsid w:val="7375A115"/>
    <w:rsid w:val="74AB0AD5"/>
    <w:rsid w:val="76AFE239"/>
    <w:rsid w:val="77E71ED0"/>
    <w:rsid w:val="77FFAB84"/>
    <w:rsid w:val="7A6BEA82"/>
    <w:rsid w:val="7D7F7BF6"/>
    <w:rsid w:val="7EED0748"/>
    <w:rsid w:val="7F990153"/>
    <w:rsid w:val="7FB59A5D"/>
    <w:rsid w:val="7FE42DB9"/>
    <w:rsid w:val="7FE8AEDC"/>
    <w:rsid w:val="A7FD3B66"/>
    <w:rsid w:val="B6FF8007"/>
    <w:rsid w:val="BCFF950C"/>
    <w:rsid w:val="CEF75E05"/>
    <w:rsid w:val="CFBEC971"/>
    <w:rsid w:val="D7377CF9"/>
    <w:rsid w:val="DDE512FE"/>
    <w:rsid w:val="DE3DE582"/>
    <w:rsid w:val="DEBBB27B"/>
    <w:rsid w:val="DFDB821D"/>
    <w:rsid w:val="EDD16BE9"/>
    <w:rsid w:val="F27F479E"/>
    <w:rsid w:val="F7CE6137"/>
    <w:rsid w:val="FABD787B"/>
    <w:rsid w:val="FEB09C95"/>
    <w:rsid w:val="FF7FCED2"/>
    <w:rsid w:val="FFFC13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9581</Words>
  <Characters>10242</Characters>
  <Lines>0</Lines>
  <Paragraphs>0</Paragraphs>
  <TotalTime>56</TotalTime>
  <ScaleCrop>false</ScaleCrop>
  <LinksUpToDate>false</LinksUpToDate>
  <CharactersWithSpaces>10263</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2025-06-30T17:23:00Z</dcterms:created>
  <dc:creator>jq</dc:creator>
  <cp:lastModifiedBy>kmcg</cp:lastModifiedBy>
  <cp:lastPrinted>2026-05-16T16:41:00Z</cp:lastPrinted>
  <dcterms:modified xsi:type="dcterms:W3CDTF">2026-10-28T16:56:42Z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KSOTemplateDocerSaveRecord">
    <vt:lpwstr>eyJoZGlkIjoiZGU1NDE2OTJiMjk2M2MzMzE3OTQwNDVhNjAyMjBkODkiLCJ1c2VySWQiOiIxOTg1MjA0ODgifQ==</vt:lpwstr>
  </property>
  <property fmtid="{D5CDD505-2E9C-101B-9397-08002B2CF9AE}" pid="4" name="ICV">
    <vt:lpwstr>13BB17D9DD574210BF775BF113D32C6C_12</vt:lpwstr>
  </property>
</Properties>
</file>