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345A0">
      <w:pPr>
        <w:jc w:val="center"/>
        <w:outlineLvl w:val="0"/>
        <w:rPr>
          <w:rFonts w:hint="eastAsia" w:ascii="方正小标宋简体" w:hAnsi="方正小标宋简体" w:eastAsia="方正小标宋简体"/>
          <w:sz w:val="36"/>
          <w:lang w:val="zh-CN"/>
        </w:rPr>
      </w:pPr>
      <w:r>
        <w:rPr>
          <w:rFonts w:hint="eastAsia" w:ascii="方正小标宋简体" w:hAnsi="方正小标宋简体" w:eastAsia="方正小标宋简体"/>
          <w:sz w:val="36"/>
          <w:lang w:val="zh-CN"/>
        </w:rPr>
        <w:t>昆明市呈贡区基础教育科学研究院</w:t>
      </w:r>
    </w:p>
    <w:p w14:paraId="38ECC36D">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val="en-US" w:eastAsia="zh-CN"/>
        </w:rPr>
        <w:t>2024</w:t>
      </w:r>
      <w:r>
        <w:rPr>
          <w:rFonts w:hint="eastAsia" w:ascii="方正小标宋简体" w:hAnsi="方正小标宋简体" w:eastAsia="方正小标宋简体" w:cs="方正小标宋简体"/>
          <w:sz w:val="36"/>
          <w:szCs w:val="36"/>
          <w:highlight w:val="none"/>
        </w:rPr>
        <w:t>年度部门决算</w:t>
      </w:r>
      <w:r>
        <w:rPr>
          <w:rFonts w:hint="eastAsia" w:ascii="方正小标宋简体" w:hAnsi="方正小标宋简体" w:eastAsia="方正小标宋简体" w:cs="方正小标宋简体"/>
          <w:sz w:val="36"/>
          <w:szCs w:val="36"/>
          <w:highlight w:val="none"/>
          <w:lang w:eastAsia="zh-CN"/>
        </w:rPr>
        <w:t>目录</w:t>
      </w:r>
    </w:p>
    <w:p w14:paraId="32EEEC1A">
      <w:pPr>
        <w:jc w:val="left"/>
        <w:rPr>
          <w:rFonts w:hint="eastAsia" w:ascii="黑体" w:hAnsi="黑体" w:eastAsia="黑体"/>
          <w:sz w:val="30"/>
          <w:szCs w:val="30"/>
          <w:highlight w:val="none"/>
        </w:rPr>
      </w:pPr>
    </w:p>
    <w:p w14:paraId="7922530B">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12C1BE40">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1D0A3B89">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20C2193D">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4360F1A3">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2024</w:t>
      </w:r>
      <w:r>
        <w:rPr>
          <w:rFonts w:hint="eastAsia" w:ascii="黑体" w:hAnsi="黑体" w:eastAsia="黑体"/>
          <w:sz w:val="30"/>
          <w:szCs w:val="30"/>
          <w:highlight w:val="none"/>
        </w:rPr>
        <w:t>年度部门决算表</w:t>
      </w:r>
    </w:p>
    <w:p w14:paraId="602DC13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2D11EB5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22BA3EF3">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310D7F1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3C4FD31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00EBB37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2F056F3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4ED897E5">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55D8F675">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73607A1F">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1299F52D">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0EA4D5F5">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2024</w:t>
      </w:r>
      <w:r>
        <w:rPr>
          <w:rFonts w:hint="eastAsia" w:ascii="黑体" w:hAnsi="黑体" w:eastAsia="黑体"/>
          <w:sz w:val="30"/>
          <w:szCs w:val="30"/>
          <w:highlight w:val="none"/>
        </w:rPr>
        <w:t>年度部门决算情况说明</w:t>
      </w:r>
    </w:p>
    <w:p w14:paraId="786B3341">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03FD501C">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481AFEF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59D6B39D">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08ACF2D3">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2810B7B7">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2EE3E916">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69B8753A">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6F3C0A98">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29776BF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1F704E9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24470E62">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63FFC6DE">
      <w:pPr>
        <w:jc w:val="center"/>
        <w:rPr>
          <w:rFonts w:hint="eastAsia" w:ascii="黑体" w:hAnsi="黑体" w:eastAsia="黑体"/>
          <w:sz w:val="32"/>
          <w:szCs w:val="32"/>
          <w:highlight w:val="none"/>
        </w:rPr>
      </w:pPr>
    </w:p>
    <w:p w14:paraId="71D1A4C9">
      <w:pPr>
        <w:jc w:val="center"/>
        <w:rPr>
          <w:rFonts w:hint="eastAsia" w:ascii="黑体" w:hAnsi="黑体" w:eastAsia="黑体"/>
          <w:sz w:val="32"/>
          <w:szCs w:val="32"/>
          <w:highlight w:val="none"/>
        </w:rPr>
      </w:pPr>
    </w:p>
    <w:p w14:paraId="2079D82B">
      <w:pPr>
        <w:jc w:val="center"/>
        <w:rPr>
          <w:rFonts w:hint="eastAsia" w:ascii="黑体" w:hAnsi="黑体" w:eastAsia="黑体"/>
          <w:sz w:val="32"/>
          <w:szCs w:val="32"/>
          <w:highlight w:val="none"/>
        </w:rPr>
      </w:pPr>
    </w:p>
    <w:p w14:paraId="766F44DC">
      <w:pPr>
        <w:jc w:val="center"/>
        <w:rPr>
          <w:rFonts w:hint="eastAsia" w:ascii="黑体" w:hAnsi="黑体" w:eastAsia="黑体"/>
          <w:sz w:val="32"/>
          <w:szCs w:val="32"/>
          <w:highlight w:val="none"/>
        </w:rPr>
      </w:pPr>
    </w:p>
    <w:p w14:paraId="1777A6D9">
      <w:pPr>
        <w:jc w:val="center"/>
        <w:rPr>
          <w:rFonts w:hint="eastAsia" w:ascii="黑体" w:hAnsi="黑体" w:eastAsia="黑体"/>
          <w:sz w:val="32"/>
          <w:szCs w:val="32"/>
          <w:highlight w:val="none"/>
        </w:rPr>
      </w:pPr>
    </w:p>
    <w:p w14:paraId="36B2C04D">
      <w:pPr>
        <w:jc w:val="center"/>
        <w:rPr>
          <w:rFonts w:hint="eastAsia" w:ascii="黑体" w:hAnsi="黑体" w:eastAsia="黑体"/>
          <w:sz w:val="32"/>
          <w:szCs w:val="32"/>
          <w:highlight w:val="none"/>
        </w:rPr>
      </w:pPr>
    </w:p>
    <w:p w14:paraId="35AB5DCE">
      <w:pPr>
        <w:jc w:val="center"/>
        <w:rPr>
          <w:rFonts w:hint="eastAsia" w:ascii="黑体" w:hAnsi="黑体" w:eastAsia="黑体"/>
          <w:sz w:val="32"/>
          <w:szCs w:val="32"/>
          <w:highlight w:val="none"/>
        </w:rPr>
      </w:pPr>
    </w:p>
    <w:p w14:paraId="3DDD2E57">
      <w:pPr>
        <w:jc w:val="both"/>
        <w:rPr>
          <w:rFonts w:hint="eastAsia" w:ascii="黑体" w:hAnsi="黑体" w:eastAsia="黑体"/>
          <w:sz w:val="32"/>
          <w:szCs w:val="32"/>
          <w:highlight w:val="none"/>
        </w:rPr>
      </w:pPr>
    </w:p>
    <w:p w14:paraId="571DE923">
      <w:pPr>
        <w:jc w:val="center"/>
        <w:outlineLvl w:val="0"/>
        <w:rPr>
          <w:rFonts w:hint="eastAsia" w:ascii="黑体" w:hAnsi="黑体" w:eastAsia="黑体"/>
          <w:sz w:val="32"/>
          <w:szCs w:val="32"/>
          <w:highlight w:val="none"/>
        </w:rPr>
      </w:pPr>
    </w:p>
    <w:p w14:paraId="2AF1D3F9">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1953CFB7">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414872C5">
      <w:pPr>
        <w:spacing w:line="600" w:lineRule="exact"/>
        <w:ind w:firstLine="640" w:firstLineChars="200"/>
        <w:outlineLvl w:val="1"/>
        <w:rPr>
          <w:rFonts w:hint="eastAsia" w:ascii="仿宋_GB2312" w:eastAsia="仿宋_GB2312"/>
          <w:color w:val="000000"/>
          <w:sz w:val="32"/>
          <w:szCs w:val="32"/>
          <w:highlight w:val="none"/>
          <w:shd w:val="clear" w:color="auto" w:fill="FFFFFF"/>
          <w:lang w:val="en-US" w:eastAsia="zh-CN"/>
        </w:rPr>
      </w:pPr>
      <w:r>
        <w:rPr>
          <w:rFonts w:hint="eastAsia" w:ascii="仿宋_GB2312" w:eastAsia="仿宋_GB2312"/>
          <w:color w:val="000000"/>
          <w:sz w:val="32"/>
          <w:szCs w:val="32"/>
          <w:highlight w:val="none"/>
          <w:shd w:val="clear" w:color="auto" w:fill="FFFFFF"/>
          <w:lang w:eastAsia="zh-CN"/>
        </w:rPr>
        <w:t>根据中共昆明市呈贡区</w:t>
      </w:r>
      <w:r>
        <w:rPr>
          <w:rFonts w:hint="eastAsia" w:ascii="仿宋_GB2312" w:eastAsia="仿宋_GB2312"/>
          <w:color w:val="000000"/>
          <w:sz w:val="32"/>
          <w:szCs w:val="32"/>
          <w:highlight w:val="none"/>
          <w:shd w:val="clear" w:color="auto" w:fill="FFFFFF"/>
          <w:lang w:val="en-US" w:eastAsia="zh-CN"/>
        </w:rPr>
        <w:t>委机构编制委员会《关于调整昆明市呈贡区教育信息中心有关机构编制事项的批复》确定昆明市呈贡区基础教育科学研究院主要职责为：实施基础教育教学研究与监测促进基础教育发展；统筹实施基础教育教师研训工作，促进教师专业发展；实施信息技术与教学融合的研究与培训；完成区委、区政府及区教育体育局交办的其他任务。</w:t>
      </w:r>
    </w:p>
    <w:p w14:paraId="584F8393">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基本情况</w:t>
      </w:r>
    </w:p>
    <w:p w14:paraId="1C0E90DD">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010548E5">
      <w:pPr>
        <w:spacing w:line="600" w:lineRule="exact"/>
        <w:ind w:firstLine="600" w:firstLineChars="200"/>
        <w:rPr>
          <w:rFonts w:hint="eastAsia" w:ascii="仿宋_GB2312" w:eastAsia="仿宋_GB2312"/>
          <w:sz w:val="30"/>
          <w:szCs w:val="30"/>
          <w:highlight w:val="none"/>
          <w:lang w:val="en-US" w:eastAsia="zh-CN"/>
        </w:rPr>
      </w:pPr>
      <w:bookmarkStart w:id="0" w:name="_GoBack"/>
      <w:r>
        <w:rPr>
          <w:rFonts w:hint="eastAsia" w:ascii="仿宋_GB2312" w:eastAsia="仿宋_GB2312"/>
          <w:sz w:val="30"/>
          <w:szCs w:val="30"/>
          <w:highlight w:val="none"/>
          <w:lang w:val="en-US" w:eastAsia="zh-CN"/>
        </w:rPr>
        <w:t>我单位共设置</w:t>
      </w:r>
      <w:r>
        <w:rPr>
          <w:rFonts w:hint="eastAsia" w:ascii="仿宋_GB2312" w:eastAsia="仿宋_GB2312"/>
          <w:color w:val="000000"/>
          <w:sz w:val="32"/>
          <w:szCs w:val="32"/>
          <w:highlight w:val="none"/>
          <w:shd w:val="clear" w:color="auto" w:fill="FFFFFF"/>
          <w:lang w:val="en-US" w:eastAsia="zh-CN"/>
        </w:rPr>
        <w:t>设立</w:t>
      </w:r>
      <w:r>
        <w:rPr>
          <w:rFonts w:hint="eastAsia" w:ascii="仿宋_GB2312" w:hAnsi="仿宋_GB2312" w:eastAsia="仿宋_GB2312" w:cs="仿宋_GB2312"/>
          <w:sz w:val="32"/>
          <w:highlight w:val="none"/>
          <w:lang w:val="en-US" w:eastAsia="zh-CN"/>
        </w:rPr>
        <w:t>5</w:t>
      </w:r>
      <w:r>
        <w:rPr>
          <w:rFonts w:hint="eastAsia" w:ascii="仿宋_GB2312" w:eastAsia="仿宋_GB2312"/>
          <w:color w:val="000000"/>
          <w:sz w:val="32"/>
          <w:szCs w:val="32"/>
          <w:highlight w:val="none"/>
          <w:shd w:val="clear" w:color="auto" w:fill="FFFFFF"/>
          <w:lang w:val="en-US" w:eastAsia="zh-CN"/>
        </w:rPr>
        <w:t>个内设机构为办公室、教研科、师训科、质量监测与师生评价科、信息化运用科。</w:t>
      </w:r>
      <w:r>
        <w:rPr>
          <w:rFonts w:hint="eastAsia" w:ascii="仿宋_GB2312" w:eastAsia="仿宋_GB2312"/>
          <w:sz w:val="30"/>
          <w:szCs w:val="30"/>
          <w:highlight w:val="none"/>
          <w:lang w:val="en-US" w:eastAsia="zh-CN"/>
        </w:rPr>
        <w:t>我单位为基层预算单位，无下属单位。</w:t>
      </w:r>
    </w:p>
    <w:bookmarkEnd w:id="0"/>
    <w:p w14:paraId="3931D72C">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7D15FF4F">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我单位作为昆明市教育体育局</w:t>
      </w:r>
      <w:r>
        <w:rPr>
          <w:rFonts w:hint="eastAsia" w:ascii="仿宋_GB2312" w:eastAsia="仿宋_GB2312"/>
          <w:sz w:val="30"/>
          <w:szCs w:val="30"/>
          <w:highlight w:val="none"/>
          <w:lang w:val="en-US" w:eastAsia="zh-CN"/>
        </w:rPr>
        <w:t>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2024</w:t>
      </w:r>
      <w:r>
        <w:rPr>
          <w:rFonts w:hint="eastAsia" w:ascii="仿宋_GB2312" w:eastAsia="仿宋_GB2312"/>
          <w:sz w:val="30"/>
          <w:szCs w:val="30"/>
          <w:highlight w:val="none"/>
        </w:rPr>
        <w:t>年度部门决算编报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08BCEFF7">
      <w:pPr>
        <w:ind w:firstLine="600" w:firstLineChars="200"/>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单位</w:t>
      </w:r>
      <w:r>
        <w:rPr>
          <w:rFonts w:hint="eastAsia" w:ascii="楷体" w:hAnsi="楷体" w:eastAsia="楷体"/>
          <w:color w:val="auto"/>
          <w:sz w:val="30"/>
          <w:szCs w:val="30"/>
          <w:highlight w:val="none"/>
        </w:rPr>
        <w:t xml:space="preserve">人员和车辆的编制及实有情况 </w:t>
      </w:r>
    </w:p>
    <w:p w14:paraId="1FBD7123">
      <w:pPr>
        <w:spacing w:line="600" w:lineRule="exact"/>
        <w:ind w:firstLine="600" w:firstLineChars="200"/>
        <w:rPr>
          <w:rFonts w:hint="eastAsia" w:ascii="仿宋_GB2312" w:hAnsi="宋体" w:eastAsia="仿宋_GB2312" w:cs="Arial"/>
          <w:color w:val="0000FF"/>
          <w:kern w:val="0"/>
          <w:sz w:val="30"/>
          <w:szCs w:val="30"/>
          <w:highlight w:val="none"/>
          <w:lang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2024</w:t>
      </w:r>
      <w:r>
        <w:rPr>
          <w:rFonts w:hint="eastAsia" w:ascii="仿宋_GB2312" w:eastAsia="仿宋_GB2312"/>
          <w:color w:val="auto"/>
          <w:sz w:val="30"/>
          <w:szCs w:val="30"/>
          <w:highlight w:val="none"/>
        </w:rPr>
        <w:t>年末</w:t>
      </w:r>
      <w:r>
        <w:rPr>
          <w:rFonts w:hint="eastAsia" w:ascii="仿宋_GB2312" w:eastAsia="仿宋_GB2312"/>
          <w:color w:val="auto"/>
          <w:sz w:val="30"/>
          <w:szCs w:val="30"/>
          <w:highlight w:val="none"/>
          <w:lang w:eastAsia="zh-CN"/>
        </w:rPr>
        <w:t>编制内</w:t>
      </w:r>
      <w:r>
        <w:rPr>
          <w:rFonts w:hint="eastAsia" w:ascii="仿宋_GB2312" w:eastAsia="仿宋_GB2312"/>
          <w:color w:val="auto"/>
          <w:sz w:val="30"/>
          <w:szCs w:val="30"/>
          <w:highlight w:val="none"/>
        </w:rPr>
        <w:t>实有人员</w:t>
      </w:r>
      <w:r>
        <w:rPr>
          <w:rFonts w:hint="eastAsia" w:ascii="仿宋_GB2312" w:hAnsi="仿宋_GB2312" w:eastAsia="仿宋_GB2312" w:cs="仿宋_GB2312"/>
          <w:color w:val="auto"/>
          <w:sz w:val="30"/>
          <w:szCs w:val="30"/>
          <w:lang w:val="en-US" w:eastAsia="zh-CN"/>
        </w:rPr>
        <w:t>19</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b w:val="0"/>
          <w:bCs w:val="0"/>
          <w:color w:val="auto"/>
          <w:kern w:val="0"/>
          <w:sz w:val="30"/>
          <w:szCs w:val="30"/>
          <w:highlight w:val="none"/>
          <w:lang w:eastAsia="zh-CN"/>
        </w:rPr>
        <w:t>包括</w:t>
      </w:r>
      <w:r>
        <w:rPr>
          <w:rFonts w:hint="eastAsia" w:ascii="仿宋_GB2312" w:hAnsi="宋体" w:eastAsia="仿宋_GB2312" w:cs="Arial"/>
          <w:color w:val="auto"/>
          <w:kern w:val="0"/>
          <w:sz w:val="30"/>
          <w:szCs w:val="30"/>
          <w:highlight w:val="none"/>
          <w:lang w:eastAsia="zh-CN"/>
        </w:rPr>
        <w:t>财政拨款开支经费的</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19</w:t>
      </w:r>
      <w:r>
        <w:rPr>
          <w:rFonts w:hint="eastAsia" w:ascii="仿宋_GB2312" w:hAnsi="宋体" w:eastAsia="仿宋_GB2312" w:cs="Arial"/>
          <w:color w:val="auto"/>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p>
    <w:p w14:paraId="22383777">
      <w:pPr>
        <w:spacing w:line="600" w:lineRule="exact"/>
        <w:ind w:firstLine="600" w:firstLineChars="200"/>
        <w:rPr>
          <w:rFonts w:hint="eastAsia" w:ascii="仿宋_GB2312" w:hAnsi="宋体" w:eastAsia="仿宋_GB2312" w:cs="Arial"/>
          <w:color w:val="0000FF"/>
          <w:kern w:val="0"/>
          <w:sz w:val="30"/>
          <w:szCs w:val="30"/>
          <w:highlight w:val="none"/>
          <w:lang w:val="en-US" w:eastAsia="zh-CN"/>
        </w:rPr>
      </w:pPr>
      <w:r>
        <w:rPr>
          <w:rFonts w:hint="eastAsia" w:ascii="仿宋_GB2312" w:eastAsia="仿宋_GB2312"/>
          <w:color w:val="0000FF"/>
          <w:sz w:val="30"/>
          <w:szCs w:val="30"/>
          <w:highlight w:val="none"/>
          <w:lang w:eastAsia="zh-CN"/>
        </w:rPr>
        <w:t>我单位</w:t>
      </w:r>
      <w:r>
        <w:rPr>
          <w:rFonts w:hint="eastAsia" w:ascii="仿宋_GB2312" w:eastAsia="仿宋_GB2312"/>
          <w:color w:val="0000FF"/>
          <w:sz w:val="30"/>
          <w:szCs w:val="30"/>
          <w:highlight w:val="none"/>
          <w:lang w:val="en-US" w:eastAsia="zh-CN"/>
        </w:rPr>
        <w:t>2024</w:t>
      </w:r>
      <w:r>
        <w:rPr>
          <w:rFonts w:hint="eastAsia" w:ascii="仿宋_GB2312" w:eastAsia="仿宋_GB2312"/>
          <w:color w:val="0000FF"/>
          <w:sz w:val="30"/>
          <w:szCs w:val="30"/>
          <w:highlight w:val="none"/>
        </w:rPr>
        <w:t>年末</w:t>
      </w:r>
      <w:r>
        <w:rPr>
          <w:rFonts w:hint="eastAsia" w:ascii="仿宋_GB2312" w:eastAsia="仿宋_GB2312"/>
          <w:color w:val="0000FF"/>
          <w:sz w:val="30"/>
          <w:szCs w:val="30"/>
          <w:highlight w:val="none"/>
          <w:lang w:eastAsia="zh-CN"/>
        </w:rPr>
        <w:t>其他人员</w:t>
      </w:r>
      <w:r>
        <w:rPr>
          <w:rFonts w:hint="eastAsia" w:ascii="仿宋_GB2312" w:hAnsi="仿宋_GB2312" w:eastAsia="仿宋_GB2312" w:cs="仿宋_GB2312"/>
          <w:color w:val="0000FF"/>
          <w:sz w:val="30"/>
          <w:szCs w:val="30"/>
          <w:lang w:val="en-US" w:eastAsia="zh-CN"/>
        </w:rPr>
        <w:t>0</w:t>
      </w:r>
      <w:r>
        <w:rPr>
          <w:rFonts w:hint="eastAsia" w:ascii="仿宋_GB2312" w:eastAsia="仿宋_GB2312"/>
          <w:color w:val="0000FF"/>
          <w:sz w:val="30"/>
          <w:szCs w:val="30"/>
          <w:highlight w:val="none"/>
          <w:lang w:val="en-US" w:eastAsia="zh-CN"/>
        </w:rPr>
        <w:t>人。包括财政拨款开支经费的人员</w:t>
      </w:r>
      <w:r>
        <w:rPr>
          <w:rFonts w:hint="eastAsia" w:ascii="仿宋_GB2312" w:hAnsi="仿宋_GB2312" w:eastAsia="仿宋_GB2312" w:cs="仿宋_GB2312"/>
          <w:color w:val="0000FF"/>
          <w:sz w:val="30"/>
          <w:szCs w:val="30"/>
          <w:lang w:val="en-US" w:eastAsia="zh-CN"/>
        </w:rPr>
        <w:t>0</w:t>
      </w:r>
      <w:r>
        <w:rPr>
          <w:rFonts w:hint="eastAsia" w:ascii="仿宋_GB2312" w:eastAsia="仿宋_GB2312"/>
          <w:color w:val="0000FF"/>
          <w:sz w:val="30"/>
          <w:szCs w:val="30"/>
          <w:highlight w:val="none"/>
          <w:lang w:eastAsia="zh-CN"/>
        </w:rPr>
        <w:t>人；经费自理人员</w:t>
      </w:r>
      <w:r>
        <w:rPr>
          <w:rFonts w:hint="eastAsia" w:ascii="仿宋_GB2312" w:hAnsi="仿宋_GB2312" w:eastAsia="仿宋_GB2312" w:cs="仿宋_GB2312"/>
          <w:color w:val="0000FF"/>
          <w:sz w:val="30"/>
          <w:szCs w:val="30"/>
          <w:lang w:val="en-US" w:eastAsia="zh-CN"/>
        </w:rPr>
        <w:t>0</w:t>
      </w:r>
      <w:r>
        <w:rPr>
          <w:rFonts w:hint="eastAsia" w:ascii="仿宋_GB2312" w:eastAsia="仿宋_GB2312"/>
          <w:color w:val="0000FF"/>
          <w:sz w:val="30"/>
          <w:szCs w:val="30"/>
          <w:highlight w:val="none"/>
          <w:lang w:eastAsia="zh-CN"/>
        </w:rPr>
        <w:t>人。</w:t>
      </w:r>
    </w:p>
    <w:p w14:paraId="5FFF057D">
      <w:pPr>
        <w:spacing w:line="600" w:lineRule="exact"/>
        <w:ind w:firstLine="600" w:firstLineChars="200"/>
        <w:rPr>
          <w:rFonts w:hint="default" w:ascii="仿宋_GB2312" w:hAnsi="宋体" w:eastAsia="仿宋_GB2312" w:cs="Arial"/>
          <w:color w:val="auto"/>
          <w:kern w:val="0"/>
          <w:sz w:val="30"/>
          <w:szCs w:val="30"/>
          <w:highlight w:val="none"/>
          <w:lang w:val="en-US" w:eastAsia="zh-CN"/>
        </w:rPr>
      </w:pPr>
      <w:r>
        <w:rPr>
          <w:rFonts w:hint="eastAsia" w:ascii="仿宋_GB2312" w:hAnsi="宋体" w:eastAsia="仿宋_GB2312" w:cs="Arial"/>
          <w:color w:val="auto"/>
          <w:kern w:val="0"/>
          <w:sz w:val="30"/>
          <w:szCs w:val="30"/>
          <w:highlight w:val="none"/>
          <w:lang w:eastAsia="zh-CN"/>
        </w:rPr>
        <w:t>年末尚未移交</w:t>
      </w:r>
      <w:r>
        <w:rPr>
          <w:rFonts w:hint="eastAsia" w:ascii="仿宋_GB2312" w:hAnsi="宋体" w:eastAsia="仿宋_GB2312" w:cs="Arial"/>
          <w:color w:val="auto"/>
          <w:kern w:val="0"/>
          <w:sz w:val="30"/>
          <w:szCs w:val="30"/>
          <w:highlight w:val="none"/>
        </w:rPr>
        <w:t>养老保险基金发放养老金的离退休人员</w:t>
      </w:r>
      <w:r>
        <w:rPr>
          <w:rFonts w:hint="eastAsia" w:ascii="仿宋_GB2312" w:hAnsi="宋体" w:eastAsia="仿宋_GB2312" w:cs="Arial"/>
          <w:color w:val="auto"/>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）。年末</w:t>
      </w:r>
      <w:r>
        <w:rPr>
          <w:rFonts w:hint="eastAsia" w:ascii="仿宋_GB2312" w:hAnsi="宋体" w:eastAsia="仿宋_GB2312" w:cs="Arial"/>
          <w:color w:val="auto"/>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29</w:t>
      </w:r>
      <w:r>
        <w:rPr>
          <w:rFonts w:hint="eastAsia" w:ascii="仿宋_GB2312" w:hAnsi="宋体" w:eastAsia="仿宋_GB2312" w:cs="Arial"/>
          <w:color w:val="auto"/>
          <w:kern w:val="0"/>
          <w:sz w:val="30"/>
          <w:szCs w:val="30"/>
          <w:highlight w:val="none"/>
          <w:lang w:val="en-US" w:eastAsia="zh-CN"/>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29</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2</w:t>
      </w:r>
      <w:r>
        <w:rPr>
          <w:rFonts w:hint="eastAsia" w:ascii="仿宋_GB2312" w:hAnsi="宋体" w:eastAsia="仿宋_GB2312" w:cs="Arial"/>
          <w:color w:val="auto"/>
          <w:kern w:val="0"/>
          <w:sz w:val="30"/>
          <w:szCs w:val="30"/>
          <w:highlight w:val="none"/>
          <w:lang w:val="en-US" w:eastAsia="zh-CN"/>
        </w:rPr>
        <w:t>人。</w:t>
      </w:r>
    </w:p>
    <w:p w14:paraId="0F0B05C8">
      <w:pPr>
        <w:spacing w:line="600" w:lineRule="exact"/>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b w:val="0"/>
          <w:bCs w:val="0"/>
          <w:color w:val="auto"/>
          <w:sz w:val="30"/>
          <w:szCs w:val="30"/>
          <w:highlight w:val="none"/>
          <w:u w:val="none"/>
          <w:lang w:val="en-US" w:eastAsia="zh-CN"/>
        </w:rPr>
        <w:t>车辆编制1辆，在编实有车辆1辆。</w:t>
      </w:r>
    </w:p>
    <w:p w14:paraId="17853FCA">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1979ACE4">
      <w:pPr>
        <w:keepNext w:val="0"/>
        <w:keepLines w:val="0"/>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Times New Roman" w:hAnsi="Times New Roman" w:eastAsia="仿宋_GB2312" w:cs="仿宋_GB2312"/>
          <w:color w:val="auto"/>
          <w:kern w:val="0"/>
          <w:sz w:val="32"/>
          <w:szCs w:val="32"/>
          <w:highlight w:val="none"/>
          <w:lang w:val="en-US" w:eastAsia="zh-CN"/>
        </w:rPr>
      </w:pPr>
      <w:r>
        <w:rPr>
          <w:rFonts w:hint="eastAsia" w:ascii="Times New Roman" w:hAnsi="Times New Roman" w:eastAsia="仿宋_GB2312" w:cs="仿宋_GB2312"/>
          <w:kern w:val="0"/>
          <w:sz w:val="32"/>
          <w:szCs w:val="32"/>
          <w:highlight w:val="none"/>
          <w:lang w:val="en-US" w:eastAsia="zh-CN"/>
        </w:rPr>
        <w:t>按照“全员培训、整体提高、按需施训、注重实效”的原则，努力做好教师培训、教材培训、群众性主题教研活动、教学指导服务、校本研训视导、课题研究的全程管理、名校园长、名师工作室管理、全区教师学时平台管理等工作，不断加强全区教师队伍建设和发展。充分发挥教科研引领示范作用，积极组织各级开展各类教师竞赛活动。完善教育质量监测体系，组织开展呈贡区义务教育阶段期末质量监测工作；组织参加省市各类质量监测工作，强化教考研向结合的教学质量监测研究。</w:t>
      </w:r>
    </w:p>
    <w:p w14:paraId="67A55402">
      <w:pPr>
        <w:spacing w:line="600" w:lineRule="exact"/>
        <w:jc w:val="left"/>
        <w:rPr>
          <w:rFonts w:hint="eastAsia" w:ascii="仿宋_GB2312" w:hAnsi="宋体" w:eastAsia="仿宋_GB2312" w:cs="Arial"/>
          <w:kern w:val="0"/>
          <w:sz w:val="30"/>
          <w:szCs w:val="30"/>
          <w:highlight w:val="none"/>
        </w:rPr>
      </w:pPr>
    </w:p>
    <w:p w14:paraId="1403378E">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2024</w:t>
      </w:r>
      <w:r>
        <w:rPr>
          <w:rFonts w:hint="eastAsia" w:ascii="黑体" w:hAnsi="黑体" w:eastAsia="黑体"/>
          <w:sz w:val="32"/>
          <w:szCs w:val="32"/>
          <w:highlight w:val="none"/>
        </w:rPr>
        <w:t>年度部门决算表</w:t>
      </w:r>
    </w:p>
    <w:p w14:paraId="127D1959">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3A676235">
      <w:pPr>
        <w:pStyle w:val="10"/>
        <w:keepNext w:val="0"/>
        <w:keepLines w:val="0"/>
        <w:pageBreakBefore w:val="0"/>
        <w:widowControl/>
        <w:kinsoku/>
        <w:wordWrap/>
        <w:overflowPunct/>
        <w:topLinePunct w:val="0"/>
        <w:autoSpaceDE/>
        <w:autoSpaceDN/>
        <w:bidi w:val="0"/>
        <w:adjustRightInd/>
        <w:snapToGrid/>
        <w:spacing w:before="0" w:after="0" w:line="560" w:lineRule="exact"/>
        <w:ind w:left="0" w:right="0" w:firstLine="600" w:firstLineChars="200"/>
        <w:textAlignment w:val="auto"/>
        <w:rPr>
          <w:rFonts w:hint="eastAsia" w:ascii="黑体" w:hAnsi="黑体" w:eastAsia="黑体"/>
          <w:sz w:val="32"/>
          <w:szCs w:val="32"/>
          <w:highlight w:val="none"/>
        </w:rPr>
      </w:pPr>
      <w:r>
        <w:rPr>
          <w:rFonts w:hint="eastAsia" w:ascii="仿宋_GB2312" w:eastAsia="仿宋_GB2312"/>
          <w:sz w:val="30"/>
          <w:szCs w:val="30"/>
          <w:highlight w:val="none"/>
          <w:lang w:eastAsia="zh-CN"/>
        </w:rPr>
        <w:t>昆明市呈贡区教育信息中心没有政府性基金收入、国有资本经营预算财政拨款收入，也没有使用政府性基金安排的支出、国有资本经营预算安排的支出，故《政府性基金预算财政拨款收入支出决算表》、《国有资本经营预算财政拨款收入支出决算表》为空表。</w:t>
      </w:r>
    </w:p>
    <w:p w14:paraId="1F269B1B">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2024</w:t>
      </w:r>
      <w:r>
        <w:rPr>
          <w:rFonts w:hint="eastAsia" w:ascii="黑体" w:hAnsi="黑体" w:eastAsia="黑体"/>
          <w:sz w:val="32"/>
          <w:szCs w:val="32"/>
          <w:highlight w:val="none"/>
        </w:rPr>
        <w:t>年度部门决算情况说明</w:t>
      </w:r>
    </w:p>
    <w:p w14:paraId="59A16C3A">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18EC5BB9">
      <w:pPr>
        <w:widowControl/>
        <w:snapToGrid w:val="0"/>
        <w:spacing w:before="100" w:after="100" w:line="600" w:lineRule="exact"/>
        <w:ind w:firstLine="538"/>
        <w:jc w:val="both"/>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昆明市呈贡区基础教育科学研究院</w:t>
      </w:r>
      <w:r>
        <w:rPr>
          <w:rFonts w:hint="eastAsia" w:ascii="仿宋_GB2312" w:eastAsia="仿宋_GB2312"/>
          <w:sz w:val="30"/>
          <w:szCs w:val="30"/>
          <w:highlight w:val="none"/>
          <w:lang w:val="en-US" w:eastAsia="zh-CN"/>
        </w:rPr>
        <w:t>2024</w:t>
      </w:r>
      <w:r>
        <w:rPr>
          <w:rFonts w:hint="eastAsia" w:ascii="仿宋_GB2312" w:eastAsia="仿宋_GB2312"/>
          <w:sz w:val="30"/>
          <w:szCs w:val="30"/>
          <w:highlight w:val="none"/>
        </w:rPr>
        <w:t>年度收入合计</w:t>
      </w:r>
      <w:r>
        <w:rPr>
          <w:rFonts w:hint="eastAsia" w:ascii="仿宋_GB2312" w:hAnsi="仿宋_GB2312" w:eastAsia="仿宋_GB2312" w:cs="仿宋_GB2312"/>
          <w:color w:val="auto"/>
          <w:sz w:val="30"/>
          <w:lang w:val="zh-CN"/>
        </w:rPr>
        <w:t>5919137.43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5919137.43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100.00</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w:t>
      </w:r>
    </w:p>
    <w:p w14:paraId="3A99A9D8">
      <w:pPr>
        <w:widowControl/>
        <w:snapToGrid w:val="0"/>
        <w:spacing w:before="100" w:after="100" w:line="600" w:lineRule="exact"/>
        <w:ind w:firstLine="538"/>
        <w:jc w:val="left"/>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470894.06</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7.37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455821.71</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7.15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；无事业收入；无经营收入；无附属单位上缴收入；其他收入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15072.35</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100.00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lang w:eastAsia="zh-CN"/>
        </w:rPr>
        <w:t>我单位向上级部门申请财政拨款的教师研训经费、项目资金较上年减少。</w:t>
      </w:r>
    </w:p>
    <w:p w14:paraId="2E3D3417">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59C9DBA1">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昆明市呈贡区基础教育科学研究院</w:t>
      </w:r>
      <w:r>
        <w:rPr>
          <w:rFonts w:hint="eastAsia" w:ascii="仿宋_GB2312" w:eastAsia="仿宋_GB2312"/>
          <w:sz w:val="30"/>
          <w:szCs w:val="30"/>
          <w:highlight w:val="none"/>
          <w:lang w:val="en-US" w:eastAsia="zh-CN"/>
        </w:rPr>
        <w:t>2024</w:t>
      </w:r>
      <w:r>
        <w:rPr>
          <w:rFonts w:hint="eastAsia" w:ascii="仿宋_GB2312" w:eastAsia="仿宋_GB2312"/>
          <w:sz w:val="30"/>
          <w:szCs w:val="30"/>
          <w:highlight w:val="none"/>
        </w:rPr>
        <w:t>年度支出合计</w:t>
      </w:r>
      <w:r>
        <w:rPr>
          <w:rFonts w:hint="eastAsia" w:ascii="仿宋_GB2312" w:hAnsi="仿宋_GB2312" w:eastAsia="仿宋_GB2312" w:cs="仿宋_GB2312"/>
          <w:color w:val="auto"/>
          <w:sz w:val="30"/>
          <w:lang w:val="zh-CN"/>
        </w:rPr>
        <w:t>5919137.43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4594737.43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77.63</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1324400.00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22.37</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7EC708E8">
      <w:pPr>
        <w:spacing w:line="600" w:lineRule="exact"/>
        <w:ind w:firstLine="600" w:firstLineChars="200"/>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475105.31</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7.43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434724.97</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8.64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40380.34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2.96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；无上缴上级支出；无经营支出；无对附属单位补助支出。</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Times New Roman" w:hAnsi="Times New Roman" w:eastAsia="仿宋_GB2312" w:cs="仿宋_GB2312"/>
          <w:sz w:val="32"/>
          <w:szCs w:val="32"/>
          <w:highlight w:val="none"/>
        </w:rPr>
        <w:t>202</w:t>
      </w:r>
      <w:r>
        <w:rPr>
          <w:rFonts w:hint="eastAsia" w:eastAsia="仿宋_GB2312" w:cs="仿宋_GB2312"/>
          <w:sz w:val="32"/>
          <w:szCs w:val="32"/>
          <w:highlight w:val="none"/>
          <w:lang w:val="en-US" w:eastAsia="zh-CN"/>
        </w:rPr>
        <w:t>4</w:t>
      </w:r>
      <w:r>
        <w:rPr>
          <w:rFonts w:hint="eastAsia" w:ascii="Times New Roman" w:hAnsi="Times New Roman" w:eastAsia="仿宋_GB2312" w:cs="仿宋_GB2312"/>
          <w:sz w:val="32"/>
          <w:szCs w:val="32"/>
          <w:highlight w:val="none"/>
          <w:lang w:val="en-US" w:eastAsia="zh-CN"/>
        </w:rPr>
        <w:t>年</w:t>
      </w:r>
      <w:r>
        <w:rPr>
          <w:rFonts w:hint="eastAsia" w:ascii="Times New Roman" w:hAnsi="Times New Roman" w:eastAsia="仿宋_GB2312" w:cs="仿宋_GB2312"/>
          <w:sz w:val="32"/>
          <w:szCs w:val="32"/>
          <w:highlight w:val="none"/>
          <w:lang w:eastAsia="zh-CN"/>
        </w:rPr>
        <w:t>人员工资</w:t>
      </w:r>
      <w:r>
        <w:rPr>
          <w:rFonts w:hint="eastAsia" w:eastAsia="仿宋_GB2312" w:cs="仿宋_GB2312"/>
          <w:sz w:val="32"/>
          <w:szCs w:val="32"/>
          <w:highlight w:val="none"/>
          <w:lang w:eastAsia="zh-CN"/>
        </w:rPr>
        <w:t>减少</w:t>
      </w:r>
      <w:r>
        <w:rPr>
          <w:rFonts w:hint="eastAsia" w:ascii="Times New Roman" w:hAnsi="Times New Roman" w:eastAsia="仿宋_GB2312" w:cs="仿宋_GB2312"/>
          <w:sz w:val="32"/>
          <w:szCs w:val="32"/>
          <w:highlight w:val="none"/>
          <w:lang w:eastAsia="zh-CN"/>
        </w:rPr>
        <w:t>，人员经费随之</w:t>
      </w:r>
      <w:r>
        <w:rPr>
          <w:rFonts w:hint="eastAsia" w:eastAsia="仿宋_GB2312" w:cs="仿宋_GB2312"/>
          <w:sz w:val="32"/>
          <w:szCs w:val="32"/>
          <w:highlight w:val="none"/>
          <w:lang w:eastAsia="zh-CN"/>
        </w:rPr>
        <w:t>减少</w:t>
      </w:r>
      <w:r>
        <w:rPr>
          <w:rFonts w:hint="eastAsia" w:ascii="Times New Roman" w:hAnsi="Times New Roman"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项目支出</w:t>
      </w:r>
      <w:r>
        <w:rPr>
          <w:rFonts w:hint="eastAsia" w:ascii="Times New Roman" w:hAnsi="Times New Roman" w:eastAsia="仿宋_GB2312" w:cs="仿宋_GB2312"/>
          <w:sz w:val="32"/>
          <w:szCs w:val="32"/>
          <w:highlight w:val="none"/>
          <w:lang w:eastAsia="zh-CN"/>
        </w:rPr>
        <w:t>增加</w:t>
      </w:r>
      <w:r>
        <w:rPr>
          <w:rFonts w:hint="eastAsia" w:ascii="Times New Roman" w:hAnsi="Times New Roman" w:eastAsia="仿宋_GB2312" w:cs="仿宋_GB2312"/>
          <w:sz w:val="32"/>
          <w:szCs w:val="32"/>
          <w:highlight w:val="none"/>
        </w:rPr>
        <w:t>的主要原因是202</w:t>
      </w:r>
      <w:r>
        <w:rPr>
          <w:rFonts w:hint="eastAsia" w:eastAsia="仿宋_GB2312" w:cs="仿宋_GB2312"/>
          <w:sz w:val="32"/>
          <w:szCs w:val="32"/>
          <w:highlight w:val="none"/>
          <w:lang w:val="en-US" w:eastAsia="zh-CN"/>
        </w:rPr>
        <w:t>4年</w:t>
      </w:r>
      <w:r>
        <w:rPr>
          <w:rFonts w:hint="eastAsia" w:ascii="Times New Roman" w:hAnsi="Times New Roman" w:eastAsia="仿宋_GB2312" w:cs="仿宋_GB2312"/>
          <w:sz w:val="32"/>
          <w:szCs w:val="32"/>
          <w:highlight w:val="none"/>
          <w:lang w:val="en-US" w:eastAsia="zh-CN"/>
        </w:rPr>
        <w:t>申请项目资金“教师研训经费”，项目资金支出</w:t>
      </w:r>
      <w:r>
        <w:rPr>
          <w:rFonts w:hint="eastAsia" w:eastAsia="仿宋_GB2312" w:cs="仿宋_GB2312"/>
          <w:sz w:val="32"/>
          <w:szCs w:val="32"/>
          <w:highlight w:val="none"/>
          <w:lang w:val="en-US" w:eastAsia="zh-CN"/>
        </w:rPr>
        <w:t>减少</w:t>
      </w:r>
      <w:r>
        <w:rPr>
          <w:rFonts w:hint="eastAsia" w:ascii="Times New Roman" w:hAnsi="Times New Roman" w:eastAsia="仿宋_GB2312" w:cs="仿宋_GB2312"/>
          <w:sz w:val="32"/>
          <w:szCs w:val="32"/>
          <w:highlight w:val="none"/>
          <w:lang w:val="en-US" w:eastAsia="zh-CN"/>
        </w:rPr>
        <w:t>。</w:t>
      </w:r>
    </w:p>
    <w:p w14:paraId="25D6932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29D27BCA">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2024</w:t>
      </w:r>
      <w:r>
        <w:rPr>
          <w:rFonts w:hint="eastAsia" w:ascii="仿宋_GB2312" w:hAnsi="仿宋_GB2312" w:eastAsia="仿宋_GB2312" w:cs="仿宋_GB2312"/>
          <w:sz w:val="30"/>
          <w:szCs w:val="30"/>
          <w:highlight w:val="none"/>
        </w:rPr>
        <w:t>年度用于保障</w:t>
      </w:r>
      <w:r>
        <w:rPr>
          <w:rFonts w:hint="eastAsia" w:ascii="仿宋_GB2312" w:hAnsi="仿宋_GB2312" w:eastAsia="仿宋_GB2312" w:cs="仿宋_GB2312"/>
          <w:color w:val="auto"/>
          <w:sz w:val="30"/>
          <w:lang w:val="zh-CN"/>
        </w:rPr>
        <w:t>昆明市呈贡区基础教育科学研究院</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4594737.43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4364952.15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95.00</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229785.28</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5.00</w:t>
      </w:r>
      <w:r>
        <w:rPr>
          <w:rFonts w:hint="eastAsia" w:ascii="仿宋_GB2312" w:hAnsi="仿宋_GB2312" w:eastAsia="仿宋_GB2312" w:cs="仿宋_GB2312"/>
          <w:sz w:val="30"/>
          <w:szCs w:val="30"/>
          <w:highlight w:val="none"/>
        </w:rPr>
        <w:t>％。</w:t>
      </w:r>
    </w:p>
    <w:p w14:paraId="740F1FAF">
      <w:pPr>
        <w:widowControl/>
        <w:snapToGrid w:val="0"/>
        <w:spacing w:before="100" w:after="100" w:line="600" w:lineRule="exact"/>
        <w:ind w:firstLine="600" w:firstLineChars="200"/>
        <w:jc w:val="left"/>
        <w:outlineLvl w:val="2"/>
        <w:rPr>
          <w:rFonts w:hint="eastAsia" w:ascii="楷体" w:hAnsi="楷体" w:eastAsia="楷体"/>
          <w:color w:val="FF0000"/>
          <w:sz w:val="30"/>
          <w:szCs w:val="30"/>
          <w:highlight w:val="none"/>
        </w:rPr>
      </w:pPr>
      <w:r>
        <w:rPr>
          <w:rFonts w:hint="eastAsia" w:ascii="楷体" w:hAnsi="楷体" w:eastAsia="楷体"/>
          <w:color w:val="FF0000"/>
          <w:sz w:val="30"/>
          <w:szCs w:val="30"/>
          <w:highlight w:val="none"/>
        </w:rPr>
        <w:t>（二）项目支出情况</w:t>
      </w:r>
    </w:p>
    <w:p w14:paraId="6DFBD4AD">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2024</w:t>
      </w:r>
      <w:r>
        <w:rPr>
          <w:rFonts w:hint="eastAsia" w:ascii="仿宋_GB2312" w:eastAsia="仿宋_GB2312"/>
          <w:sz w:val="30"/>
          <w:szCs w:val="30"/>
          <w:highlight w:val="none"/>
        </w:rPr>
        <w:t>年度用于保障</w:t>
      </w:r>
      <w:r>
        <w:rPr>
          <w:rFonts w:hint="eastAsia" w:ascii="仿宋_GB2312" w:hAnsi="仿宋_GB2312" w:eastAsia="仿宋_GB2312" w:cs="仿宋_GB2312"/>
          <w:color w:val="auto"/>
          <w:sz w:val="30"/>
          <w:highlight w:val="none"/>
          <w:lang w:val="zh-CN"/>
        </w:rPr>
        <w:t>昆明市呈贡区基础教育科学研究院</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highlight w:val="none"/>
          <w:lang w:val="zh-CN"/>
        </w:rPr>
        <w:t>1324400.00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00D4AAD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具体项目开支及开展工作情况如下：</w:t>
      </w:r>
    </w:p>
    <w:p w14:paraId="025819F0">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1.教师研训经费50万元，主要用于教师教育教学工作和需求调研，研究制定区级教师教育科研计划，统筹实施教育科研工作等。</w:t>
      </w:r>
    </w:p>
    <w:p w14:paraId="581FD11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2.引进银龄讲师工作补贴区级专项工作经费31万元，引进银龄讲师市级专项资金24万元，主要用于引进的三位银铃讲师11个月工作补贴发放。</w:t>
      </w:r>
    </w:p>
    <w:p w14:paraId="4B382B8A">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3.2024年教师队伍人才引进市级专项资金10.94万元，主要用于民大附中2024年高才奎“春城计划”教学名师工作室工作经费及核拨民大附中、育才学校、师大附中呈贡学校及教科院学科带头人和骨干教科研津贴。</w:t>
      </w:r>
    </w:p>
    <w:p w14:paraId="116C9C6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4.2023年度名校长基地名师工作室市级补助资金5万元，主要用于民大附中2023年高才奎“春城计划”教学名师工作室工作经费。</w:t>
      </w:r>
    </w:p>
    <w:p w14:paraId="1E641A49">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5.2024年办理代表建议政协提案专项资金11.5万元，资金主要用于办理重点提案中涉及的研训工作经费。</w:t>
      </w:r>
    </w:p>
    <w:p w14:paraId="78F5BCCB">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0377FA7A">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74402E2F">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昆明市呈贡区基础教育科学研究院</w:t>
      </w:r>
      <w:r>
        <w:rPr>
          <w:rFonts w:hint="eastAsia" w:ascii="仿宋_GB2312" w:eastAsia="仿宋_GB2312"/>
          <w:sz w:val="30"/>
          <w:szCs w:val="30"/>
          <w:highlight w:val="none"/>
          <w:lang w:val="en-US" w:eastAsia="zh-CN"/>
        </w:rPr>
        <w:t>2024</w:t>
      </w:r>
      <w:r>
        <w:rPr>
          <w:rFonts w:hint="eastAsia" w:ascii="仿宋_GB2312" w:eastAsia="仿宋_GB2312"/>
          <w:sz w:val="30"/>
          <w:szCs w:val="30"/>
          <w:highlight w:val="none"/>
        </w:rPr>
        <w:t>年度一般公共预算财政拨款支出</w:t>
      </w:r>
      <w:r>
        <w:rPr>
          <w:rFonts w:hint="eastAsia" w:ascii="仿宋_GB2312" w:hAnsi="仿宋_GB2312" w:eastAsia="仿宋_GB2312" w:cs="仿宋_GB2312"/>
          <w:color w:val="auto"/>
          <w:kern w:val="0"/>
          <w:sz w:val="30"/>
          <w:lang w:val="zh-CN"/>
        </w:rPr>
        <w:t>5919137.43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100.00</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456992.71</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7.17</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104.69</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7A8BF4EA">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29763310">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78CAEB19">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521D91F0">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70E49CD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p>
    <w:p w14:paraId="7F9A6719">
      <w:pPr>
        <w:pStyle w:val="10"/>
        <w:keepNext w:val="0"/>
        <w:keepLines w:val="0"/>
        <w:pageBreakBefore w:val="0"/>
        <w:widowControl/>
        <w:kinsoku/>
        <w:wordWrap/>
        <w:overflowPunct/>
        <w:topLinePunct w:val="0"/>
        <w:autoSpaceDE/>
        <w:autoSpaceDN/>
        <w:bidi w:val="0"/>
        <w:adjustRightInd/>
        <w:snapToGrid/>
        <w:spacing w:before="0" w:after="0" w:line="560" w:lineRule="exact"/>
        <w:ind w:left="0" w:right="0" w:firstLine="600" w:firstLineChars="200"/>
        <w:textAlignment w:val="auto"/>
        <w:rPr>
          <w:rFonts w:hint="eastAsia" w:ascii="仿宋_GB2312" w:hAnsi="仿宋_GB2312" w:eastAsia="仿宋_GB2312" w:cs="仿宋_GB2312"/>
          <w:color w:val="auto"/>
          <w:sz w:val="30"/>
          <w:lang w:val="en-US"/>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4138483.37</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69.92</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106.61</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w:t>
      </w:r>
      <w:r>
        <w:rPr>
          <w:rFonts w:hint="eastAsia" w:ascii="仿宋_GB2312" w:hAnsi="仿宋_GB2312" w:eastAsia="仿宋_GB2312" w:cs="仿宋_GB2312"/>
          <w:color w:val="auto"/>
          <w:sz w:val="30"/>
          <w:lang w:val="en-US"/>
        </w:rPr>
        <w:t>用于主要是人员经费、教师培训、党建经费等支出。</w:t>
      </w:r>
    </w:p>
    <w:p w14:paraId="055DD41D">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2112AC3B">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4F13F2E4">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1021834.80</w:t>
      </w:r>
      <w:r>
        <w:rPr>
          <w:rFonts w:hint="eastAsia" w:ascii="仿宋_GB2312" w:hAnsi="仿宋_GB2312" w:eastAsia="仿宋_GB2312" w:cs="仿宋_GB2312"/>
          <w:color w:val="auto"/>
          <w:kern w:val="0"/>
          <w:sz w:val="30"/>
          <w:lang w:val="en-US"/>
        </w:rPr>
        <w:t>元，占一般公共预算财政拨款总支出的</w:t>
      </w:r>
      <w:r>
        <w:rPr>
          <w:rFonts w:hint="eastAsia" w:ascii="仿宋_GB2312" w:hAnsi="仿宋_GB2312" w:eastAsia="仿宋_GB2312" w:cs="仿宋_GB2312"/>
          <w:color w:val="auto"/>
          <w:kern w:val="0"/>
          <w:sz w:val="30"/>
          <w:lang w:val="en-US" w:eastAsia="zh-CN"/>
        </w:rPr>
        <w:t>17.26</w:t>
      </w:r>
      <w:r>
        <w:rPr>
          <w:rFonts w:hint="eastAsia" w:ascii="仿宋_GB2312" w:hAnsi="仿宋_GB2312" w:eastAsia="仿宋_GB2312" w:cs="仿宋_GB2312"/>
          <w:color w:val="auto"/>
          <w:kern w:val="0"/>
          <w:sz w:val="30"/>
          <w:lang w:val="en-US"/>
        </w:rPr>
        <w:t>%,</w:t>
      </w:r>
      <w:r>
        <w:rPr>
          <w:rFonts w:hint="eastAsia" w:ascii="仿宋_GB2312" w:hAnsi="仿宋_GB2312" w:eastAsia="仿宋_GB2312" w:cs="仿宋_GB2312"/>
          <w:color w:val="auto"/>
          <w:kern w:val="0"/>
          <w:sz w:val="30"/>
          <w:lang w:val="en-US" w:eastAsia="zh-CN"/>
        </w:rPr>
        <w:t>完成年初预算的</w:t>
      </w:r>
      <w:r>
        <w:rPr>
          <w:rFonts w:hint="eastAsia" w:ascii="仿宋_GB2312" w:hAnsi="仿宋_GB2312" w:eastAsia="仿宋_GB2312" w:cs="仿宋_GB2312"/>
          <w:color w:val="auto"/>
          <w:kern w:val="0"/>
          <w:sz w:val="30"/>
          <w:lang w:val="zh-CN"/>
        </w:rPr>
        <w:t>106.44</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en-US"/>
        </w:rPr>
        <w:t>。主</w:t>
      </w:r>
      <w:r>
        <w:rPr>
          <w:rFonts w:hint="eastAsia" w:ascii="仿宋_GB2312" w:hAnsi="仿宋_GB2312" w:eastAsia="仿宋_GB2312" w:cs="仿宋_GB2312"/>
          <w:color w:val="auto"/>
          <w:kern w:val="0"/>
          <w:sz w:val="30"/>
          <w:lang w:val="en-US" w:eastAsia="zh-CN"/>
        </w:rPr>
        <w:t>要用于主要是教职工养老保险及退休教师生活补助支出。</w:t>
      </w:r>
    </w:p>
    <w:p w14:paraId="10CF94FE">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362321.26</w:t>
      </w:r>
      <w:r>
        <w:rPr>
          <w:rFonts w:hint="eastAsia" w:ascii="仿宋_GB2312" w:hAnsi="仿宋_GB2312" w:eastAsia="仿宋_GB2312" w:cs="仿宋_GB2312"/>
          <w:color w:val="auto"/>
          <w:kern w:val="0"/>
          <w:sz w:val="30"/>
          <w:lang w:val="en-US" w:eastAsia="zh-CN"/>
        </w:rPr>
        <w:t>元</w:t>
      </w:r>
      <w:r>
        <w:rPr>
          <w:rFonts w:hint="eastAsia" w:ascii="仿宋_GB2312" w:hAnsi="仿宋_GB2312" w:eastAsia="仿宋_GB2312" w:cs="仿宋_GB2312"/>
          <w:color w:val="auto"/>
          <w:kern w:val="0"/>
          <w:sz w:val="30"/>
          <w:lang w:val="en-US"/>
        </w:rPr>
        <w:t>，占一般公共预算财政拨款总支出的</w:t>
      </w:r>
      <w:r>
        <w:rPr>
          <w:rFonts w:hint="eastAsia" w:ascii="仿宋_GB2312" w:hAnsi="仿宋_GB2312" w:eastAsia="仿宋_GB2312" w:cs="仿宋_GB2312"/>
          <w:color w:val="auto"/>
          <w:kern w:val="0"/>
          <w:sz w:val="30"/>
          <w:lang w:val="zh-CN"/>
        </w:rPr>
        <w:t>6.12</w:t>
      </w:r>
      <w:r>
        <w:rPr>
          <w:rFonts w:hint="eastAsia" w:ascii="仿宋_GB2312" w:hAnsi="仿宋_GB2312" w:eastAsia="仿宋_GB2312" w:cs="仿宋_GB2312"/>
          <w:color w:val="auto"/>
          <w:kern w:val="0"/>
          <w:sz w:val="30"/>
          <w:lang w:val="en-US"/>
        </w:rPr>
        <w:t>%,</w:t>
      </w:r>
      <w:r>
        <w:rPr>
          <w:rFonts w:hint="eastAsia" w:ascii="仿宋_GB2312" w:hAnsi="仿宋_GB2312" w:eastAsia="仿宋_GB2312" w:cs="仿宋_GB2312"/>
          <w:color w:val="auto"/>
          <w:kern w:val="0"/>
          <w:sz w:val="30"/>
          <w:lang w:val="en-US" w:eastAsia="zh-CN"/>
        </w:rPr>
        <w:t>完成年初预算的</w:t>
      </w:r>
      <w:r>
        <w:rPr>
          <w:rFonts w:hint="eastAsia" w:ascii="仿宋_GB2312" w:hAnsi="仿宋_GB2312" w:eastAsia="仿宋_GB2312" w:cs="仿宋_GB2312"/>
          <w:color w:val="auto"/>
          <w:kern w:val="0"/>
          <w:sz w:val="30"/>
          <w:lang w:val="zh-CN"/>
        </w:rPr>
        <w:t>73.48</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en-US"/>
        </w:rPr>
        <w:t>。主要用于教职工医疗保险支出</w:t>
      </w:r>
      <w:r>
        <w:rPr>
          <w:rFonts w:hint="eastAsia" w:ascii="仿宋_GB2312" w:hAnsi="仿宋_GB2312" w:eastAsia="仿宋_GB2312" w:cs="仿宋_GB2312"/>
          <w:color w:val="auto"/>
          <w:kern w:val="0"/>
          <w:sz w:val="30"/>
          <w:lang w:val="en-US" w:eastAsia="zh-CN"/>
        </w:rPr>
        <w:t>。</w:t>
      </w:r>
    </w:p>
    <w:p w14:paraId="2A9D34E8">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0DAEBCF8">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3AE06060">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3E8C224A">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5B2FBFBD">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122F2EFF">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21C233FE">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339FE120">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40FD56DF">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212A0DCC">
      <w:pPr>
        <w:widowControl/>
        <w:snapToGrid w:val="0"/>
        <w:spacing w:before="100" w:after="100" w:line="360" w:lineRule="auto"/>
        <w:ind w:firstLine="600" w:firstLineChars="200"/>
        <w:jc w:val="left"/>
        <w:rPr>
          <w:rFonts w:hint="eastAsia" w:ascii="仿宋_GB2312" w:eastAsia="仿宋_GB2312"/>
          <w:sz w:val="30"/>
          <w:szCs w:val="30"/>
          <w:highlight w:val="none"/>
          <w:lang w:val="en-US"/>
        </w:rPr>
      </w:pPr>
      <w:r>
        <w:rPr>
          <w:rFonts w:hint="eastAsia" w:ascii="仿宋_GB2312" w:eastAsia="仿宋_GB2312"/>
          <w:sz w:val="30"/>
          <w:szCs w:val="30"/>
          <w:highlight w:val="none"/>
          <w:lang w:val="en-US"/>
        </w:rPr>
        <w:t>19.住房保障（类）支出</w:t>
      </w:r>
      <w:r>
        <w:rPr>
          <w:rFonts w:hint="eastAsia" w:ascii="仿宋_GB2312" w:eastAsia="仿宋_GB2312"/>
          <w:sz w:val="30"/>
          <w:szCs w:val="30"/>
          <w:highlight w:val="none"/>
          <w:lang w:val="zh-CN"/>
        </w:rPr>
        <w:t>396498.00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，占一般公共预算财政拨款总支出的</w:t>
      </w:r>
      <w:r>
        <w:rPr>
          <w:rFonts w:hint="eastAsia" w:ascii="仿宋_GB2312" w:eastAsia="仿宋_GB2312"/>
          <w:sz w:val="30"/>
          <w:szCs w:val="30"/>
          <w:highlight w:val="none"/>
          <w:lang w:val="zh-CN"/>
        </w:rPr>
        <w:t>6.70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eastAsia="仿宋_GB2312"/>
          <w:sz w:val="30"/>
          <w:szCs w:val="30"/>
          <w:highlight w:val="none"/>
          <w:lang w:val="zh-CN"/>
        </w:rPr>
        <w:t>124.36</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eastAsia="仿宋_GB2312"/>
          <w:sz w:val="30"/>
          <w:szCs w:val="30"/>
          <w:highlight w:val="none"/>
          <w:lang w:val="en-US"/>
        </w:rPr>
        <w:t>主要用于教职工住房公积金及购房补助支出。</w:t>
      </w:r>
    </w:p>
    <w:p w14:paraId="23DB386A">
      <w:pPr>
        <w:widowControl/>
        <w:snapToGrid w:val="0"/>
        <w:spacing w:before="100" w:after="100" w:line="360" w:lineRule="auto"/>
        <w:ind w:firstLine="600" w:firstLineChars="200"/>
        <w:jc w:val="left"/>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rPr>
        <w:t>20.粮油物资储备（类）支出</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，占一般公共预算财政拨款总支出的</w:t>
      </w:r>
      <w:r>
        <w:rPr>
          <w:rFonts w:hint="eastAsia" w:ascii="仿宋_GB2312" w:eastAsia="仿宋_GB2312"/>
          <w:sz w:val="30"/>
          <w:szCs w:val="30"/>
          <w:highlight w:val="none"/>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年初无此项预算。</w:t>
      </w:r>
    </w:p>
    <w:p w14:paraId="2CB4F125">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7FDDAA6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073B405D">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2B01CF18">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50687082">
      <w:pPr>
        <w:widowControl/>
        <w:snapToGrid w:val="0"/>
        <w:spacing w:before="100" w:after="100" w:line="360" w:lineRule="auto"/>
        <w:ind w:firstLine="600" w:firstLineChars="200"/>
        <w:jc w:val="left"/>
        <w:rPr>
          <w:rFonts w:hint="eastAsia" w:ascii="仿宋_GB2312" w:hAnsi="仿宋_GB2312" w:eastAsia="仿宋_GB2312" w:cs="仿宋_GB2312"/>
          <w:color w:val="auto"/>
          <w:kern w:val="0"/>
          <w:sz w:val="30"/>
          <w:lang w:val="en-US"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1B829F9D">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hAnsi="仿宋_GB2312" w:eastAsia="仿宋_GB2312" w:cs="仿宋_GB2312"/>
          <w:color w:val="auto"/>
          <w:kern w:val="0"/>
          <w:sz w:val="30"/>
          <w:lang w:val="en-US" w:eastAsia="zh-CN"/>
        </w:rPr>
        <w:t>年初无此项预算。</w:t>
      </w:r>
    </w:p>
    <w:p w14:paraId="438C0DA0">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4D76BDF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6F14B49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2024</w:t>
      </w:r>
      <w:r>
        <w:rPr>
          <w:rFonts w:hint="eastAsia" w:ascii="仿宋_GB2312" w:hAnsi="宋体" w:eastAsia="仿宋_GB2312" w:cs="Arial"/>
          <w:kern w:val="0"/>
          <w:sz w:val="30"/>
          <w:szCs w:val="30"/>
          <w:highlight w:val="none"/>
        </w:rPr>
        <w:t>年度财政拨款“三公”经费支出决算中，财政拨款“三公”经费支出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25420.00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3069.00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12.07</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2469.00</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411.50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因公出国（境）费支出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上年无此项支出</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上年无此项支出</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25420.00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3069.00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12.07</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w:t>
      </w:r>
      <w:r>
        <w:rPr>
          <w:rFonts w:hint="eastAsia" w:ascii="仿宋_GB2312" w:hAnsi="仿宋_GB2312" w:eastAsia="仿宋_GB2312" w:cs="仿宋_GB2312"/>
          <w:color w:val="auto"/>
          <w:kern w:val="0"/>
          <w:sz w:val="30"/>
          <w:lang w:val="en-US" w:eastAsia="zh-CN"/>
        </w:rPr>
        <w:t>年初无此项预算。</w:t>
      </w:r>
      <w:r>
        <w:rPr>
          <w:rFonts w:hint="eastAsia" w:ascii="仿宋_GB2312" w:hAnsi="宋体" w:eastAsia="仿宋_GB2312" w:cs="Arial"/>
          <w:kern w:val="0"/>
          <w:sz w:val="30"/>
          <w:szCs w:val="30"/>
          <w:highlight w:val="none"/>
          <w:lang w:eastAsia="zh-CN"/>
        </w:rPr>
        <w:t>上年无公务用车购置费支出；</w:t>
      </w:r>
      <w:r>
        <w:rPr>
          <w:rFonts w:hint="eastAsia" w:ascii="仿宋_GB2312" w:eastAsia="仿宋_GB2312"/>
          <w:sz w:val="30"/>
          <w:szCs w:val="30"/>
          <w:highlight w:val="none"/>
        </w:rPr>
        <w:t>公</w:t>
      </w:r>
      <w:r>
        <w:rPr>
          <w:rFonts w:hint="eastAsia" w:ascii="仿宋_GB2312" w:hAnsi="宋体" w:eastAsia="仿宋_GB2312" w:cs="Arial"/>
          <w:kern w:val="0"/>
          <w:sz w:val="30"/>
          <w:szCs w:val="30"/>
          <w:highlight w:val="none"/>
          <w:lang w:eastAsia="zh-CN"/>
        </w:rPr>
        <w:t>务用车运行维护费支出决算较上年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宋体" w:eastAsia="仿宋_GB2312" w:cs="Arial"/>
          <w:kern w:val="0"/>
          <w:sz w:val="30"/>
          <w:szCs w:val="30"/>
          <w:highlight w:val="none"/>
          <w:lang w:val="zh-CN" w:eastAsia="zh-CN"/>
        </w:rPr>
        <w:t>2469.00</w:t>
      </w:r>
      <w:r>
        <w:rPr>
          <w:rFonts w:hint="eastAsia" w:ascii="仿宋_GB2312" w:hAnsi="宋体" w:eastAsia="仿宋_GB2312" w:cs="Arial"/>
          <w:kern w:val="0"/>
          <w:sz w:val="30"/>
          <w:szCs w:val="30"/>
          <w:highlight w:val="none"/>
          <w:lang w:val="en-US" w:eastAsia="zh-CN"/>
        </w:rPr>
        <w:t>元，增长</w:t>
      </w:r>
      <w:r>
        <w:rPr>
          <w:rFonts w:hint="eastAsia" w:ascii="仿宋_GB2312" w:hAnsi="宋体" w:eastAsia="仿宋_GB2312" w:cs="Arial"/>
          <w:kern w:val="0"/>
          <w:sz w:val="30"/>
          <w:szCs w:val="30"/>
          <w:highlight w:val="none"/>
          <w:lang w:val="zh-CN" w:eastAsia="zh-CN"/>
        </w:rPr>
        <w:t>411.50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；上年无</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元，上年无此项支出。</w:t>
      </w:r>
    </w:p>
    <w:p w14:paraId="1293A30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0A3415A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2024</w:t>
      </w:r>
      <w:r>
        <w:rPr>
          <w:rFonts w:hint="eastAsia" w:ascii="仿宋_GB2312" w:eastAsia="仿宋_GB2312"/>
          <w:sz w:val="30"/>
          <w:szCs w:val="30"/>
          <w:highlight w:val="none"/>
        </w:rPr>
        <w:t>年度一般公共预算财政拨款“三公”经费支出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25420.00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3069.00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12.07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2469.00</w:t>
      </w:r>
      <w:r>
        <w:rPr>
          <w:rFonts w:hint="eastAsia" w:ascii="仿宋_GB2312" w:hAnsi="宋体" w:eastAsia="仿宋_GB2312" w:cs="Arial"/>
          <w:kern w:val="0"/>
          <w:sz w:val="30"/>
          <w:szCs w:val="30"/>
          <w:highlight w:val="none"/>
          <w:lang w:val="en-US" w:eastAsia="zh-CN"/>
        </w:rPr>
        <w:t>元，增长</w:t>
      </w:r>
      <w:r>
        <w:rPr>
          <w:rFonts w:hint="eastAsia" w:ascii="仿宋_GB2312" w:hAnsi="仿宋_GB2312" w:eastAsia="仿宋_GB2312" w:cs="仿宋_GB2312"/>
          <w:color w:val="000000"/>
          <w:sz w:val="30"/>
          <w:lang w:val="zh-CN"/>
        </w:rPr>
        <w:t>411.50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14:paraId="79C7865C">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25420.00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3069.00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12.07</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78F21FF9">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中：上年无</w:t>
      </w:r>
      <w:r>
        <w:rPr>
          <w:rFonts w:hint="eastAsia" w:ascii="仿宋_GB2312" w:eastAsia="仿宋_GB2312"/>
          <w:sz w:val="30"/>
          <w:szCs w:val="30"/>
          <w:highlight w:val="none"/>
        </w:rPr>
        <w:t>因公出国（境）费支出；</w:t>
      </w:r>
      <w:r>
        <w:rPr>
          <w:rFonts w:hint="eastAsia" w:ascii="仿宋_GB2312" w:eastAsia="仿宋_GB2312"/>
          <w:sz w:val="30"/>
          <w:szCs w:val="30"/>
          <w:highlight w:val="none"/>
          <w:lang w:eastAsia="zh-CN"/>
        </w:rPr>
        <w:t>上年无</w:t>
      </w:r>
      <w:r>
        <w:rPr>
          <w:rFonts w:hint="eastAsia" w:ascii="仿宋_GB2312" w:eastAsia="仿宋_GB2312"/>
          <w:sz w:val="30"/>
          <w:szCs w:val="30"/>
          <w:highlight w:val="none"/>
        </w:rPr>
        <w:t>公务用车购置费支出；公务用车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2469.00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hAnsi="仿宋_GB2312" w:eastAsia="仿宋_GB2312" w:cs="仿宋_GB2312"/>
          <w:color w:val="000000"/>
          <w:sz w:val="30"/>
          <w:lang w:val="zh-CN"/>
        </w:rPr>
        <w:t>411.50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元），上年无此项支出；国（境）外接待费支出决算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元，上年无此项支出。</w:t>
      </w:r>
    </w:p>
    <w:p w14:paraId="62DF531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4621672E">
      <w:pPr>
        <w:widowControl/>
        <w:numPr>
          <w:ilvl w:val="0"/>
          <w:numId w:val="0"/>
        </w:numPr>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lang w:val="en-US" w:eastAsia="zh-CN"/>
        </w:rPr>
        <w:t>1.</w:t>
      </w:r>
      <w:r>
        <w:rPr>
          <w:rFonts w:hint="eastAsia" w:ascii="仿宋_GB2312" w:eastAsia="仿宋_GB2312"/>
          <w:b w:val="0"/>
          <w:bCs/>
          <w:sz w:val="30"/>
          <w:szCs w:val="30"/>
          <w:highlight w:val="none"/>
        </w:rPr>
        <w:t>安排因公出国（境）团组</w:t>
      </w:r>
      <w:r>
        <w:rPr>
          <w:rFonts w:hint="eastAsia" w:ascii="仿宋_GB2312" w:hAnsi="仿宋_GB2312" w:eastAsia="仿宋_GB2312" w:cs="仿宋_GB2312"/>
          <w:color w:val="000000"/>
          <w:sz w:val="30"/>
          <w:lang w:val="zh-CN"/>
        </w:rPr>
        <w:t>0.0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0.0</w:t>
      </w:r>
      <w:r>
        <w:rPr>
          <w:rFonts w:hint="eastAsia" w:ascii="仿宋_GB2312" w:eastAsia="仿宋_GB2312"/>
          <w:b w:val="0"/>
          <w:bCs/>
          <w:sz w:val="30"/>
          <w:szCs w:val="30"/>
          <w:highlight w:val="none"/>
        </w:rPr>
        <w:t>人次。</w:t>
      </w:r>
    </w:p>
    <w:p w14:paraId="5316A1B4">
      <w:pPr>
        <w:widowControl/>
        <w:numPr>
          <w:ilvl w:val="0"/>
          <w:numId w:val="0"/>
        </w:numPr>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eastAsia="仿宋_GB2312"/>
          <w:b w:val="0"/>
          <w:bCs/>
          <w:sz w:val="30"/>
          <w:szCs w:val="30"/>
          <w:highlight w:val="none"/>
          <w:lang w:val="zh-CN"/>
        </w:rPr>
        <w:t>0.0</w:t>
      </w:r>
      <w:r>
        <w:rPr>
          <w:rFonts w:hint="eastAsia" w:ascii="仿宋_GB2312" w:eastAsia="仿宋_GB2312"/>
          <w:b w:val="0"/>
          <w:bCs/>
          <w:sz w:val="30"/>
          <w:szCs w:val="30"/>
          <w:highlight w:val="none"/>
        </w:rPr>
        <w:t>辆。开支一般公共预算财政拨款的公务用车保有量为</w:t>
      </w:r>
      <w:r>
        <w:rPr>
          <w:rFonts w:hint="eastAsia" w:ascii="仿宋_GB2312" w:eastAsia="仿宋_GB2312"/>
          <w:b w:val="0"/>
          <w:bCs/>
          <w:sz w:val="30"/>
          <w:szCs w:val="30"/>
          <w:highlight w:val="none"/>
          <w:lang w:val="en-US" w:eastAsia="zh-CN"/>
        </w:rPr>
        <w:t>1.0</w:t>
      </w:r>
      <w:r>
        <w:rPr>
          <w:rFonts w:hint="eastAsia" w:ascii="仿宋_GB2312" w:eastAsia="仿宋_GB2312"/>
          <w:b w:val="0"/>
          <w:bCs/>
          <w:sz w:val="30"/>
          <w:szCs w:val="30"/>
          <w:highlight w:val="none"/>
        </w:rPr>
        <w:t>辆。主要用于</w:t>
      </w:r>
      <w:r>
        <w:rPr>
          <w:rFonts w:hint="eastAsia" w:ascii="仿宋_GB2312" w:eastAsia="仿宋_GB2312"/>
          <w:b w:val="0"/>
          <w:bCs/>
          <w:sz w:val="30"/>
          <w:szCs w:val="30"/>
          <w:highlight w:val="none"/>
          <w:lang w:val="en-US"/>
        </w:rPr>
        <w:t>主要用于</w:t>
      </w:r>
      <w:r>
        <w:rPr>
          <w:rFonts w:hint="eastAsia" w:ascii="仿宋_GB2312" w:eastAsia="仿宋_GB2312"/>
          <w:b w:val="0"/>
          <w:bCs/>
          <w:sz w:val="30"/>
          <w:szCs w:val="30"/>
          <w:highlight w:val="none"/>
          <w:lang w:val="en-US" w:eastAsia="zh-CN"/>
        </w:rPr>
        <w:t>开展教师研训及质量监测等常规</w:t>
      </w:r>
      <w:r>
        <w:rPr>
          <w:rFonts w:hint="eastAsia" w:ascii="Times New Roman" w:hAnsi="Times New Roman" w:eastAsia="仿宋_GB2312" w:cs="仿宋_GB2312"/>
          <w:sz w:val="32"/>
          <w:szCs w:val="32"/>
          <w:lang w:val="en-US" w:eastAsia="zh-CN"/>
        </w:rPr>
        <w:t>工作</w:t>
      </w:r>
      <w:r>
        <w:rPr>
          <w:rFonts w:hint="eastAsia" w:ascii="仿宋_GB2312" w:eastAsia="仿宋_GB2312"/>
          <w:b w:val="0"/>
          <w:bCs/>
          <w:sz w:val="30"/>
          <w:szCs w:val="30"/>
          <w:highlight w:val="none"/>
        </w:rPr>
        <w:t>所需车辆燃料费、维修费、过路过桥费、保险费等。</w:t>
      </w:r>
    </w:p>
    <w:p w14:paraId="648E03AC">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rPr>
        <w:t>人）。安排国（境）外公务接待</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rPr>
        <w:t>人。</w:t>
      </w:r>
    </w:p>
    <w:p w14:paraId="519840AC">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1DDF6CAD">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1B2B51D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p>
    <w:p w14:paraId="4D59D69B">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1B48996B">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26CC8D09">
      <w:pPr>
        <w:ind w:firstLine="600" w:firstLineChars="200"/>
        <w:jc w:val="left"/>
        <w:rPr>
          <w:rFonts w:hint="eastAsia" w:ascii="仿宋_GB2312" w:hAnsi="仿宋_GB2312" w:eastAsia="仿宋_GB2312" w:cs="仿宋_GB2312"/>
          <w:color w:val="auto"/>
          <w:sz w:val="30"/>
          <w:lang w:val="zh-CN"/>
        </w:rPr>
      </w:pPr>
      <w:r>
        <w:rPr>
          <w:rFonts w:hint="eastAsia" w:ascii="仿宋_GB2312" w:hAnsi="仿宋_GB2312" w:eastAsia="仿宋_GB2312" w:cs="仿宋_GB2312"/>
          <w:color w:val="auto"/>
          <w:sz w:val="30"/>
          <w:lang w:val="zh-CN"/>
        </w:rPr>
        <w:t>昆明市呈贡区基础教育科学研究院</w:t>
      </w:r>
      <w:r>
        <w:rPr>
          <w:rFonts w:hint="eastAsia" w:ascii="仿宋_GB2312" w:hAnsi="黑体" w:eastAsia="仿宋_GB2312" w:cs="方正小标宋简体"/>
          <w:sz w:val="30"/>
          <w:szCs w:val="30"/>
          <w:highlight w:val="none"/>
          <w:lang w:val="en-US" w:eastAsia="zh-CN"/>
        </w:rPr>
        <w:t>2024</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w:t>
      </w:r>
      <w:r>
        <w:rPr>
          <w:rFonts w:hint="eastAsia" w:ascii="仿宋_GB2312" w:hAnsi="仿宋_GB2312" w:eastAsia="仿宋_GB2312" w:cs="仿宋_GB2312"/>
          <w:color w:val="auto"/>
          <w:sz w:val="30"/>
          <w:lang w:val="zh-CN"/>
        </w:rPr>
        <w:t>要原因</w:t>
      </w:r>
      <w:r>
        <w:rPr>
          <w:rFonts w:hint="eastAsia" w:ascii="仿宋_GB2312" w:hAnsi="仿宋_GB2312" w:eastAsia="仿宋_GB2312" w:cs="仿宋_GB2312"/>
          <w:color w:val="auto"/>
          <w:sz w:val="30"/>
          <w:lang w:val="zh-CN" w:eastAsia="zh-CN"/>
        </w:rPr>
        <w:t>是</w:t>
      </w:r>
      <w:r>
        <w:rPr>
          <w:rFonts w:hint="eastAsia" w:ascii="仿宋_GB2312" w:hAnsi="仿宋_GB2312" w:eastAsia="仿宋_GB2312" w:cs="仿宋_GB2312"/>
          <w:color w:val="auto"/>
          <w:sz w:val="30"/>
          <w:lang w:val="zh-CN"/>
        </w:rPr>
        <w:t>昆明市呈贡区基础教育科学研究院为非参公管理事业单位，故无机关运行经费。</w:t>
      </w:r>
    </w:p>
    <w:p w14:paraId="14A8EA0D">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二、</w:t>
      </w:r>
      <w:r>
        <w:rPr>
          <w:rFonts w:hint="eastAsia" w:ascii="黑体" w:hAnsi="黑体" w:eastAsia="黑体" w:cs="黑体"/>
          <w:sz w:val="30"/>
          <w:szCs w:val="30"/>
          <w:highlight w:val="none"/>
        </w:rPr>
        <w:t>国有资产占用情况</w:t>
      </w:r>
    </w:p>
    <w:p w14:paraId="78CA4C65">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截至2024年末，</w:t>
      </w:r>
      <w:r>
        <w:rPr>
          <w:rFonts w:hint="eastAsia" w:ascii="仿宋_GB2312" w:hAnsi="仿宋_GB2312" w:eastAsia="仿宋_GB2312" w:cs="仿宋_GB2312"/>
          <w:color w:val="auto"/>
          <w:sz w:val="30"/>
          <w:lang w:val="zh-CN"/>
        </w:rPr>
        <w:t>昆明市呈贡区基础教育科学研究院</w:t>
      </w:r>
      <w:r>
        <w:rPr>
          <w:rFonts w:hint="eastAsia" w:ascii="仿宋_GB2312" w:hAnsi="仿宋_GB2312" w:eastAsia="仿宋_GB2312" w:cs="仿宋_GB2312"/>
          <w:sz w:val="30"/>
          <w:szCs w:val="30"/>
          <w:highlight w:val="none"/>
          <w:lang w:eastAsia="zh-CN"/>
        </w:rPr>
        <w:t>资产总额1011716.75元，其中，流动资产858952.28元，固定资产152764.47元（净值），对外投资及有价证券</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。与上年相比，本年资产总额增加</w:t>
      </w:r>
      <w:r>
        <w:rPr>
          <w:rFonts w:hint="eastAsia" w:ascii="仿宋_GB2312" w:hAnsi="黑体" w:eastAsia="仿宋_GB2312" w:cs="方正小标宋简体"/>
          <w:color w:val="000000"/>
          <w:kern w:val="0"/>
          <w:sz w:val="30"/>
          <w:szCs w:val="30"/>
          <w:highlight w:val="none"/>
          <w:lang w:val="en-US" w:eastAsia="zh-CN"/>
        </w:rPr>
        <w:t>361116.75</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6235.53</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48DF37ED">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520CF1E1">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4B8BC90F">
            <w:pPr>
              <w:widowControl/>
              <w:jc w:val="left"/>
              <w:rPr>
                <w:rFonts w:ascii="宋体" w:hAnsi="宋体" w:cs="宋体"/>
                <w:color w:val="000000"/>
                <w:kern w:val="0"/>
                <w:sz w:val="17"/>
                <w:szCs w:val="17"/>
                <w:highlight w:val="none"/>
              </w:rPr>
            </w:pPr>
          </w:p>
        </w:tc>
      </w:tr>
      <w:tr w14:paraId="37DE84D4">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133F8B84">
            <w:pPr>
              <w:widowControl/>
              <w:jc w:val="left"/>
              <w:rPr>
                <w:rFonts w:ascii="宋体" w:hAnsi="宋体" w:cs="宋体"/>
                <w:color w:val="000000"/>
                <w:kern w:val="0"/>
                <w:sz w:val="17"/>
                <w:szCs w:val="17"/>
                <w:highlight w:val="none"/>
              </w:rPr>
            </w:pPr>
          </w:p>
        </w:tc>
      </w:tr>
      <w:tr w14:paraId="790592D7">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4EAD467C">
            <w:pPr>
              <w:widowControl/>
              <w:jc w:val="left"/>
              <w:rPr>
                <w:rFonts w:ascii="宋体" w:hAnsi="宋体" w:cs="宋体"/>
                <w:color w:val="000000"/>
                <w:kern w:val="0"/>
                <w:sz w:val="17"/>
                <w:szCs w:val="17"/>
                <w:highlight w:val="none"/>
              </w:rPr>
            </w:pPr>
          </w:p>
        </w:tc>
      </w:tr>
      <w:tr w14:paraId="4B704AFC">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03E1B9A9">
            <w:pPr>
              <w:widowControl/>
              <w:jc w:val="left"/>
              <w:rPr>
                <w:rFonts w:ascii="宋体" w:hAnsi="宋体" w:cs="宋体"/>
                <w:color w:val="000000"/>
                <w:kern w:val="0"/>
                <w:sz w:val="17"/>
                <w:szCs w:val="17"/>
                <w:highlight w:val="none"/>
              </w:rPr>
            </w:pPr>
          </w:p>
        </w:tc>
      </w:tr>
      <w:tr w14:paraId="517056AA">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639C3836">
            <w:pPr>
              <w:widowControl/>
              <w:jc w:val="left"/>
              <w:rPr>
                <w:rFonts w:ascii="宋体" w:hAnsi="宋体" w:cs="宋体"/>
                <w:color w:val="000000"/>
                <w:kern w:val="0"/>
                <w:sz w:val="17"/>
                <w:szCs w:val="17"/>
                <w:highlight w:val="none"/>
              </w:rPr>
            </w:pPr>
          </w:p>
        </w:tc>
      </w:tr>
      <w:tr w14:paraId="32485936">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68128F62">
            <w:pPr>
              <w:widowControl/>
              <w:jc w:val="left"/>
              <w:rPr>
                <w:rFonts w:ascii="宋体" w:hAnsi="宋体" w:cs="宋体"/>
                <w:color w:val="000000"/>
                <w:kern w:val="0"/>
                <w:sz w:val="17"/>
                <w:szCs w:val="17"/>
                <w:highlight w:val="none"/>
              </w:rPr>
            </w:pPr>
          </w:p>
        </w:tc>
      </w:tr>
      <w:tr w14:paraId="5F5A1819">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581E210D">
            <w:pPr>
              <w:widowControl/>
              <w:jc w:val="left"/>
              <w:rPr>
                <w:rFonts w:ascii="宋体" w:hAnsi="宋体" w:cs="宋体"/>
                <w:color w:val="000000"/>
                <w:kern w:val="0"/>
                <w:sz w:val="17"/>
                <w:szCs w:val="17"/>
                <w:highlight w:val="none"/>
              </w:rPr>
            </w:pPr>
          </w:p>
        </w:tc>
      </w:tr>
      <w:tr w14:paraId="1C0B1FCB">
        <w:tblPrEx>
          <w:tblCellMar>
            <w:top w:w="0" w:type="dxa"/>
            <w:left w:w="0" w:type="dxa"/>
            <w:bottom w:w="0" w:type="dxa"/>
            <w:right w:w="0" w:type="dxa"/>
          </w:tblCellMar>
        </w:tblPrEx>
        <w:trPr>
          <w:trHeight w:val="495" w:hRule="atLeast"/>
        </w:trPr>
        <w:tc>
          <w:tcPr>
            <w:tcW w:w="142" w:type="dxa"/>
            <w:noWrap w:val="0"/>
            <w:vAlign w:val="center"/>
          </w:tcPr>
          <w:p w14:paraId="5F9183A9">
            <w:pPr>
              <w:widowControl/>
              <w:jc w:val="left"/>
              <w:rPr>
                <w:rFonts w:ascii="Times New Roman" w:hAnsi="Times New Roman" w:eastAsia="Times New Roman"/>
                <w:kern w:val="0"/>
                <w:sz w:val="20"/>
                <w:szCs w:val="20"/>
                <w:highlight w:val="none"/>
              </w:rPr>
            </w:pPr>
          </w:p>
        </w:tc>
      </w:tr>
    </w:tbl>
    <w:p w14:paraId="1D9DA089">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7912F5D3">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2024年度，单位政府采购支出总额</w:t>
      </w:r>
      <w:r>
        <w:rPr>
          <w:rFonts w:hint="eastAsia" w:ascii="仿宋_GB2312" w:hAnsi="仿宋_GB2312" w:eastAsia="仿宋_GB2312" w:cs="仿宋_GB2312"/>
          <w:color w:val="auto"/>
          <w:sz w:val="30"/>
          <w:lang w:val="zh-CN"/>
        </w:rPr>
        <w:t>5880.00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5880.00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63759EE7">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6E640DFD">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3A322ED9">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370313B4">
      <w:pPr>
        <w:widowControl/>
        <w:snapToGrid w:val="0"/>
        <w:spacing w:before="100" w:after="100" w:line="360" w:lineRule="auto"/>
        <w:ind w:firstLine="600"/>
        <w:jc w:val="left"/>
        <w:rPr>
          <w:rFonts w:hint="eastAsia" w:ascii="黑体" w:hAnsi="黑体" w:eastAsia="黑体" w:cs="黑体"/>
          <w:sz w:val="30"/>
          <w:szCs w:val="30"/>
          <w:highlight w:val="none"/>
          <w:lang w:val="en-US" w:eastAsia="zh-CN"/>
        </w:rPr>
      </w:pPr>
      <w:r>
        <w:rPr>
          <w:rFonts w:hint="eastAsia" w:ascii="仿宋_GB2312" w:hAnsi="仿宋_GB2312" w:eastAsia="仿宋_GB2312" w:cs="仿宋_GB2312"/>
          <w:sz w:val="30"/>
          <w:szCs w:val="30"/>
          <w:highlight w:val="none"/>
          <w:lang w:val="en-US" w:eastAsia="zh-CN"/>
        </w:rPr>
        <w:t>昆明市呈贡区基础教育科学研究院2024年无其他重要事项情况说明。</w:t>
      </w:r>
    </w:p>
    <w:p w14:paraId="605A0EE2">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7CC7A428">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0A347FB3">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5BD16C27">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44E6304A">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当年通过本级财政拨款和以前年度财政拨款结转结余资金安排的因公出国（境）费、公务用车购置及运行维护费和公务接待费支出数（包括基本支出和项目支出）。</w:t>
      </w:r>
    </w:p>
    <w:p w14:paraId="29FB085F">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0D2C0A9B">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3CE62E06">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14:paraId="094A56EE">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B7BA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A79D852">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6A79D852">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2F7B9">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52A113E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BCE65">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9A0719"/>
    <w:rsid w:val="1CA96887"/>
    <w:rsid w:val="38636916"/>
    <w:rsid w:val="3D3D6F88"/>
    <w:rsid w:val="5082310A"/>
    <w:rsid w:val="553C1467"/>
    <w:rsid w:val="5F881F41"/>
    <w:rsid w:val="643B6F53"/>
    <w:rsid w:val="66642A51"/>
    <w:rsid w:val="6C3D203B"/>
    <w:rsid w:val="77D37DA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r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 w:type="paragraph" w:customStyle="1" w:styleId="10">
    <w:name w:val="22"/>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3dd92a-7a97-42af-9468-c178c28f77b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4799</Words>
  <Characters>5730</Characters>
  <Lines>0</Lines>
  <Paragraphs>0</Paragraphs>
  <TotalTime>0</TotalTime>
  <ScaleCrop>false</ScaleCrop>
  <LinksUpToDate>false</LinksUpToDate>
  <CharactersWithSpaces>5750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YM</cp:lastModifiedBy>
  <cp:lastPrinted>2024-07-30T06:24:00Z</cp:lastPrinted>
  <dcterms:modified xsi:type="dcterms:W3CDTF">2026-10-21T07:30:22Z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F5EF198C4EE143819F74C46F39817B36_13</vt:lpwstr>
  </property>
  <property fmtid="{D5CDD505-2E9C-101B-9397-08002B2CF9AE}" pid="4" name="KSOTemplateDocerSaveRecord">
    <vt:lpwstr>eyJoZGlkIjoiYmIwOTlmYWE5N2Y0NWUwNWU1ODJkOGI5NGI1MTRlYWEiLCJ1c2VySWQiOiI1NjE4NjI0NzQifQ==</vt:lpwstr>
  </property>
</Properties>
</file>