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both"/>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14:textFill>
            <w14:solidFill>
              <w14:schemeClr w14:val="tx1"/>
            </w14:solidFill>
          </w14:textFill>
        </w:rPr>
        <w:t>附件</w:t>
      </w: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2</w:t>
      </w:r>
    </w:p>
    <w:p>
      <w:pPr>
        <w:pStyle w:val="6"/>
        <w:spacing w:line="560" w:lineRule="exact"/>
        <w:jc w:val="center"/>
        <w:outlineLvl w:val="0"/>
        <w:rPr>
          <w:rFonts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t>评审程序及办法</w:t>
      </w:r>
    </w:p>
    <w:p>
      <w:pPr>
        <w:widowControl w:val="0"/>
        <w:spacing w:line="56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p>
    <w:p>
      <w:pPr>
        <w:pStyle w:val="13"/>
        <w:keepNext w:val="0"/>
        <w:keepLines w:val="0"/>
        <w:pageBreakBefore w:val="0"/>
        <w:widowControl w:val="0"/>
        <w:kinsoku/>
        <w:wordWrap/>
        <w:overflowPunct/>
        <w:topLinePunct w:val="0"/>
        <w:bidi w:val="0"/>
        <w:spacing w:after="0" w:line="560" w:lineRule="exact"/>
        <w:ind w:firstLine="640" w:firstLineChars="200"/>
        <w:jc w:val="both"/>
        <w:textAlignment w:val="auto"/>
        <w:outlineLvl w:val="0"/>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一、总则</w:t>
      </w:r>
    </w:p>
    <w:p>
      <w:pPr>
        <w:pStyle w:val="13"/>
        <w:keepNext w:val="0"/>
        <w:keepLines w:val="0"/>
        <w:pageBreakBefore w:val="0"/>
        <w:widowControl w:val="0"/>
        <w:kinsoku/>
        <w:wordWrap/>
        <w:overflowPunct/>
        <w:topLinePunct w:val="0"/>
        <w:bidi w:val="0"/>
        <w:spacing w:after="0" w:line="560" w:lineRule="exact"/>
        <w:ind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根据《中华人民共和国政府采购法》《中华人民共和国政府采购法实施条例》《政府采购货物和服务招标投标管理办法》（财政部令第87号）等有关法律、法规和规章的规定，制定本办法。</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0"/>
        <w:rPr>
          <w:rFonts w:hint="eastAsia" w:ascii="黑体" w:hAnsi="黑体" w:eastAsia="黑体" w:cs="黑体"/>
          <w:color w:val="000000" w:themeColor="text1"/>
          <w:sz w:val="32"/>
          <w:szCs w:val="32"/>
          <w:highlight w:val="none"/>
          <w14:textFill>
            <w14:solidFill>
              <w14:schemeClr w14:val="tx1"/>
            </w14:solidFill>
          </w14:textFill>
        </w:rPr>
      </w:pPr>
      <w:bookmarkStart w:id="0" w:name="_Toc5787"/>
      <w:bookmarkStart w:id="1" w:name="_Toc24134"/>
      <w:bookmarkStart w:id="2" w:name="_Toc19995"/>
      <w:bookmarkStart w:id="3" w:name="_Toc7905"/>
      <w:r>
        <w:rPr>
          <w:rFonts w:hint="eastAsia" w:ascii="黑体" w:hAnsi="黑体" w:eastAsia="黑体" w:cs="黑体"/>
          <w:color w:val="000000" w:themeColor="text1"/>
          <w:sz w:val="32"/>
          <w:szCs w:val="32"/>
          <w:highlight w:val="none"/>
          <w14:textFill>
            <w14:solidFill>
              <w14:schemeClr w14:val="tx1"/>
            </w14:solidFill>
          </w14:textFill>
        </w:rPr>
        <w:t>二、评审原则</w:t>
      </w:r>
      <w:bookmarkEnd w:id="0"/>
      <w:bookmarkEnd w:id="1"/>
      <w:bookmarkEnd w:id="2"/>
      <w:bookmarkEnd w:id="3"/>
    </w:p>
    <w:p>
      <w:pPr>
        <w:pStyle w:val="15"/>
        <w:keepNext w:val="0"/>
        <w:keepLines w:val="0"/>
        <w:pageBreakBefore w:val="0"/>
        <w:widowControl w:val="0"/>
        <w:tabs>
          <w:tab w:val="left" w:pos="567"/>
        </w:tabs>
        <w:kinsoku/>
        <w:wordWrap/>
        <w:overflowPunct/>
        <w:topLinePunct w:val="0"/>
        <w:bidi w:val="0"/>
        <w:spacing w:before="0" w:line="560" w:lineRule="exact"/>
        <w:ind w:left="0"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坚持公平、公正、科学、择优的原则，本着实事求是的精神，不带有任何主观意愿和偏见，认真负责地做好评审工作，公平、公正地对待每一个供应商，全面分析，综合评审。</w:t>
      </w:r>
    </w:p>
    <w:p>
      <w:pPr>
        <w:pStyle w:val="15"/>
        <w:keepNext w:val="0"/>
        <w:keepLines w:val="0"/>
        <w:pageBreakBefore w:val="0"/>
        <w:widowControl w:val="0"/>
        <w:tabs>
          <w:tab w:val="left" w:pos="426"/>
        </w:tabs>
        <w:kinsoku/>
        <w:wordWrap/>
        <w:overflowPunct/>
        <w:topLinePunct w:val="0"/>
        <w:bidi w:val="0"/>
        <w:spacing w:before="0" w:line="560" w:lineRule="exact"/>
        <w:ind w:left="0"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评审只对供应商的响应文件进行评审，响应文件以外的资料、信息不应作为评审的依据。</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0"/>
        <w:rPr>
          <w:rFonts w:hint="eastAsia" w:ascii="黑体" w:hAnsi="黑体" w:eastAsia="黑体" w:cs="黑体"/>
          <w:color w:val="000000" w:themeColor="text1"/>
          <w:sz w:val="32"/>
          <w:szCs w:val="32"/>
          <w:highlight w:val="none"/>
          <w14:textFill>
            <w14:solidFill>
              <w14:schemeClr w14:val="tx1"/>
            </w14:solidFill>
          </w14:textFill>
        </w:rPr>
      </w:pPr>
      <w:bookmarkStart w:id="4" w:name="_Toc8665"/>
      <w:bookmarkStart w:id="5" w:name="_Toc11916"/>
      <w:bookmarkStart w:id="6" w:name="_Toc29093"/>
      <w:bookmarkStart w:id="7" w:name="_Toc1443"/>
      <w:r>
        <w:rPr>
          <w:rFonts w:hint="eastAsia" w:ascii="黑体" w:hAnsi="黑体" w:eastAsia="黑体" w:cs="黑体"/>
          <w:color w:val="000000" w:themeColor="text1"/>
          <w:sz w:val="32"/>
          <w:szCs w:val="32"/>
          <w:highlight w:val="none"/>
          <w14:textFill>
            <w14:solidFill>
              <w14:schemeClr w14:val="tx1"/>
            </w14:solidFill>
          </w14:textFill>
        </w:rPr>
        <w:t>三、综合评分</w:t>
      </w:r>
      <w:bookmarkEnd w:id="4"/>
      <w:bookmarkEnd w:id="5"/>
      <w:bookmarkEnd w:id="6"/>
      <w:bookmarkEnd w:id="7"/>
    </w:p>
    <w:p>
      <w:pPr>
        <w:pStyle w:val="2"/>
        <w:keepNext w:val="0"/>
        <w:keepLines w:val="0"/>
        <w:pageBreakBefore w:val="0"/>
        <w:widowControl w:val="0"/>
        <w:kinsoku/>
        <w:wordWrap/>
        <w:overflowPunct/>
        <w:topLinePunct w:val="0"/>
        <w:bidi w:val="0"/>
        <w:spacing w:after="0" w:line="560" w:lineRule="exact"/>
        <w:ind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按照承接标准先进行资格审查，对通过资格审查的响应文件按以下方法进行综合评分。</w:t>
      </w:r>
    </w:p>
    <w:p>
      <w:pPr>
        <w:pStyle w:val="13"/>
        <w:keepNext w:val="0"/>
        <w:keepLines w:val="0"/>
        <w:pageBreakBefore w:val="0"/>
        <w:widowControl w:val="0"/>
        <w:kinsoku/>
        <w:wordWrap/>
        <w:overflowPunct/>
        <w:topLinePunct w:val="0"/>
        <w:bidi w:val="0"/>
        <w:spacing w:after="0" w:line="560" w:lineRule="exact"/>
        <w:ind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评审小组</w:t>
      </w:r>
      <w:r>
        <w:rPr>
          <w:rFonts w:hint="eastAsia" w:ascii="仿宋_GB2312" w:hAnsi="仿宋_GB2312" w:eastAsia="仿宋_GB2312" w:cs="仿宋_GB2312"/>
          <w:color w:val="000000" w:themeColor="text1"/>
          <w:sz w:val="32"/>
          <w:szCs w:val="32"/>
          <w:highlight w:val="none"/>
          <w14:textFill>
            <w14:solidFill>
              <w14:schemeClr w14:val="tx1"/>
            </w14:solidFill>
          </w14:textFill>
        </w:rPr>
        <w:t>按以下公式计算出各供应商的总得分，推荐中标候选人按评审总得分由高到低顺序排列；评审总得分相同的，按响应报价由低到高顺序排列；评审总得分且响应报价相同的，按技术部分得分高低排列，依次类推。</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0"/>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四、评分办法（综合评分法）</w:t>
      </w:r>
    </w:p>
    <w:p>
      <w:pPr>
        <w:pStyle w:val="13"/>
        <w:keepNext w:val="0"/>
        <w:keepLines w:val="0"/>
        <w:pageBreakBefore w:val="0"/>
        <w:widowControl w:val="0"/>
        <w:kinsoku/>
        <w:wordWrap/>
        <w:overflowPunct/>
        <w:topLinePunct w:val="0"/>
        <w:bidi w:val="0"/>
        <w:spacing w:after="0" w:line="560" w:lineRule="exact"/>
        <w:ind w:firstLine="640" w:firstLineChars="200"/>
        <w:jc w:val="both"/>
        <w:textAlignment w:val="auto"/>
        <w:outlineLvl w:val="1"/>
        <w:rPr>
          <w:rFonts w:ascii="仿宋_GB2312" w:hAnsi="仿宋_GB2312" w:eastAsia="仿宋_GB2312" w:cs="仿宋_GB2312"/>
          <w:color w:val="000000" w:themeColor="text1"/>
          <w:kern w:val="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1.分值构成（满分100分）</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评审小组仅对通过资格审查的供应商的响应文件进行详细评审，详细评审（满分100分）分为商务评审和技术评审两部分，</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F1</w:t>
      </w: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报价部分=</w:t>
      </w:r>
      <w:r>
        <w:rPr>
          <w:rFonts w:hint="eastAsia" w:ascii="仿宋_GB2312" w:hAnsi="仿宋_GB2312" w:eastAsia="仿宋_GB2312" w:cs="仿宋_GB2312"/>
          <w:color w:val="000000" w:themeColor="text1"/>
          <w:kern w:val="1"/>
          <w:sz w:val="32"/>
          <w:szCs w:val="32"/>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分，</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F2</w:t>
      </w: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技术部分=</w:t>
      </w:r>
      <w:r>
        <w:rPr>
          <w:rFonts w:hint="eastAsia" w:ascii="仿宋_GB2312" w:hAnsi="仿宋_GB2312" w:eastAsia="仿宋_GB2312" w:cs="仿宋_GB2312"/>
          <w:color w:val="000000" w:themeColor="text1"/>
          <w:kern w:val="1"/>
          <w:sz w:val="32"/>
          <w:szCs w:val="32"/>
          <w:highlight w:val="none"/>
          <w:lang w:val="en-US" w:eastAsia="zh-CN"/>
          <w14:textFill>
            <w14:solidFill>
              <w14:schemeClr w14:val="tx1"/>
            </w14:solidFill>
          </w14:textFill>
        </w:rPr>
        <w:t>80</w:t>
      </w: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分</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1"/>
          <w:sz w:val="32"/>
          <w:szCs w:val="32"/>
          <w:highlight w:val="none"/>
          <w14:textFill>
            <w14:solidFill>
              <w14:schemeClr w14:val="tx1"/>
            </w14:solidFill>
          </w14:textFill>
        </w:rPr>
        <w:t>供应商的最后得分=F1+F2，评审小组按供应商的最后得分高低进行排序。</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1"/>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2.商务评审：F1价格部分评分办法（满分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highlight w:val="none"/>
          <w14:textFill>
            <w14:solidFill>
              <w14:schemeClr w14:val="tx1"/>
            </w14:solidFill>
          </w14:textFill>
        </w:rPr>
        <w:t>分）</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每下浮1%加1分，分值加至满分20分为止。</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outlineLvl w:val="1"/>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3.技术评审：F2技术部分评分办法（满分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80</w:t>
      </w:r>
      <w:r>
        <w:rPr>
          <w:rFonts w:hint="eastAsia" w:ascii="仿宋_GB2312" w:hAnsi="仿宋_GB2312" w:eastAsia="仿宋_GB2312" w:cs="仿宋_GB2312"/>
          <w:color w:val="000000" w:themeColor="text1"/>
          <w:sz w:val="32"/>
          <w:szCs w:val="32"/>
          <w:highlight w:val="none"/>
          <w14:textFill>
            <w14:solidFill>
              <w14:schemeClr w14:val="tx1"/>
            </w14:solidFill>
          </w14:textFill>
        </w:rPr>
        <w:t>分）</w:t>
      </w:r>
    </w:p>
    <w:tbl>
      <w:tblPr>
        <w:tblStyle w:val="10"/>
        <w:tblW w:w="10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565"/>
        <w:gridCol w:w="1565"/>
        <w:gridCol w:w="5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3" w:type="dxa"/>
            <w:tcBorders>
              <w:top w:val="single" w:color="auto" w:sz="4" w:space="0"/>
              <w:left w:val="single" w:color="auto" w:sz="4" w:space="0"/>
              <w:bottom w:val="single" w:color="auto" w:sz="4" w:space="0"/>
              <w:right w:val="single" w:color="auto" w:sz="4" w:space="0"/>
            </w:tcBorders>
            <w:vAlign w:val="center"/>
          </w:tcPr>
          <w:p>
            <w:pPr>
              <w:widowControl w:val="0"/>
              <w:spacing w:line="56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条款号</w:t>
            </w:r>
          </w:p>
        </w:tc>
        <w:tc>
          <w:tcPr>
            <w:tcW w:w="1565" w:type="dxa"/>
            <w:tcBorders>
              <w:top w:val="single" w:color="auto" w:sz="4" w:space="0"/>
              <w:left w:val="single" w:color="auto" w:sz="4" w:space="0"/>
              <w:bottom w:val="single" w:color="auto" w:sz="4" w:space="0"/>
              <w:right w:val="single" w:color="auto" w:sz="4" w:space="0"/>
            </w:tcBorders>
            <w:vAlign w:val="center"/>
          </w:tcPr>
          <w:p>
            <w:pPr>
              <w:widowControl w:val="0"/>
              <w:spacing w:line="560" w:lineRule="exact"/>
              <w:jc w:val="center"/>
              <w:rPr>
                <w:rFonts w:hint="eastAsia" w:ascii="仿宋_GB2312" w:hAnsi="仿宋_GB2312" w:eastAsia="仿宋_GB2312" w:cs="仿宋_GB2312"/>
                <w:color w:val="000000" w:themeColor="text1"/>
                <w:sz w:val="32"/>
                <w:szCs w:val="32"/>
                <w:highlight w:val="none"/>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pPr>
              <w:widowControl w:val="0"/>
              <w:spacing w:line="56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评分项目</w:t>
            </w:r>
          </w:p>
        </w:tc>
        <w:tc>
          <w:tcPr>
            <w:tcW w:w="5721" w:type="dxa"/>
            <w:tcBorders>
              <w:top w:val="single" w:color="auto" w:sz="4" w:space="0"/>
              <w:left w:val="single" w:color="auto" w:sz="4" w:space="0"/>
              <w:bottom w:val="single" w:color="auto" w:sz="4" w:space="0"/>
              <w:right w:val="single" w:color="auto" w:sz="4" w:space="0"/>
            </w:tcBorders>
            <w:vAlign w:val="center"/>
          </w:tcPr>
          <w:p>
            <w:pPr>
              <w:widowControl w:val="0"/>
              <w:spacing w:line="560" w:lineRule="exact"/>
              <w:jc w:val="center"/>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3" w:hRule="atLeast"/>
          <w:jc w:val="center"/>
        </w:trPr>
        <w:tc>
          <w:tcPr>
            <w:tcW w:w="1233"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1</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p>
        </w:tc>
        <w:tc>
          <w:tcPr>
            <w:tcW w:w="1565"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eastAsia="仿宋" w:cs="Times New Roman"/>
                <w:color w:val="000000" w:themeColor="text1"/>
                <w:sz w:val="24"/>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施工</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组织设计（满分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40分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c>
          <w:tcPr>
            <w:tcW w:w="15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施工技术方案</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15分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c>
          <w:tcPr>
            <w:tcW w:w="57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000000" w:themeColor="text1"/>
                <w:sz w:val="22"/>
                <w:szCs w:val="22"/>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1"/>
                <w:szCs w:val="21"/>
                <w:highlight w:val="none"/>
                <w14:textFill>
                  <w14:solidFill>
                    <w14:schemeClr w14:val="tx1"/>
                  </w14:solidFill>
                </w14:textFill>
              </w:rPr>
              <w:t>施工技术方案、施工程序及施工大纲合理且能指导施工，施工措施具体且有针对性，施工部署全面的得</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11-15</w:t>
            </w:r>
            <w:r>
              <w:rPr>
                <w:rFonts w:hint="eastAsia" w:ascii="仿宋_GB2312" w:hAnsi="仿宋_GB2312" w:eastAsia="仿宋_GB2312" w:cs="仿宋_GB2312"/>
                <w:color w:val="000000" w:themeColor="text1"/>
                <w:sz w:val="21"/>
                <w:szCs w:val="21"/>
                <w:highlight w:val="none"/>
                <w14:textFill>
                  <w14:solidFill>
                    <w14:schemeClr w14:val="tx1"/>
                  </w14:solidFill>
                </w14:textFill>
              </w:rPr>
              <w:t>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1"/>
                <w:szCs w:val="21"/>
                <w:highlight w:val="none"/>
                <w14:textFill>
                  <w14:solidFill>
                    <w14:schemeClr w14:val="tx1"/>
                  </w14:solidFill>
                </w14:textFill>
              </w:rPr>
              <w:t>施工技术方案、施工程序及施工大纲合理但对施工指导性一般，施工措施具体但针对性一般，施工部署全面的得</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6-10</w:t>
            </w:r>
            <w:r>
              <w:rPr>
                <w:rFonts w:hint="eastAsia" w:ascii="仿宋_GB2312" w:hAnsi="仿宋_GB2312" w:eastAsia="仿宋_GB2312" w:cs="仿宋_GB2312"/>
                <w:color w:val="000000" w:themeColor="text1"/>
                <w:sz w:val="21"/>
                <w:szCs w:val="21"/>
                <w:highlight w:val="none"/>
                <w14:textFill>
                  <w14:solidFill>
                    <w14:schemeClr w14:val="tx1"/>
                  </w14:solidFill>
                </w14:textFill>
              </w:rPr>
              <w:t>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1"/>
                <w:szCs w:val="21"/>
                <w:highlight w:val="none"/>
                <w14:textFill>
                  <w14:solidFill>
                    <w14:schemeClr w14:val="tx1"/>
                  </w14:solidFill>
                </w14:textFill>
              </w:rPr>
              <w:t>施工技术方案、施工程序及施工大纲基本合理，但对施工缺乏指导性，施工措施、施工部署基本合理但不够全面的得</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1-5</w:t>
            </w:r>
            <w:r>
              <w:rPr>
                <w:rFonts w:hint="eastAsia" w:ascii="仿宋_GB2312" w:hAnsi="仿宋_GB2312" w:eastAsia="仿宋_GB2312" w:cs="仿宋_GB2312"/>
                <w:color w:val="000000" w:themeColor="text1"/>
                <w:sz w:val="21"/>
                <w:szCs w:val="21"/>
                <w:highlight w:val="none"/>
                <w14:textFill>
                  <w14:solidFill>
                    <w14:schemeClr w14:val="tx1"/>
                  </w14:solidFill>
                </w14:textFill>
              </w:rPr>
              <w:t>分；</w:t>
            </w:r>
            <w:r>
              <w:rPr>
                <w:rFonts w:hint="eastAsia" w:ascii="仿宋_GB2312" w:hAnsi="仿宋_GB2312" w:eastAsia="仿宋_GB2312" w:cs="仿宋_GB2312"/>
                <w:color w:val="000000" w:themeColor="text1"/>
                <w:sz w:val="21"/>
                <w:szCs w:val="21"/>
                <w:highlight w:val="none"/>
                <w14:textFill>
                  <w14:solidFill>
                    <w14:schemeClr w14:val="tx1"/>
                  </w14:solidFill>
                </w14:textFill>
              </w:rPr>
              <w:br w:type="textWrapping"/>
            </w:r>
            <w:r>
              <w:rPr>
                <w:rFonts w:hint="eastAsia" w:ascii="仿宋_GB2312" w:hAnsi="仿宋_GB2312" w:eastAsia="仿宋_GB2312" w:cs="仿宋_GB2312"/>
                <w:color w:val="000000" w:themeColor="text1"/>
                <w:sz w:val="22"/>
                <w:szCs w:val="22"/>
                <w:highlight w:val="none"/>
                <w:lang w:val="en" w:eastAsia="zh-CN"/>
                <w14:textFill>
                  <w14:solidFill>
                    <w14:schemeClr w14:val="tx1"/>
                  </w14:solidFill>
                </w14:textFill>
              </w:rPr>
              <w:t>（4）</w:t>
            </w:r>
            <w:r>
              <w:rPr>
                <w:rFonts w:hint="eastAsia" w:ascii="仿宋_GB2312" w:hAnsi="仿宋_GB2312" w:eastAsia="仿宋_GB2312" w:cs="仿宋_GB2312"/>
                <w:color w:val="000000" w:themeColor="text1"/>
                <w:sz w:val="22"/>
                <w:szCs w:val="22"/>
                <w:highlight w:val="none"/>
                <w14:textFill>
                  <w14:solidFill>
                    <w14:schemeClr w14:val="tx1"/>
                  </w14:solidFill>
                </w14:textFill>
              </w:rPr>
              <w:t>未作任何说明的</w:t>
            </w: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0</w:t>
            </w:r>
            <w:r>
              <w:rPr>
                <w:rFonts w:hint="eastAsia" w:ascii="仿宋_GB2312" w:hAnsi="仿宋_GB2312" w:eastAsia="仿宋_GB2312" w:cs="仿宋_GB2312"/>
                <w:color w:val="000000" w:themeColor="text1"/>
                <w:sz w:val="22"/>
                <w:szCs w:val="22"/>
                <w:highlight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jc w:val="center"/>
        </w:trPr>
        <w:tc>
          <w:tcPr>
            <w:tcW w:w="1233"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p>
        </w:tc>
        <w:tc>
          <w:tcPr>
            <w:tcW w:w="1565" w:type="dxa"/>
            <w:vMerge w:val="continue"/>
            <w:tcBorders>
              <w:left w:val="single" w:color="auto" w:sz="4" w:space="0"/>
              <w:right w:val="single" w:color="auto" w:sz="4" w:space="0"/>
            </w:tcBorders>
            <w:vAlign w:val="center"/>
          </w:tcPr>
          <w:p>
            <w:pPr>
              <w:pStyle w:val="2"/>
              <w:rPr>
                <w:rFonts w:hint="eastAsia" w:ascii="仿宋_GB2312" w:hAnsi="仿宋_GB2312" w:eastAsia="仿宋_GB2312" w:cs="仿宋_GB2312"/>
                <w:color w:val="000000" w:themeColor="text1"/>
                <w:sz w:val="21"/>
                <w:szCs w:val="21"/>
                <w:highlight w:val="none"/>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color w:val="000000" w:themeColor="text1"/>
                <w:highlight w:val="none"/>
                <w:lang w:eastAsia="zh-CN"/>
                <w14:textFill>
                  <w14:solidFill>
                    <w14:schemeClr w14:val="tx1"/>
                  </w14:solidFill>
                </w14:textFill>
              </w:rPr>
            </w:pPr>
          </w:p>
          <w:p>
            <w:pPr>
              <w:pStyle w:val="2"/>
              <w:rPr>
                <w:rFonts w:hint="eastAsia"/>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施工质量承诺及保证措施</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10分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c>
          <w:tcPr>
            <w:tcW w:w="5721" w:type="dxa"/>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p>
          <w:p>
            <w:pPr>
              <w:pStyle w:val="17"/>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1"/>
                <w:szCs w:val="21"/>
                <w:highlight w:val="none"/>
                <w14:textFill>
                  <w14:solidFill>
                    <w14:schemeClr w14:val="tx1"/>
                  </w14:solidFill>
                </w14:textFill>
              </w:rPr>
              <w:t>施工质量承诺满足</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要求且有具体的违约责任承诺，质量保证措施严格按</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要求的施工技术规范、标准编制且针对性好，对工程质量保证措施有阐述的得8-10分；</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1"/>
                <w:szCs w:val="21"/>
                <w:highlight w:val="none"/>
                <w14:textFill>
                  <w14:solidFill>
                    <w14:schemeClr w14:val="tx1"/>
                  </w14:solidFill>
                </w14:textFill>
              </w:rPr>
              <w:t>施工质量承诺满足</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要求且有具体的违约责任承诺，质量保证措施达到</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要求的施工技术规范、标准但针对性一般，质量保证措施基本达到要求但存在一些问题的得4-7分；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（3）</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施工</w:t>
            </w:r>
            <w:bookmarkStart w:id="10" w:name="_GoBack"/>
            <w:bookmarkEnd w:id="10"/>
            <w:r>
              <w:rPr>
                <w:rFonts w:hint="eastAsia" w:ascii="仿宋_GB2312" w:hAnsi="仿宋_GB2312" w:eastAsia="仿宋_GB2312" w:cs="仿宋_GB2312"/>
                <w:color w:val="000000" w:themeColor="text1"/>
                <w:sz w:val="21"/>
                <w:szCs w:val="21"/>
                <w:highlight w:val="none"/>
                <w14:textFill>
                  <w14:solidFill>
                    <w14:schemeClr w14:val="tx1"/>
                  </w14:solidFill>
                </w14:textFill>
              </w:rPr>
              <w:t>质量承诺满足</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要求但违约责任承诺不具体，质量保证措施基本达到</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要求的施工技术规范、标准但有重大缺陷或错漏，工期保证措施存在问题，违约责任承诺不具体的得0-3分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jc w:val="center"/>
        </w:trPr>
        <w:tc>
          <w:tcPr>
            <w:tcW w:w="1233"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p>
        </w:tc>
        <w:tc>
          <w:tcPr>
            <w:tcW w:w="1565"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p>
        </w:tc>
        <w:tc>
          <w:tcPr>
            <w:tcW w:w="1565"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工期承诺及保证措施</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10分）</w:t>
            </w:r>
          </w:p>
        </w:tc>
        <w:tc>
          <w:tcPr>
            <w:tcW w:w="5721" w:type="dxa"/>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工期承诺满足</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且有具体的违约责任承诺，施工进度计划能保证工期，工序之间逻辑性强的得8-10分；</w:t>
            </w:r>
            <w:r>
              <w:rPr>
                <w:rFonts w:hint="eastAsia" w:ascii="仿宋_GB2312" w:hAnsi="仿宋_GB2312" w:eastAsia="仿宋_GB2312" w:cs="仿宋_GB2312"/>
                <w:color w:val="000000" w:themeColor="text1"/>
                <w:sz w:val="21"/>
                <w:szCs w:val="21"/>
                <w:highlight w:val="none"/>
                <w14:textFill>
                  <w14:solidFill>
                    <w14:schemeClr w14:val="tx1"/>
                  </w14:solidFill>
                </w14:textFill>
              </w:rPr>
              <w:cr/>
            </w:r>
            <w:r>
              <w:rPr>
                <w:rFonts w:hint="eastAsia" w:ascii="仿宋_GB2312" w:hAnsi="仿宋_GB2312" w:eastAsia="仿宋_GB2312" w:cs="仿宋_GB2312"/>
                <w:color w:val="000000" w:themeColor="text1"/>
                <w:sz w:val="21"/>
                <w:szCs w:val="21"/>
                <w:highlight w:val="none"/>
                <w14:textFill>
                  <w14:solidFill>
                    <w14:schemeClr w14:val="tx1"/>
                  </w14:solidFill>
                </w14:textFill>
              </w:rPr>
              <w:t>（2）工期承诺满足且</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1"/>
                <w:szCs w:val="21"/>
                <w:highlight w:val="none"/>
                <w14:textFill>
                  <w14:solidFill>
                    <w14:schemeClr w14:val="tx1"/>
                  </w14:solidFill>
                </w14:textFill>
              </w:rPr>
              <w:t>有违约责任承诺，有施工进度计划，工序之间逻辑性一般的得4-7分；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（3）工期承诺工序之间逻辑性不合理或无施工进度计划或进度计划不满足要求的0-3分。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jc w:val="center"/>
        </w:trPr>
        <w:tc>
          <w:tcPr>
            <w:tcW w:w="1233"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pPr>
          </w:p>
        </w:tc>
        <w:tc>
          <w:tcPr>
            <w:tcW w:w="1565"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p>
        </w:tc>
        <w:tc>
          <w:tcPr>
            <w:tcW w:w="1565"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安全文明施工保证措施</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5分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c>
          <w:tcPr>
            <w:tcW w:w="5721" w:type="dxa"/>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 xml:space="preserve">有具体、完整、可行的安全文明施工实施保证措施和环境保护措施，且合理、先进、针对性好，符合国家、省、州（市）的有关规定的得4-5分； </w:t>
            </w:r>
            <w:r>
              <w:rPr>
                <w:rFonts w:hint="eastAsia" w:ascii="仿宋_GB2312" w:hAnsi="仿宋_GB2312" w:eastAsia="仿宋_GB2312" w:cs="仿宋_GB2312"/>
                <w:color w:val="000000" w:themeColor="text1"/>
                <w:sz w:val="21"/>
                <w:szCs w:val="21"/>
                <w:highlight w:val="none"/>
                <w14:textFill>
                  <w14:solidFill>
                    <w14:schemeClr w14:val="tx1"/>
                  </w14:solidFill>
                </w14:textFill>
              </w:rPr>
              <w:cr/>
            </w:r>
            <w:r>
              <w:rPr>
                <w:rFonts w:hint="eastAsia" w:ascii="仿宋_GB2312" w:hAnsi="仿宋_GB2312" w:eastAsia="仿宋_GB2312" w:cs="仿宋_GB2312"/>
                <w:color w:val="000000" w:themeColor="text1"/>
                <w:sz w:val="21"/>
                <w:szCs w:val="21"/>
                <w:highlight w:val="none"/>
                <w14:textFill>
                  <w14:solidFill>
                    <w14:schemeClr w14:val="tx1"/>
                  </w14:solidFill>
                </w14:textFill>
              </w:rPr>
              <w:t>（2）有安全文明施工实施保证措施和和环境保护措施，且合理，但针对性一般、不太具体，符合国家、省、州（市）的有关规定的得2-3分；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2"/>
                <w:szCs w:val="22"/>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（3）有安全文明施工实施保证措施和环境保护措施，但不具体、存有错漏的、可行性较差得0-1分。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6" w:hRule="atLeast"/>
          <w:jc w:val="center"/>
        </w:trPr>
        <w:tc>
          <w:tcPr>
            <w:tcW w:w="123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2</w:t>
            </w:r>
          </w:p>
        </w:tc>
        <w:tc>
          <w:tcPr>
            <w:tcW w:w="1565" w:type="dxa"/>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kern w:val="2"/>
                <w:sz w:val="22"/>
                <w:szCs w:val="22"/>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项目管理人员配置</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20分</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tc>
        <w:tc>
          <w:tcPr>
            <w:tcW w:w="7286" w:type="dxa"/>
            <w:gridSpan w:val="2"/>
            <w:tcBorders>
              <w:top w:val="single" w:color="auto" w:sz="4" w:space="0"/>
              <w:left w:val="single" w:color="auto" w:sz="4" w:space="0"/>
              <w:bottom w:val="single" w:color="auto" w:sz="4" w:space="0"/>
              <w:right w:val="single" w:color="auto" w:sz="4" w:space="0"/>
            </w:tcBorders>
            <w:vAlign w:val="center"/>
          </w:tcPr>
          <w:p>
            <w:pPr>
              <w:pStyle w:val="1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eastAsia="zh-CN"/>
              </w:rPr>
              <w:t>）项目负责人：</w:t>
            </w:r>
            <w:bookmarkStart w:id="8" w:name="OLE_LINK37"/>
            <w:bookmarkStart w:id="9" w:name="OLE_LINK38"/>
            <w:r>
              <w:rPr>
                <w:rFonts w:hint="eastAsia" w:ascii="仿宋_GB2312" w:hAnsi="仿宋_GB2312" w:eastAsia="仿宋_GB2312" w:cs="仿宋_GB2312"/>
                <w:color w:val="auto"/>
                <w:sz w:val="21"/>
                <w:szCs w:val="21"/>
                <w:highlight w:val="none"/>
                <w:u w:val="none"/>
                <w:lang w:val="en-US" w:eastAsia="zh-CN"/>
              </w:rPr>
              <w:t>须具有住房和城乡建设部颁发的</w:t>
            </w:r>
            <w:r>
              <w:rPr>
                <w:rFonts w:hint="eastAsia" w:ascii="仿宋_GB2312" w:hAnsi="仿宋_GB2312" w:eastAsia="仿宋_GB2312" w:cs="仿宋_GB2312"/>
                <w:color w:val="auto"/>
                <w:sz w:val="21"/>
                <w:szCs w:val="21"/>
                <w:highlight w:val="none"/>
                <w:lang w:eastAsia="zh-CN"/>
              </w:rPr>
              <w:t>二</w:t>
            </w:r>
            <w:r>
              <w:rPr>
                <w:rFonts w:hint="eastAsia" w:ascii="仿宋_GB2312" w:hAnsi="仿宋_GB2312" w:eastAsia="仿宋_GB2312" w:cs="仿宋_GB2312"/>
                <w:color w:val="auto"/>
                <w:sz w:val="21"/>
                <w:szCs w:val="21"/>
                <w:highlight w:val="none"/>
              </w:rPr>
              <w:t>级建造师证书（</w:t>
            </w:r>
            <w:r>
              <w:rPr>
                <w:rFonts w:hint="eastAsia" w:ascii="仿宋_GB2312" w:hAnsi="仿宋_GB2312" w:eastAsia="仿宋_GB2312" w:cs="仿宋_GB2312"/>
                <w:color w:val="auto"/>
                <w:sz w:val="21"/>
                <w:szCs w:val="21"/>
                <w:highlight w:val="none"/>
                <w:lang w:eastAsia="zh-CN"/>
              </w:rPr>
              <w:t>建筑工程</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u w:val="none"/>
                <w:lang w:val="en-US" w:eastAsia="zh-CN"/>
              </w:rPr>
              <w:t>同时</w:t>
            </w:r>
            <w:r>
              <w:rPr>
                <w:rFonts w:hint="eastAsia" w:ascii="仿宋_GB2312" w:hAnsi="仿宋_GB2312" w:eastAsia="仿宋_GB2312" w:cs="仿宋_GB2312"/>
                <w:bCs/>
                <w:snapToGrid w:val="0"/>
                <w:color w:val="auto"/>
                <w:sz w:val="21"/>
                <w:szCs w:val="21"/>
                <w:highlight w:val="none"/>
              </w:rPr>
              <w:t>具备</w:t>
            </w:r>
            <w:r>
              <w:rPr>
                <w:rFonts w:hint="eastAsia" w:ascii="仿宋_GB2312" w:hAnsi="仿宋_GB2312" w:eastAsia="仿宋_GB2312" w:cs="仿宋_GB2312"/>
                <w:bCs/>
                <w:snapToGrid w:val="0"/>
                <w:color w:val="auto"/>
                <w:sz w:val="21"/>
                <w:szCs w:val="21"/>
                <w:highlight w:val="none"/>
                <w:lang w:eastAsia="zh-CN"/>
              </w:rPr>
              <w:t>中</w:t>
            </w:r>
            <w:r>
              <w:rPr>
                <w:rFonts w:hint="eastAsia" w:ascii="仿宋_GB2312" w:hAnsi="仿宋_GB2312" w:eastAsia="仿宋_GB2312" w:cs="仿宋_GB2312"/>
                <w:bCs/>
                <w:snapToGrid w:val="0"/>
                <w:color w:val="auto"/>
                <w:sz w:val="21"/>
                <w:szCs w:val="21"/>
                <w:highlight w:val="none"/>
              </w:rPr>
              <w:t>级工程师及以上职称</w:t>
            </w:r>
            <w:bookmarkEnd w:id="8"/>
            <w:bookmarkEnd w:id="9"/>
            <w:r>
              <w:rPr>
                <w:rFonts w:hint="eastAsia" w:ascii="仿宋_GB2312" w:hAnsi="仿宋_GB2312" w:eastAsia="仿宋_GB2312" w:cs="仿宋_GB2312"/>
                <w:bCs/>
                <w:snapToGrid w:val="0"/>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 xml:space="preserve">满足资格要求得基础分2分；        </w:t>
            </w:r>
            <w:r>
              <w:rPr>
                <w:rFonts w:hint="eastAsia" w:ascii="仿宋_GB2312" w:hAnsi="仿宋_GB2312" w:eastAsia="仿宋_GB2312" w:cs="仿宋_GB2312"/>
                <w:color w:val="auto"/>
                <w:sz w:val="21"/>
                <w:szCs w:val="21"/>
                <w:highlight w:val="none"/>
              </w:rPr>
              <w:t>拟派往本项目的项目负责人在满足资格要求的基础上每增加</w:t>
            </w:r>
            <w:r>
              <w:rPr>
                <w:rFonts w:hint="eastAsia" w:ascii="仿宋_GB2312" w:hAnsi="仿宋_GB2312" w:eastAsia="仿宋_GB2312" w:cs="仿宋_GB2312"/>
                <w:color w:val="auto"/>
                <w:sz w:val="21"/>
                <w:szCs w:val="21"/>
                <w:highlight w:val="none"/>
                <w:lang w:val="en-US" w:eastAsia="zh-CN"/>
              </w:rPr>
              <w:t>1个类似业绩加2分,最多加 8分（本项满分8分）。(类似业绩指：2021年至今</w:t>
            </w:r>
            <w:r>
              <w:rPr>
                <w:rFonts w:hint="eastAsia" w:ascii="仿宋_GB2312" w:hAnsi="仿宋_GB2312" w:eastAsia="仿宋_GB2312" w:cs="仿宋_GB2312"/>
                <w:color w:val="auto"/>
                <w:sz w:val="21"/>
                <w:szCs w:val="21"/>
                <w:highlight w:val="none"/>
              </w:rPr>
              <w:t>承担过</w:t>
            </w:r>
            <w:r>
              <w:rPr>
                <w:rFonts w:hint="eastAsia" w:ascii="仿宋_GB2312" w:hAnsi="仿宋_GB2312" w:eastAsia="仿宋_GB2312" w:cs="仿宋_GB2312"/>
                <w:color w:val="auto"/>
                <w:sz w:val="21"/>
                <w:szCs w:val="21"/>
                <w:highlight w:val="none"/>
                <w:lang w:eastAsia="zh-CN"/>
              </w:rPr>
              <w:t>建筑工程或装饰装修或水电安装</w:t>
            </w:r>
            <w:r>
              <w:rPr>
                <w:rFonts w:hint="eastAsia" w:ascii="仿宋_GB2312" w:hAnsi="仿宋_GB2312" w:eastAsia="仿宋_GB2312" w:cs="仿宋_GB2312"/>
                <w:color w:val="auto"/>
                <w:sz w:val="21"/>
                <w:szCs w:val="21"/>
                <w:highlight w:val="none"/>
                <w:lang w:val="en-US" w:eastAsia="zh-CN"/>
              </w:rPr>
              <w:t>业绩)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注：①附拟派往本项目的项目负责人</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在</w:t>
            </w:r>
            <w:r>
              <w:rPr>
                <w:rFonts w:hint="eastAsia" w:ascii="仿宋_GB2312" w:hAnsi="仿宋_GB2312" w:eastAsia="仿宋_GB2312" w:cs="仿宋_GB2312"/>
                <w:bCs/>
                <w:snapToGrid w:val="0"/>
                <w:color w:val="000000" w:themeColor="text1"/>
                <w:sz w:val="21"/>
                <w:szCs w:val="21"/>
                <w:highlight w:val="none"/>
                <w:lang w:eastAsia="zh-CN"/>
                <w14:textFill>
                  <w14:solidFill>
                    <w14:schemeClr w14:val="tx1"/>
                  </w14:solidFill>
                </w14:textFill>
              </w:rPr>
              <w:t>本单位</w:t>
            </w:r>
            <w:r>
              <w:rPr>
                <w:rFonts w:hint="eastAsia" w:ascii="仿宋_GB2312" w:hAnsi="仿宋_GB2312" w:eastAsia="仿宋_GB2312" w:cs="仿宋_GB2312"/>
                <w:bCs/>
                <w:snapToGrid w:val="0"/>
                <w:color w:val="000000" w:themeColor="text1"/>
                <w:sz w:val="21"/>
                <w:szCs w:val="21"/>
                <w:highlight w:val="none"/>
                <w14:textFill>
                  <w14:solidFill>
                    <w14:schemeClr w14:val="tx1"/>
                  </w14:solidFill>
                </w14:textFill>
              </w:rPr>
              <w:t>缴纳</w:t>
            </w:r>
            <w:r>
              <w:rPr>
                <w:rFonts w:hint="eastAsia" w:ascii="仿宋_GB2312" w:hAnsi="仿宋_GB2312" w:eastAsia="仿宋_GB2312" w:cs="仿宋_GB2312"/>
                <w:color w:val="000000" w:themeColor="text1"/>
                <w:sz w:val="21"/>
                <w:szCs w:val="21"/>
                <w:highlight w:val="none"/>
                <w14:textFill>
                  <w14:solidFill>
                    <w14:schemeClr w14:val="tx1"/>
                  </w14:solidFill>
                </w14:textFill>
              </w:rPr>
              <w:t>社保证明材料</w:t>
            </w:r>
            <w:r>
              <w:rPr>
                <w:rFonts w:hint="eastAsia" w:ascii="仿宋_GB2312" w:hAnsi="仿宋_GB2312" w:eastAsia="仿宋_GB2312" w:cs="仿宋_GB2312"/>
                <w:bCs/>
                <w:snapToGrid w:val="0"/>
                <w:color w:val="000000" w:themeColor="text1"/>
                <w:sz w:val="21"/>
                <w:szCs w:val="21"/>
                <w:highlight w:val="none"/>
                <w14:textFill>
                  <w14:solidFill>
                    <w14:schemeClr w14:val="tx1"/>
                  </w14:solidFill>
                </w14:textFill>
              </w:rPr>
              <w:t>。②</w:t>
            </w:r>
            <w:r>
              <w:rPr>
                <w:rFonts w:hint="eastAsia" w:ascii="仿宋_GB2312" w:hAnsi="仿宋_GB2312" w:eastAsia="仿宋_GB2312" w:cs="仿宋_GB2312"/>
                <w:color w:val="000000" w:themeColor="text1"/>
                <w:sz w:val="21"/>
                <w:szCs w:val="21"/>
                <w:highlight w:val="none"/>
                <w14:textFill>
                  <w14:solidFill>
                    <w14:schemeClr w14:val="tx1"/>
                  </w14:solidFill>
                </w14:textFill>
              </w:rPr>
              <w:t>业绩证明材料为合同协议书</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（2）拟派往本项目的项目组成员不少于2名（不包含项目负责人），</w:t>
            </w:r>
            <w:r>
              <w:rPr>
                <w:rFonts w:hint="eastAsia" w:ascii="仿宋_GB2312" w:hAnsi="仿宋_GB2312" w:eastAsia="仿宋_GB2312" w:cs="仿宋_GB2312"/>
                <w:color w:val="auto"/>
                <w:sz w:val="21"/>
                <w:szCs w:val="21"/>
                <w:highlight w:val="none"/>
                <w:lang w:val="en-US" w:eastAsia="zh-CN"/>
              </w:rPr>
              <w:t>须</w:t>
            </w:r>
            <w:r>
              <w:rPr>
                <w:rFonts w:hint="eastAsia" w:ascii="仿宋_GB2312" w:hAnsi="仿宋_GB2312" w:eastAsia="仿宋_GB2312" w:cs="仿宋_GB2312"/>
                <w:color w:val="auto"/>
                <w:sz w:val="21"/>
                <w:szCs w:val="21"/>
                <w:highlight w:val="none"/>
                <w:u w:val="none"/>
              </w:rPr>
              <w:t>具备</w:t>
            </w:r>
            <w:r>
              <w:rPr>
                <w:rFonts w:hint="eastAsia" w:ascii="仿宋_GB2312" w:hAnsi="仿宋_GB2312" w:eastAsia="仿宋_GB2312" w:cs="仿宋_GB2312"/>
                <w:color w:val="auto"/>
                <w:sz w:val="21"/>
                <w:szCs w:val="21"/>
                <w:highlight w:val="none"/>
                <w:u w:val="none"/>
                <w:lang w:eastAsia="zh-CN"/>
              </w:rPr>
              <w:t>施工员证</w:t>
            </w:r>
            <w:r>
              <w:rPr>
                <w:rFonts w:hint="eastAsia" w:ascii="仿宋_GB2312" w:hAnsi="仿宋_GB2312" w:eastAsia="仿宋_GB2312" w:cs="仿宋_GB2312"/>
                <w:color w:val="auto"/>
                <w:sz w:val="21"/>
                <w:szCs w:val="21"/>
                <w:highlight w:val="none"/>
                <w:lang w:val="en-US" w:eastAsia="zh-CN"/>
              </w:rPr>
              <w:t>满足资格要求得2分；每增加1名人员加2分，本项满分8分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注：</w:t>
            </w:r>
            <w:r>
              <w:rPr>
                <w:rFonts w:hint="eastAsia" w:ascii="仿宋_GB2312" w:hAnsi="仿宋_GB2312" w:eastAsia="仿宋_GB2312" w:cs="仿宋_GB2312"/>
                <w:sz w:val="21"/>
                <w:szCs w:val="21"/>
                <w:highlight w:val="none"/>
              </w:rPr>
              <w:t>附拟派往本项目的项目组成员</w:t>
            </w:r>
            <w:r>
              <w:rPr>
                <w:rFonts w:hint="eastAsia" w:ascii="仿宋_GB2312" w:hAnsi="仿宋_GB2312" w:eastAsia="仿宋_GB2312" w:cs="仿宋_GB2312"/>
                <w:sz w:val="21"/>
                <w:szCs w:val="21"/>
                <w:highlight w:val="none"/>
                <w:lang w:eastAsia="zh-CN"/>
              </w:rPr>
              <w:t>身份证、社保证明材料的原件扫描或与其签订的合同。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jc w:val="center"/>
        </w:trPr>
        <w:tc>
          <w:tcPr>
            <w:tcW w:w="123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3</w:t>
            </w:r>
          </w:p>
        </w:tc>
        <w:tc>
          <w:tcPr>
            <w:tcW w:w="15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企业</w:t>
            </w:r>
            <w:r>
              <w:rPr>
                <w:rFonts w:hint="eastAsia" w:ascii="仿宋_GB2312" w:hAnsi="仿宋_GB2312" w:eastAsia="仿宋_GB2312" w:cs="仿宋_GB2312"/>
                <w:color w:val="000000" w:themeColor="text1"/>
                <w:sz w:val="21"/>
                <w:szCs w:val="21"/>
                <w:highlight w:val="none"/>
                <w14:textFill>
                  <w14:solidFill>
                    <w14:schemeClr w14:val="tx1"/>
                  </w14:solidFill>
                </w14:textFill>
              </w:rPr>
              <w:t>业绩</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1"/>
                <w:szCs w:val="21"/>
                <w:highlight w:val="none"/>
                <w14:textFill>
                  <w14:solidFill>
                    <w14:schemeClr w14:val="tx1"/>
                  </w14:solidFill>
                </w14:textFill>
              </w:rPr>
              <w:t>（满分</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21"/>
                <w:szCs w:val="21"/>
                <w:highlight w:val="none"/>
                <w14:textFill>
                  <w14:solidFill>
                    <w14:schemeClr w14:val="tx1"/>
                  </w14:solidFill>
                </w14:textFill>
              </w:rPr>
              <w:t>分）</w:t>
            </w:r>
          </w:p>
        </w:tc>
        <w:tc>
          <w:tcPr>
            <w:tcW w:w="728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（1）2021年至今承担过</w:t>
            </w:r>
            <w:r>
              <w:rPr>
                <w:rFonts w:hint="eastAsia" w:ascii="仿宋_GB2312" w:hAnsi="仿宋_GB2312" w:eastAsia="仿宋_GB2312" w:cs="仿宋_GB2312"/>
                <w:color w:val="auto"/>
                <w:sz w:val="21"/>
                <w:szCs w:val="21"/>
                <w:highlight w:val="none"/>
                <w:lang w:eastAsia="zh-CN"/>
              </w:rPr>
              <w:t>建筑工程或装饰装修或水电安装</w:t>
            </w:r>
            <w:r>
              <w:rPr>
                <w:rFonts w:hint="eastAsia" w:ascii="仿宋_GB2312" w:hAnsi="仿宋_GB2312" w:eastAsia="仿宋_GB2312" w:cs="仿宋_GB2312"/>
                <w:color w:val="auto"/>
                <w:sz w:val="21"/>
                <w:szCs w:val="21"/>
                <w:highlight w:val="none"/>
                <w:lang w:val="en-US" w:eastAsia="zh-CN"/>
              </w:rPr>
              <w:t>业</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绩得到基础分4分。</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（2）每增加一个2021年至今承担过</w:t>
            </w:r>
            <w:r>
              <w:rPr>
                <w:rFonts w:hint="eastAsia" w:ascii="仿宋_GB2312" w:hAnsi="仿宋_GB2312" w:eastAsia="仿宋_GB2312" w:cs="仿宋_GB2312"/>
                <w:color w:val="auto"/>
                <w:sz w:val="21"/>
                <w:szCs w:val="21"/>
                <w:highlight w:val="none"/>
                <w:lang w:eastAsia="zh-CN"/>
              </w:rPr>
              <w:t>建筑工程或装饰装修或水电安装</w:t>
            </w: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业绩加2分，分数加满16分为止。</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lang w:val="en-US" w:eastAsia="zh-CN"/>
                <w14:textFill>
                  <w14:solidFill>
                    <w14:schemeClr w14:val="tx1"/>
                  </w14:solidFill>
                </w14:textFill>
              </w:rPr>
              <w:t>注：业绩证明材料为合同协议书</w:t>
            </w:r>
            <w:r>
              <w:rPr>
                <w:rFonts w:hint="eastAsia" w:ascii="仿宋_GB2312" w:hAnsi="仿宋_GB2312" w:eastAsia="仿宋_GB2312" w:cs="仿宋_GB2312"/>
                <w:color w:val="C00000"/>
                <w:sz w:val="21"/>
                <w:szCs w:val="21"/>
                <w:highlight w:val="none"/>
                <w:lang w:val="en-US" w:eastAsia="zh-CN"/>
              </w:rPr>
              <w:t>。</w:t>
            </w:r>
          </w:p>
        </w:tc>
      </w:tr>
    </w:tbl>
    <w:p>
      <w:pPr>
        <w:widowControl w:val="0"/>
        <w:spacing w:line="560" w:lineRule="exact"/>
        <w:ind w:firstLine="640" w:firstLineChars="200"/>
        <w:jc w:val="both"/>
        <w:outlineLvl w:val="0"/>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lang w:eastAsia="zh-CN"/>
          <w14:textFill>
            <w14:solidFill>
              <w14:schemeClr w14:val="tx1"/>
            </w14:solidFill>
          </w14:textFill>
        </w:rPr>
        <w:t>五</w:t>
      </w:r>
      <w:r>
        <w:rPr>
          <w:rFonts w:hint="eastAsia" w:ascii="黑体" w:hAnsi="黑体" w:eastAsia="黑体" w:cs="黑体"/>
          <w:color w:val="000000" w:themeColor="text1"/>
          <w:sz w:val="32"/>
          <w:szCs w:val="32"/>
          <w:highlight w:val="none"/>
          <w14:textFill>
            <w14:solidFill>
              <w14:schemeClr w14:val="tx1"/>
            </w14:solidFill>
          </w14:textFill>
        </w:rPr>
        <w:t>、得分汇总</w:t>
      </w:r>
    </w:p>
    <w:p>
      <w:pPr>
        <w:pStyle w:val="5"/>
        <w:widowControl w:val="0"/>
        <w:spacing w:line="560" w:lineRule="exact"/>
        <w:ind w:firstLine="640" w:firstLineChars="200"/>
        <w:jc w:val="both"/>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1.评审小组应首先对各供应商响应文件进行评审，按文件规定分值评分。</w:t>
      </w:r>
    </w:p>
    <w:p>
      <w:pPr>
        <w:pStyle w:val="5"/>
        <w:widowControl w:val="0"/>
        <w:spacing w:line="560" w:lineRule="exact"/>
        <w:ind w:firstLine="640" w:firstLineChars="200"/>
        <w:jc w:val="both"/>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2.除价格得分外，其余部分由各评委自主评分并签字确认。</w:t>
      </w:r>
    </w:p>
    <w:p>
      <w:pPr>
        <w:pStyle w:val="5"/>
        <w:widowControl w:val="0"/>
        <w:spacing w:line="560" w:lineRule="exact"/>
        <w:ind w:firstLine="640" w:firstLineChars="200"/>
        <w:jc w:val="both"/>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3.统分原则：计算评委打分的算术平均值为供应商的该项评分因素的得分，报价得分除外(保留小数点后两位)。</w:t>
      </w:r>
    </w:p>
    <w:p>
      <w:pPr>
        <w:pStyle w:val="5"/>
        <w:widowControl w:val="0"/>
        <w:spacing w:line="560" w:lineRule="exact"/>
        <w:ind w:firstLine="640" w:firstLineChars="200"/>
        <w:jc w:val="both"/>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4.得分汇总：各项评分因素得分的总和即为供应商最后得分。</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kzidenz Grotesk BQ">
    <w:altName w:val="华光中楷_CNKI"/>
    <w:panose1 w:val="00000000000000000000"/>
    <w:charset w:val="00"/>
    <w:family w:val="swiss"/>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光中楷_CNKI">
    <w:panose1 w:val="02000500000000000000"/>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DE6275"/>
    <w:multiLevelType w:val="singleLevel"/>
    <w:tmpl w:val="6ADE6275"/>
    <w:lvl w:ilvl="0" w:tentative="0">
      <w:start w:val="1"/>
      <w:numFmt w:val="decimal"/>
      <w:suff w:val="nothing"/>
      <w:lvlText w:val="（%1）"/>
      <w:lvlJc w:val="left"/>
    </w:lvl>
  </w:abstractNum>
  <w:abstractNum w:abstractNumId="1">
    <w:nsid w:val="7CE4D59C"/>
    <w:multiLevelType w:val="singleLevel"/>
    <w:tmpl w:val="7CE4D59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lMDJkMWY0NzMwOTMyNjM3YWM1MjE4YWZjMjliZmIifQ=="/>
  </w:docVars>
  <w:rsids>
    <w:rsidRoot w:val="783D3A40"/>
    <w:rsid w:val="001842A9"/>
    <w:rsid w:val="00596F61"/>
    <w:rsid w:val="00ED75B8"/>
    <w:rsid w:val="00FD2E05"/>
    <w:rsid w:val="030B47EA"/>
    <w:rsid w:val="047563BF"/>
    <w:rsid w:val="051A3997"/>
    <w:rsid w:val="055F2BCB"/>
    <w:rsid w:val="058517C8"/>
    <w:rsid w:val="0B6158EF"/>
    <w:rsid w:val="0BE525D4"/>
    <w:rsid w:val="0BFCEA12"/>
    <w:rsid w:val="0C056B17"/>
    <w:rsid w:val="0D75168C"/>
    <w:rsid w:val="0DA36D33"/>
    <w:rsid w:val="0FF87E0C"/>
    <w:rsid w:val="114D00B1"/>
    <w:rsid w:val="18714C97"/>
    <w:rsid w:val="19102125"/>
    <w:rsid w:val="19364C90"/>
    <w:rsid w:val="19C37774"/>
    <w:rsid w:val="1AB54C3E"/>
    <w:rsid w:val="1B8D003A"/>
    <w:rsid w:val="1D274406"/>
    <w:rsid w:val="1EAE5450"/>
    <w:rsid w:val="1EED5F1F"/>
    <w:rsid w:val="1FBF796F"/>
    <w:rsid w:val="1FEF5FE7"/>
    <w:rsid w:val="1FFEC643"/>
    <w:rsid w:val="1FFF032E"/>
    <w:rsid w:val="21116299"/>
    <w:rsid w:val="22042D52"/>
    <w:rsid w:val="23C105E4"/>
    <w:rsid w:val="24857B00"/>
    <w:rsid w:val="25070E5D"/>
    <w:rsid w:val="2677791D"/>
    <w:rsid w:val="2A9D36CA"/>
    <w:rsid w:val="2EC60179"/>
    <w:rsid w:val="2EF47ADA"/>
    <w:rsid w:val="2FEF0006"/>
    <w:rsid w:val="32751E70"/>
    <w:rsid w:val="32DD268A"/>
    <w:rsid w:val="34767465"/>
    <w:rsid w:val="35B82646"/>
    <w:rsid w:val="36683636"/>
    <w:rsid w:val="391159AF"/>
    <w:rsid w:val="39982257"/>
    <w:rsid w:val="3A6D6CBF"/>
    <w:rsid w:val="3B9A7EDD"/>
    <w:rsid w:val="3EB7E4B7"/>
    <w:rsid w:val="3EFE01EA"/>
    <w:rsid w:val="3F6ADEEF"/>
    <w:rsid w:val="3F7F2BDE"/>
    <w:rsid w:val="3FBB6AA5"/>
    <w:rsid w:val="3FC2701F"/>
    <w:rsid w:val="3FDA4D91"/>
    <w:rsid w:val="3FFB3C14"/>
    <w:rsid w:val="40E340D5"/>
    <w:rsid w:val="4383682F"/>
    <w:rsid w:val="44AD3D7F"/>
    <w:rsid w:val="45072272"/>
    <w:rsid w:val="451E1508"/>
    <w:rsid w:val="45B35943"/>
    <w:rsid w:val="45D94923"/>
    <w:rsid w:val="466C5BC1"/>
    <w:rsid w:val="46B5206F"/>
    <w:rsid w:val="47136D96"/>
    <w:rsid w:val="473F14A3"/>
    <w:rsid w:val="478FD90B"/>
    <w:rsid w:val="49857D1F"/>
    <w:rsid w:val="49BE8050"/>
    <w:rsid w:val="4A3862E1"/>
    <w:rsid w:val="4C1A4723"/>
    <w:rsid w:val="4EB8094F"/>
    <w:rsid w:val="4F140241"/>
    <w:rsid w:val="4F7FF7AD"/>
    <w:rsid w:val="4FBF8D61"/>
    <w:rsid w:val="4FBFACE0"/>
    <w:rsid w:val="55B341E5"/>
    <w:rsid w:val="56690780"/>
    <w:rsid w:val="56EFA5B7"/>
    <w:rsid w:val="56FDB4FA"/>
    <w:rsid w:val="576A195A"/>
    <w:rsid w:val="57F70FA3"/>
    <w:rsid w:val="595F3DE2"/>
    <w:rsid w:val="5BFE9CE6"/>
    <w:rsid w:val="5BFEB3AD"/>
    <w:rsid w:val="5CCBB1E1"/>
    <w:rsid w:val="5D77A56A"/>
    <w:rsid w:val="5E6ECB83"/>
    <w:rsid w:val="5EFB8387"/>
    <w:rsid w:val="5F7FB113"/>
    <w:rsid w:val="5FAB141B"/>
    <w:rsid w:val="5FBE988A"/>
    <w:rsid w:val="5FF7A978"/>
    <w:rsid w:val="5FFC7E6E"/>
    <w:rsid w:val="60BB49EA"/>
    <w:rsid w:val="613123F4"/>
    <w:rsid w:val="63A80B5B"/>
    <w:rsid w:val="650C334B"/>
    <w:rsid w:val="65626CE0"/>
    <w:rsid w:val="65962C14"/>
    <w:rsid w:val="66F711AF"/>
    <w:rsid w:val="676F817B"/>
    <w:rsid w:val="67A72459"/>
    <w:rsid w:val="67BDCC5E"/>
    <w:rsid w:val="67DD82DC"/>
    <w:rsid w:val="68DEBE02"/>
    <w:rsid w:val="6AFF4165"/>
    <w:rsid w:val="6B6F018F"/>
    <w:rsid w:val="6B712159"/>
    <w:rsid w:val="6BD84824"/>
    <w:rsid w:val="6BFE98D3"/>
    <w:rsid w:val="6C6F2A7F"/>
    <w:rsid w:val="6CE4695B"/>
    <w:rsid w:val="6CEE1305"/>
    <w:rsid w:val="6DEF1662"/>
    <w:rsid w:val="6EDF8A4C"/>
    <w:rsid w:val="6F5B7E3A"/>
    <w:rsid w:val="6F7C9883"/>
    <w:rsid w:val="6F7F2A7A"/>
    <w:rsid w:val="6FDEB62E"/>
    <w:rsid w:val="6FEBEB3A"/>
    <w:rsid w:val="6FF29406"/>
    <w:rsid w:val="6FFDD1D9"/>
    <w:rsid w:val="6FFF2A0C"/>
    <w:rsid w:val="6FFFB3D9"/>
    <w:rsid w:val="716171E3"/>
    <w:rsid w:val="71FDB67A"/>
    <w:rsid w:val="732EDEBD"/>
    <w:rsid w:val="735FF8E9"/>
    <w:rsid w:val="739BD978"/>
    <w:rsid w:val="73FB0366"/>
    <w:rsid w:val="74F9A575"/>
    <w:rsid w:val="75B16714"/>
    <w:rsid w:val="75DFDB51"/>
    <w:rsid w:val="76CB6DD5"/>
    <w:rsid w:val="76D20168"/>
    <w:rsid w:val="76DEF775"/>
    <w:rsid w:val="77BBB53F"/>
    <w:rsid w:val="77D25EEA"/>
    <w:rsid w:val="77ED5A7E"/>
    <w:rsid w:val="77FFFB48"/>
    <w:rsid w:val="783D3A40"/>
    <w:rsid w:val="797B0C6B"/>
    <w:rsid w:val="799FB984"/>
    <w:rsid w:val="7A636BF5"/>
    <w:rsid w:val="7A6DD23E"/>
    <w:rsid w:val="7ABEAE36"/>
    <w:rsid w:val="7AF4E536"/>
    <w:rsid w:val="7AF925F8"/>
    <w:rsid w:val="7AFF2CE3"/>
    <w:rsid w:val="7B1F5CCB"/>
    <w:rsid w:val="7B5829EE"/>
    <w:rsid w:val="7B9E0368"/>
    <w:rsid w:val="7BBBF29E"/>
    <w:rsid w:val="7BD945B1"/>
    <w:rsid w:val="7BDEB312"/>
    <w:rsid w:val="7D7F036F"/>
    <w:rsid w:val="7D7F71B8"/>
    <w:rsid w:val="7DBB1F61"/>
    <w:rsid w:val="7DCE55FD"/>
    <w:rsid w:val="7E253140"/>
    <w:rsid w:val="7E2B4AB7"/>
    <w:rsid w:val="7EDF09B4"/>
    <w:rsid w:val="7EE58170"/>
    <w:rsid w:val="7EFF1873"/>
    <w:rsid w:val="7EFFE040"/>
    <w:rsid w:val="7F27C568"/>
    <w:rsid w:val="7F373E21"/>
    <w:rsid w:val="7F5F2734"/>
    <w:rsid w:val="7F7BF2D6"/>
    <w:rsid w:val="7F7BF429"/>
    <w:rsid w:val="7FA19DBA"/>
    <w:rsid w:val="7FABDCED"/>
    <w:rsid w:val="7FB2ADD7"/>
    <w:rsid w:val="7FB9A8C2"/>
    <w:rsid w:val="7FBF1373"/>
    <w:rsid w:val="7FCFDE0A"/>
    <w:rsid w:val="7FD2DF56"/>
    <w:rsid w:val="7FDB52EC"/>
    <w:rsid w:val="7FDF51E7"/>
    <w:rsid w:val="7FED5778"/>
    <w:rsid w:val="7FEF0951"/>
    <w:rsid w:val="7FFB9682"/>
    <w:rsid w:val="7FFE8576"/>
    <w:rsid w:val="7FFF6016"/>
    <w:rsid w:val="7FFFF6DF"/>
    <w:rsid w:val="8953264D"/>
    <w:rsid w:val="8EBCD2EF"/>
    <w:rsid w:val="9F9F7B2F"/>
    <w:rsid w:val="9FBD5CBA"/>
    <w:rsid w:val="AB4F8461"/>
    <w:rsid w:val="AF356D71"/>
    <w:rsid w:val="B3D723B5"/>
    <w:rsid w:val="B5BEA23F"/>
    <w:rsid w:val="BCD6B879"/>
    <w:rsid w:val="BCEDC461"/>
    <w:rsid w:val="BDEB4BA1"/>
    <w:rsid w:val="BE5B594D"/>
    <w:rsid w:val="BE5E0DA0"/>
    <w:rsid w:val="BF53270B"/>
    <w:rsid w:val="BF7E4CEB"/>
    <w:rsid w:val="BFF3C2E8"/>
    <w:rsid w:val="BFF64C1F"/>
    <w:rsid w:val="BFFCC762"/>
    <w:rsid w:val="C3D7CD15"/>
    <w:rsid w:val="C7DBC775"/>
    <w:rsid w:val="CF5E1F99"/>
    <w:rsid w:val="CF7C9586"/>
    <w:rsid w:val="CFC7969D"/>
    <w:rsid w:val="D69FFA57"/>
    <w:rsid w:val="D7CF06F9"/>
    <w:rsid w:val="D7F767F6"/>
    <w:rsid w:val="D7FF8020"/>
    <w:rsid w:val="DBDF94FA"/>
    <w:rsid w:val="DD747C4C"/>
    <w:rsid w:val="DDBEDB27"/>
    <w:rsid w:val="DE3CE9AB"/>
    <w:rsid w:val="DEFF53F4"/>
    <w:rsid w:val="DF3EDF63"/>
    <w:rsid w:val="DF6B6563"/>
    <w:rsid w:val="DFB66BC4"/>
    <w:rsid w:val="DFFB5C09"/>
    <w:rsid w:val="E3FDC820"/>
    <w:rsid w:val="E7EBA469"/>
    <w:rsid w:val="E7EEF2C6"/>
    <w:rsid w:val="E7FFF55B"/>
    <w:rsid w:val="EDBCFEB1"/>
    <w:rsid w:val="EDE361B8"/>
    <w:rsid w:val="EE5E0553"/>
    <w:rsid w:val="EEBF0CF0"/>
    <w:rsid w:val="EF7B7174"/>
    <w:rsid w:val="EFBDAAFB"/>
    <w:rsid w:val="EFFB1507"/>
    <w:rsid w:val="F2DFDD51"/>
    <w:rsid w:val="F3BDF91B"/>
    <w:rsid w:val="F6EBCEAC"/>
    <w:rsid w:val="F73DA86C"/>
    <w:rsid w:val="F77E96A4"/>
    <w:rsid w:val="F7F8F7D7"/>
    <w:rsid w:val="F7FF7A49"/>
    <w:rsid w:val="F7FFA164"/>
    <w:rsid w:val="F9BF9988"/>
    <w:rsid w:val="F9F37D6F"/>
    <w:rsid w:val="F9F6176E"/>
    <w:rsid w:val="FB3CC4A9"/>
    <w:rsid w:val="FB4F2552"/>
    <w:rsid w:val="FB7C3054"/>
    <w:rsid w:val="FBDFBA41"/>
    <w:rsid w:val="FBF1E2C4"/>
    <w:rsid w:val="FCF6FBE1"/>
    <w:rsid w:val="FCFE4764"/>
    <w:rsid w:val="FD6FE1E4"/>
    <w:rsid w:val="FD7EDDC7"/>
    <w:rsid w:val="FDDA6882"/>
    <w:rsid w:val="FDFF13D4"/>
    <w:rsid w:val="FE978620"/>
    <w:rsid w:val="FEDDB05B"/>
    <w:rsid w:val="FEFC35EC"/>
    <w:rsid w:val="FEFE2F9E"/>
    <w:rsid w:val="FF7E9E4D"/>
    <w:rsid w:val="FFB85FF4"/>
    <w:rsid w:val="FFBBEAF0"/>
    <w:rsid w:val="FFBF7491"/>
    <w:rsid w:val="FFD65C17"/>
    <w:rsid w:val="FFDF0A4E"/>
    <w:rsid w:val="FFEA9469"/>
    <w:rsid w:val="FFF74511"/>
    <w:rsid w:val="FFF78A4E"/>
    <w:rsid w:val="FFFD8951"/>
    <w:rsid w:val="FFFF143B"/>
    <w:rsid w:val="FFFF7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3"/>
    <w:next w:val="3"/>
    <w:qFormat/>
    <w:uiPriority w:val="0"/>
    <w:pPr>
      <w:spacing w:after="120"/>
    </w:pPr>
  </w:style>
  <w:style w:type="paragraph" w:customStyle="1" w:styleId="3">
    <w:name w:val="Normal_2"/>
    <w:qFormat/>
    <w:uiPriority w:val="0"/>
    <w:pPr>
      <w:widowControl w:val="0"/>
      <w:jc w:val="both"/>
    </w:pPr>
    <w:rPr>
      <w:rFonts w:ascii="Times New Roman" w:hAnsi="Times New Roman" w:eastAsia="宋体" w:cs="Times New Roman"/>
      <w:lang w:val="en-US" w:eastAsia="zh-CN" w:bidi="ar-SA"/>
    </w:rPr>
  </w:style>
  <w:style w:type="paragraph" w:styleId="5">
    <w:name w:val="Body Text Indent"/>
    <w:basedOn w:val="1"/>
    <w:unhideWhenUsed/>
    <w:qFormat/>
    <w:uiPriority w:val="99"/>
    <w:pPr>
      <w:spacing w:line="460" w:lineRule="exact"/>
      <w:ind w:firstLine="510"/>
    </w:pPr>
    <w:rPr>
      <w:rFonts w:ascii="Calibri" w:hAnsi="Calibri"/>
      <w:sz w:val="20"/>
    </w:rPr>
  </w:style>
  <w:style w:type="paragraph" w:styleId="6">
    <w:name w:val="Plain Text"/>
    <w:basedOn w:val="1"/>
    <w:next w:val="1"/>
    <w:unhideWhenUsed/>
    <w:qFormat/>
    <w:uiPriority w:val="0"/>
    <w:pPr>
      <w:widowControl w:val="0"/>
      <w:jc w:val="both"/>
    </w:pPr>
    <w:rPr>
      <w:rFonts w:ascii="宋体"/>
      <w:kern w:val="2"/>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itle"/>
    <w:basedOn w:val="1"/>
    <w:next w:val="1"/>
    <w:qFormat/>
    <w:uiPriority w:val="0"/>
    <w:pPr>
      <w:spacing w:before="240" w:after="60"/>
      <w:jc w:val="center"/>
      <w:outlineLvl w:val="0"/>
    </w:pPr>
    <w:rPr>
      <w:rFonts w:ascii="Cambria" w:hAnsi="Cambria"/>
      <w:b/>
      <w:bCs/>
      <w:sz w:val="32"/>
      <w:szCs w:val="32"/>
      <w:lang w:val="zh-CN"/>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customStyle="1" w:styleId="14">
    <w:name w:val="BodyText"/>
    <w:basedOn w:val="1"/>
    <w:qFormat/>
    <w:uiPriority w:val="0"/>
    <w:pPr>
      <w:spacing w:after="120"/>
      <w:textAlignment w:val="baseline"/>
    </w:pPr>
  </w:style>
  <w:style w:type="paragraph" w:customStyle="1" w:styleId="15">
    <w:name w:val="列出段落1"/>
    <w:basedOn w:val="1"/>
    <w:qFormat/>
    <w:uiPriority w:val="0"/>
    <w:pPr>
      <w:spacing w:before="117"/>
      <w:ind w:left="143" w:firstLine="420"/>
    </w:pPr>
  </w:style>
  <w:style w:type="paragraph" w:customStyle="1" w:styleId="16">
    <w:name w:val="Normal_1"/>
    <w:qFormat/>
    <w:uiPriority w:val="0"/>
    <w:pPr>
      <w:widowControl w:val="0"/>
      <w:jc w:val="both"/>
    </w:pPr>
    <w:rPr>
      <w:rFonts w:ascii="Times New Roman" w:hAnsi="Times New Roman" w:eastAsia="宋体" w:cs="Times New Roman"/>
      <w:lang w:val="en-US" w:eastAsia="zh-CN" w:bidi="ar-SA"/>
    </w:rPr>
  </w:style>
  <w:style w:type="paragraph" w:customStyle="1" w:styleId="17">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150</Words>
  <Characters>861</Characters>
  <Lines>7</Lines>
  <Paragraphs>2</Paragraphs>
  <TotalTime>18</TotalTime>
  <ScaleCrop>false</ScaleCrop>
  <LinksUpToDate>false</LinksUpToDate>
  <CharactersWithSpaces>1009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2024-05-28T01:16:00Z</dcterms:created>
  <dc:creator>江家杰</dc:creator>
  <cp:lastModifiedBy>kmcg</cp:lastModifiedBy>
  <cp:lastPrinted>2026-10-08T19:33:00Z</cp:lastPrinted>
  <dcterms:modified xsi:type="dcterms:W3CDTF">2026-10-08T14:57:46Z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6E7A15451203413991EC63DE01C8601E_11</vt:lpwstr>
  </property>
</Properties>
</file>