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autoSpaceDE/>
        <w:autoSpaceDN/>
        <w:bidi w:val="0"/>
        <w:adjustRightInd/>
        <w:snapToGrid/>
        <w:spacing w:line="560" w:lineRule="exact"/>
        <w:ind w:firstLine="720" w:firstLineChars="200"/>
        <w:jc w:val="center"/>
        <w:textAlignment w:val="auto"/>
        <w:rPr>
          <w:rFonts w:hint="eastAsia" w:ascii="方正小标宋_GBK" w:eastAsia="方正小标宋_GBK" w:hAnsiTheme="minorHAnsi" w:cstheme="minorBidi"/>
          <w:sz w:val="36"/>
          <w:szCs w:val="36"/>
        </w:rPr>
      </w:pPr>
      <w:r>
        <w:rPr>
          <w:rFonts w:hint="eastAsia" w:ascii="方正小标宋_GBK" w:eastAsia="方正小标宋_GBK" w:hAnsiTheme="minorHAnsi" w:cstheme="minorBidi"/>
          <w:sz w:val="36"/>
          <w:szCs w:val="36"/>
          <w:lang w:val="en-US" w:eastAsia="zh-CN"/>
        </w:rPr>
        <w:t>呈荣大道（67号路）建设项目完善土地手续所需资金</w:t>
      </w:r>
      <w:r>
        <w:rPr>
          <w:rFonts w:hint="eastAsia" w:ascii="方正小标宋_GBK" w:eastAsia="方正小标宋_GBK" w:hAnsiTheme="minorHAnsi" w:cstheme="minorBidi"/>
          <w:sz w:val="36"/>
          <w:szCs w:val="36"/>
        </w:rPr>
        <w:t>项目支出绩效评价报告</w:t>
      </w:r>
    </w:p>
    <w:p>
      <w:pPr>
        <w:keepNext w:val="0"/>
        <w:keepLines w:val="0"/>
        <w:pageBreakBefore w:val="0"/>
        <w:widowControl w:val="0"/>
        <w:kinsoku/>
        <w:wordWrap/>
        <w:overflowPunct/>
        <w:topLinePunct/>
        <w:autoSpaceDE/>
        <w:autoSpaceDN/>
        <w:bidi w:val="0"/>
        <w:adjustRightInd/>
        <w:snapToGrid/>
        <w:spacing w:line="560" w:lineRule="exact"/>
        <w:ind w:firstLine="640" w:firstLineChars="200"/>
        <w:jc w:val="both"/>
        <w:textAlignment w:val="auto"/>
        <w:rPr>
          <w:rFonts w:hint="eastAsia" w:ascii="黑体" w:hAnsi="Times New Roman" w:eastAsia="黑体"/>
          <w:sz w:val="32"/>
          <w:szCs w:val="32"/>
        </w:rPr>
      </w:pPr>
    </w:p>
    <w:p>
      <w:pPr>
        <w:keepNext w:val="0"/>
        <w:keepLines w:val="0"/>
        <w:pageBreakBefore w:val="0"/>
        <w:widowControl w:val="0"/>
        <w:kinsoku/>
        <w:wordWrap/>
        <w:overflowPunct/>
        <w:topLinePunct/>
        <w:autoSpaceDE/>
        <w:autoSpaceDN/>
        <w:bidi w:val="0"/>
        <w:adjustRightInd/>
        <w:snapToGrid/>
        <w:spacing w:line="560" w:lineRule="exact"/>
        <w:ind w:firstLine="640" w:firstLineChars="200"/>
        <w:jc w:val="both"/>
        <w:textAlignment w:val="auto"/>
        <w:rPr>
          <w:rFonts w:hint="eastAsia" w:ascii="黑体" w:hAnsi="Times New Roman" w:eastAsia="黑体"/>
          <w:sz w:val="32"/>
          <w:szCs w:val="32"/>
        </w:rPr>
      </w:pPr>
      <w:r>
        <w:rPr>
          <w:rFonts w:hint="eastAsia" w:ascii="黑体" w:hAnsi="Times New Roman" w:eastAsia="黑体"/>
          <w:sz w:val="32"/>
          <w:szCs w:val="32"/>
          <w:lang w:val="en-US" w:eastAsia="zh-CN"/>
        </w:rPr>
        <w:t>一、项目基本情况</w:t>
      </w:r>
    </w:p>
    <w:p>
      <w:pPr>
        <w:keepNext w:val="0"/>
        <w:keepLines w:val="0"/>
        <w:pageBreakBefore w:val="0"/>
        <w:widowControl w:val="0"/>
        <w:kinsoku/>
        <w:wordWrap/>
        <w:overflowPunct/>
        <w:topLinePunct/>
        <w:autoSpaceDE/>
        <w:autoSpaceDN/>
        <w:bidi w:val="0"/>
        <w:adjustRightInd/>
        <w:snapToGrid/>
        <w:spacing w:line="560" w:lineRule="exact"/>
        <w:ind w:firstLine="640" w:firstLineChars="200"/>
        <w:jc w:val="both"/>
        <w:textAlignment w:val="auto"/>
        <w:rPr>
          <w:rFonts w:hint="eastAsia" w:ascii="仿宋_GB2312" w:eastAsia="仿宋_GB2312" w:hAnsiTheme="minorHAnsi" w:cstheme="minorBidi"/>
          <w:sz w:val="32"/>
          <w:szCs w:val="32"/>
        </w:rPr>
      </w:pPr>
      <w:r>
        <w:rPr>
          <w:rFonts w:hint="eastAsia" w:ascii="仿宋_GB2312" w:eastAsia="仿宋_GB2312" w:hAnsiTheme="minorHAnsi" w:cstheme="minorBidi"/>
          <w:sz w:val="32"/>
          <w:szCs w:val="32"/>
        </w:rPr>
        <w:t>（一）项目概况。</w:t>
      </w:r>
    </w:p>
    <w:p>
      <w:pPr>
        <w:keepNext w:val="0"/>
        <w:keepLines w:val="0"/>
        <w:pageBreakBefore w:val="0"/>
        <w:widowControl w:val="0"/>
        <w:kinsoku/>
        <w:wordWrap/>
        <w:overflowPunct/>
        <w:topLinePunct/>
        <w:autoSpaceDE/>
        <w:autoSpaceDN/>
        <w:bidi w:val="0"/>
        <w:adjustRightInd/>
        <w:snapToGrid/>
        <w:spacing w:line="560" w:lineRule="exact"/>
        <w:ind w:firstLine="640" w:firstLineChars="200"/>
        <w:jc w:val="both"/>
        <w:textAlignment w:val="auto"/>
        <w:rPr>
          <w:rFonts w:hint="eastAsia" w:ascii="仿宋_GB2312" w:eastAsia="仿宋_GB2312" w:hAnsiTheme="minorHAnsi" w:cstheme="minorBidi"/>
          <w:sz w:val="32"/>
          <w:szCs w:val="32"/>
        </w:rPr>
      </w:pPr>
      <w:r>
        <w:rPr>
          <w:rFonts w:hint="eastAsia" w:ascii="仿宋_GB2312" w:eastAsia="仿宋_GB2312" w:hAnsiTheme="minorHAnsi" w:cstheme="minorBidi"/>
          <w:sz w:val="32"/>
          <w:szCs w:val="32"/>
        </w:rPr>
        <w:t>项目位于昆明市呈贡区，是现状“呈荣大道”的延伸，道路始于现状“呈荣大道”与东盟森林内规划道路的平交口，之后向西南延伸，上跨昆玉高速，下穿地铁1号线高架桥，</w:t>
      </w:r>
      <w:r>
        <w:rPr>
          <w:rFonts w:hint="eastAsia" w:ascii="仿宋_GB2312" w:eastAsia="仿宋_GB2312" w:hAnsiTheme="minorHAnsi" w:cstheme="minorBidi"/>
          <w:sz w:val="32"/>
          <w:szCs w:val="32"/>
          <w:lang w:eastAsia="zh-CN"/>
        </w:rPr>
        <w:t>止</w:t>
      </w:r>
      <w:r>
        <w:rPr>
          <w:rFonts w:hint="eastAsia" w:ascii="仿宋_GB2312" w:eastAsia="仿宋_GB2312" w:hAnsiTheme="minorHAnsi" w:cstheme="minorBidi"/>
          <w:sz w:val="32"/>
          <w:szCs w:val="32"/>
        </w:rPr>
        <w:t>于彩云北路。道路全长 719.315米，道路等级为城市主干路，红线宽度为 60 米，双向</w:t>
      </w:r>
      <w:r>
        <w:rPr>
          <w:rFonts w:hint="eastAsia" w:ascii="仿宋_GB2312" w:eastAsia="仿宋_GB2312" w:hAnsiTheme="minorHAnsi" w:cstheme="minorBidi"/>
          <w:sz w:val="32"/>
          <w:szCs w:val="32"/>
          <w:lang w:val="en-US" w:eastAsia="zh-CN"/>
        </w:rPr>
        <w:t>6</w:t>
      </w:r>
      <w:r>
        <w:rPr>
          <w:rFonts w:hint="eastAsia" w:ascii="仿宋_GB2312" w:eastAsia="仿宋_GB2312" w:hAnsiTheme="minorHAnsi" w:cstheme="minorBidi"/>
          <w:sz w:val="32"/>
          <w:szCs w:val="32"/>
        </w:rPr>
        <w:t>车道，设计时速为 60Km/h。投资概算22108.45万元。本项目概算总投资为：22108.45万元，其中工程建安费用为15191.77万元，工程建设其他费用为5863.90万元，工程预备费为1052.7 8万元。</w:t>
      </w:r>
    </w:p>
    <w:p>
      <w:pPr>
        <w:keepNext w:val="0"/>
        <w:keepLines w:val="0"/>
        <w:pageBreakBefore w:val="0"/>
        <w:widowControl w:val="0"/>
        <w:kinsoku/>
        <w:wordWrap/>
        <w:overflowPunct/>
        <w:topLinePunct/>
        <w:autoSpaceDE/>
        <w:autoSpaceDN/>
        <w:bidi w:val="0"/>
        <w:adjustRightInd/>
        <w:snapToGrid/>
        <w:spacing w:line="560" w:lineRule="exact"/>
        <w:ind w:firstLine="640" w:firstLineChars="200"/>
        <w:jc w:val="both"/>
        <w:textAlignment w:val="auto"/>
        <w:rPr>
          <w:rFonts w:hint="eastAsia" w:ascii="仿宋_GB2312" w:eastAsia="仿宋_GB2312" w:hAnsiTheme="minorHAnsi" w:cstheme="minorBidi"/>
          <w:sz w:val="32"/>
          <w:szCs w:val="32"/>
        </w:rPr>
      </w:pPr>
      <w:r>
        <w:rPr>
          <w:rFonts w:hint="eastAsia" w:ascii="仿宋_GB2312" w:eastAsia="仿宋_GB2312" w:hAnsiTheme="minorHAnsi" w:cstheme="minorBidi"/>
          <w:sz w:val="32"/>
          <w:szCs w:val="32"/>
        </w:rPr>
        <w:t>（二）项目绩效目标。</w:t>
      </w:r>
    </w:p>
    <w:p>
      <w:pPr>
        <w:keepNext w:val="0"/>
        <w:keepLines w:val="0"/>
        <w:pageBreakBefore w:val="0"/>
        <w:widowControl w:val="0"/>
        <w:kinsoku/>
        <w:wordWrap/>
        <w:overflowPunct/>
        <w:topLinePunct/>
        <w:autoSpaceDE/>
        <w:autoSpaceDN/>
        <w:bidi w:val="0"/>
        <w:adjustRightInd/>
        <w:snapToGrid/>
        <w:spacing w:line="560" w:lineRule="exact"/>
        <w:ind w:firstLine="640" w:firstLineChars="200"/>
        <w:jc w:val="both"/>
        <w:textAlignment w:val="auto"/>
        <w:rPr>
          <w:rFonts w:hint="eastAsia" w:ascii="仿宋_GB2312" w:eastAsia="仿宋_GB2312" w:hAnsiTheme="minorHAnsi" w:cstheme="minorBidi"/>
          <w:sz w:val="32"/>
          <w:szCs w:val="32"/>
        </w:rPr>
      </w:pPr>
      <w:r>
        <w:rPr>
          <w:rFonts w:hint="eastAsia" w:ascii="仿宋_GB2312" w:eastAsia="仿宋_GB2312" w:hAnsiTheme="minorHAnsi" w:cstheme="minorBidi"/>
          <w:sz w:val="32"/>
          <w:szCs w:val="32"/>
        </w:rPr>
        <w:t>1.项目绩效总目标：本项目的建设是对呈贡新区城市道路网基础设施建设的完善，是连接经开区“王家营现代物流园”与呈贡新区的主要道路；提升其货物运载效率的重要通道，也是满足“东盟森林”项目内部及周边居民出行需要的举措，有利于营造良好的交通环境和人居环境，促进区域经济的发展。</w:t>
      </w:r>
    </w:p>
    <w:p>
      <w:pPr>
        <w:keepNext w:val="0"/>
        <w:keepLines w:val="0"/>
        <w:pageBreakBefore w:val="0"/>
        <w:widowControl w:val="0"/>
        <w:kinsoku/>
        <w:wordWrap/>
        <w:overflowPunct/>
        <w:topLinePunct/>
        <w:autoSpaceDE/>
        <w:autoSpaceDN/>
        <w:bidi w:val="0"/>
        <w:adjustRightInd/>
        <w:snapToGrid/>
        <w:spacing w:line="560" w:lineRule="exact"/>
        <w:ind w:firstLine="640" w:firstLineChars="200"/>
        <w:jc w:val="both"/>
        <w:textAlignment w:val="auto"/>
        <w:rPr>
          <w:rFonts w:hint="eastAsia" w:ascii="仿宋_GB2312" w:eastAsia="仿宋_GB2312" w:hAnsiTheme="minorHAnsi" w:cstheme="minorBidi"/>
          <w:sz w:val="32"/>
          <w:szCs w:val="32"/>
          <w:lang w:eastAsia="zh-CN"/>
        </w:rPr>
      </w:pPr>
      <w:r>
        <w:rPr>
          <w:rFonts w:hint="eastAsia" w:ascii="仿宋_GB2312" w:eastAsia="仿宋_GB2312" w:hAnsiTheme="minorHAnsi" w:cstheme="minorBidi"/>
          <w:sz w:val="32"/>
          <w:szCs w:val="32"/>
        </w:rPr>
        <w:t>2.项目绩效阶段性目标：</w:t>
      </w:r>
      <w:r>
        <w:rPr>
          <w:rFonts w:hint="eastAsia" w:ascii="仿宋_GB2312" w:eastAsia="仿宋_GB2312" w:hAnsiTheme="minorHAnsi" w:cstheme="minorBidi"/>
          <w:sz w:val="32"/>
          <w:szCs w:val="32"/>
          <w:lang w:eastAsia="zh-CN"/>
        </w:rPr>
        <w:t>项目前期工作已完成，</w:t>
      </w:r>
      <w:r>
        <w:rPr>
          <w:rFonts w:hint="eastAsia" w:ascii="仿宋_GB2312" w:eastAsia="仿宋_GB2312" w:hAnsiTheme="minorHAnsi" w:cstheme="minorBidi"/>
          <w:sz w:val="32"/>
          <w:szCs w:val="32"/>
        </w:rPr>
        <w:t>2017年7月1日开工建设,2019年4月试通车，2019年5月组织并通过竣工验收，2019年12月完成审计工作。</w:t>
      </w:r>
    </w:p>
    <w:p>
      <w:pPr>
        <w:keepNext w:val="0"/>
        <w:keepLines w:val="0"/>
        <w:pageBreakBefore w:val="0"/>
        <w:widowControl w:val="0"/>
        <w:kinsoku/>
        <w:wordWrap/>
        <w:overflowPunct/>
        <w:topLinePunct/>
        <w:autoSpaceDE/>
        <w:autoSpaceDN/>
        <w:bidi w:val="0"/>
        <w:adjustRightInd/>
        <w:snapToGrid/>
        <w:spacing w:line="560" w:lineRule="exact"/>
        <w:ind w:firstLine="640" w:firstLineChars="200"/>
        <w:jc w:val="both"/>
        <w:textAlignment w:val="auto"/>
        <w:rPr>
          <w:rFonts w:hint="eastAsia" w:ascii="黑体" w:hAnsi="Times New Roman" w:eastAsia="黑体"/>
          <w:sz w:val="32"/>
          <w:szCs w:val="32"/>
          <w:lang w:val="en-US" w:eastAsia="zh-CN"/>
        </w:rPr>
      </w:pPr>
      <w:r>
        <w:rPr>
          <w:rFonts w:hint="eastAsia" w:ascii="黑体" w:hAnsi="Times New Roman" w:eastAsia="黑体"/>
          <w:sz w:val="32"/>
          <w:szCs w:val="32"/>
          <w:lang w:val="en-US" w:eastAsia="zh-CN"/>
        </w:rPr>
        <w:t>二、项目单位绩效报告情况</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outlineLvl w:val="0"/>
        <w:rPr>
          <w:rFonts w:hint="eastAsia" w:ascii="仿宋_GB2312" w:eastAsia="仿宋_GB2312" w:hAnsiTheme="minorHAnsi" w:cstheme="minorBidi"/>
          <w:color w:val="FF0000"/>
          <w:sz w:val="32"/>
          <w:szCs w:val="32"/>
        </w:rPr>
      </w:pPr>
      <w:r>
        <w:rPr>
          <w:rFonts w:hint="eastAsia" w:ascii="仿宋" w:hAnsi="仿宋" w:eastAsia="仿宋" w:cs="仿宋"/>
          <w:color w:val="auto"/>
          <w:sz w:val="32"/>
          <w:szCs w:val="32"/>
          <w:lang w:eastAsia="zh-CN"/>
        </w:rPr>
        <w:t>根据《昆明市呈贡区财政局关于批复</w:t>
      </w:r>
      <w:r>
        <w:rPr>
          <w:rFonts w:hint="eastAsia" w:ascii="仿宋" w:hAnsi="仿宋" w:eastAsia="仿宋" w:cs="仿宋"/>
          <w:color w:val="auto"/>
          <w:sz w:val="32"/>
          <w:szCs w:val="32"/>
          <w:lang w:val="en-US" w:eastAsia="zh-CN"/>
        </w:rPr>
        <w:t>2025年部门预算的通知</w:t>
      </w:r>
      <w:r>
        <w:rPr>
          <w:rFonts w:hint="eastAsia" w:ascii="仿宋" w:hAnsi="仿宋" w:eastAsia="仿宋" w:cs="仿宋"/>
          <w:color w:val="auto"/>
          <w:sz w:val="32"/>
          <w:szCs w:val="32"/>
          <w:lang w:eastAsia="zh-CN"/>
        </w:rPr>
        <w:t>》（呈财行〔</w:t>
      </w:r>
      <w:r>
        <w:rPr>
          <w:rFonts w:hint="eastAsia" w:ascii="仿宋" w:hAnsi="仿宋" w:eastAsia="仿宋" w:cs="仿宋"/>
          <w:color w:val="auto"/>
          <w:sz w:val="32"/>
          <w:szCs w:val="32"/>
          <w:lang w:val="en-US" w:eastAsia="zh-CN"/>
        </w:rPr>
        <w:t>2025</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74号</w:t>
      </w:r>
      <w:r>
        <w:rPr>
          <w:rFonts w:hint="eastAsia" w:ascii="仿宋" w:hAnsi="仿宋" w:eastAsia="仿宋" w:cs="仿宋"/>
          <w:color w:val="auto"/>
          <w:sz w:val="32"/>
          <w:szCs w:val="32"/>
          <w:lang w:eastAsia="zh-CN"/>
        </w:rPr>
        <w:t>）文件，年初安排预算资金</w:t>
      </w:r>
      <w:r>
        <w:rPr>
          <w:rFonts w:hint="eastAsia" w:ascii="仿宋" w:hAnsi="仿宋" w:eastAsia="仿宋" w:cs="仿宋"/>
          <w:color w:val="auto"/>
          <w:sz w:val="32"/>
          <w:szCs w:val="32"/>
          <w:lang w:val="en-US" w:eastAsia="zh-CN"/>
        </w:rPr>
        <w:t>35万元，</w:t>
      </w:r>
      <w:r>
        <w:rPr>
          <w:rFonts w:hint="eastAsia" w:ascii="仿宋" w:hAnsi="仿宋" w:eastAsia="仿宋" w:cs="仿宋"/>
          <w:color w:val="auto"/>
          <w:sz w:val="32"/>
          <w:szCs w:val="32"/>
          <w:lang w:eastAsia="zh-CN"/>
        </w:rPr>
        <w:t>实际支出</w:t>
      </w:r>
      <w:r>
        <w:rPr>
          <w:rFonts w:hint="eastAsia" w:ascii="仿宋" w:hAnsi="仿宋" w:eastAsia="仿宋" w:cs="仿宋"/>
          <w:color w:val="auto"/>
          <w:sz w:val="32"/>
          <w:szCs w:val="32"/>
          <w:lang w:val="en-US" w:eastAsia="zh-CN"/>
        </w:rPr>
        <w:t>24.4544万元，</w:t>
      </w:r>
      <w:r>
        <w:rPr>
          <w:rFonts w:hint="eastAsia" w:ascii="仿宋_GB2312" w:eastAsia="仿宋_GB2312" w:hAnsiTheme="minorHAnsi" w:cstheme="minorBidi"/>
          <w:color w:val="auto"/>
          <w:sz w:val="32"/>
          <w:szCs w:val="32"/>
        </w:rPr>
        <w:t>项目如实申报绩效。</w:t>
      </w:r>
    </w:p>
    <w:p>
      <w:pPr>
        <w:keepNext w:val="0"/>
        <w:keepLines w:val="0"/>
        <w:pageBreakBefore w:val="0"/>
        <w:widowControl w:val="0"/>
        <w:kinsoku/>
        <w:wordWrap/>
        <w:overflowPunct/>
        <w:topLinePunct/>
        <w:autoSpaceDE/>
        <w:autoSpaceDN/>
        <w:bidi w:val="0"/>
        <w:adjustRightInd/>
        <w:snapToGrid/>
        <w:spacing w:line="560" w:lineRule="exact"/>
        <w:ind w:firstLine="640" w:firstLineChars="200"/>
        <w:jc w:val="both"/>
        <w:textAlignment w:val="auto"/>
        <w:rPr>
          <w:rFonts w:hint="eastAsia" w:ascii="黑体" w:hAnsi="Times New Roman" w:eastAsia="黑体"/>
          <w:sz w:val="32"/>
          <w:szCs w:val="32"/>
          <w:lang w:val="en-US" w:eastAsia="zh-CN"/>
        </w:rPr>
      </w:pPr>
      <w:r>
        <w:rPr>
          <w:rFonts w:hint="eastAsia" w:ascii="黑体" w:hAnsi="Times New Roman" w:eastAsia="黑体"/>
          <w:sz w:val="32"/>
          <w:szCs w:val="32"/>
          <w:lang w:val="en-US" w:eastAsia="zh-CN"/>
        </w:rPr>
        <w:t>三、绩效评价工作情况</w:t>
      </w:r>
    </w:p>
    <w:p>
      <w:pPr>
        <w:keepNext w:val="0"/>
        <w:keepLines w:val="0"/>
        <w:pageBreakBefore w:val="0"/>
        <w:widowControl w:val="0"/>
        <w:kinsoku/>
        <w:wordWrap/>
        <w:overflowPunct/>
        <w:topLinePunct/>
        <w:autoSpaceDE/>
        <w:autoSpaceDN/>
        <w:bidi w:val="0"/>
        <w:adjustRightInd/>
        <w:snapToGrid/>
        <w:spacing w:line="560" w:lineRule="exact"/>
        <w:ind w:firstLine="640" w:firstLineChars="200"/>
        <w:jc w:val="both"/>
        <w:textAlignment w:val="auto"/>
        <w:rPr>
          <w:rFonts w:hint="eastAsia" w:ascii="仿宋_GB2312" w:eastAsia="仿宋_GB2312" w:hAnsiTheme="minorHAnsi" w:cstheme="minorBidi"/>
          <w:sz w:val="32"/>
          <w:szCs w:val="32"/>
        </w:rPr>
      </w:pPr>
      <w:r>
        <w:rPr>
          <w:rFonts w:hint="eastAsia" w:ascii="仿宋_GB2312" w:eastAsia="仿宋_GB2312" w:hAnsiTheme="minorHAnsi" w:cstheme="minorBidi"/>
          <w:sz w:val="32"/>
          <w:szCs w:val="32"/>
        </w:rPr>
        <w:t>（一）绩效评价目的。</w:t>
      </w:r>
    </w:p>
    <w:p>
      <w:pPr>
        <w:keepNext w:val="0"/>
        <w:keepLines w:val="0"/>
        <w:pageBreakBefore w:val="0"/>
        <w:widowControl w:val="0"/>
        <w:kinsoku/>
        <w:wordWrap/>
        <w:overflowPunct/>
        <w:topLinePunct/>
        <w:autoSpaceDE/>
        <w:autoSpaceDN/>
        <w:bidi w:val="0"/>
        <w:adjustRightInd/>
        <w:snapToGrid/>
        <w:spacing w:line="560" w:lineRule="exact"/>
        <w:ind w:firstLine="640" w:firstLineChars="200"/>
        <w:jc w:val="both"/>
        <w:textAlignment w:val="auto"/>
        <w:rPr>
          <w:rFonts w:hint="eastAsia" w:ascii="仿宋_GB2312" w:eastAsia="仿宋_GB2312" w:hAnsiTheme="minorHAnsi" w:cstheme="minorBidi"/>
          <w:sz w:val="32"/>
          <w:szCs w:val="32"/>
        </w:rPr>
      </w:pPr>
      <w:r>
        <w:rPr>
          <w:rFonts w:hint="eastAsia" w:ascii="仿宋_GB2312" w:eastAsia="仿宋_GB2312" w:hAnsiTheme="minorHAnsi" w:cstheme="minorBidi"/>
          <w:sz w:val="32"/>
          <w:szCs w:val="32"/>
        </w:rPr>
        <w:t>严格控制投资，确保资金合理使用和资金使用安全；强化资金支付管理、项目成本管理和财务管理制度；加强项目管理，确保项目建设取得更好经济、政治、社会效益。</w:t>
      </w:r>
    </w:p>
    <w:p>
      <w:pPr>
        <w:keepNext w:val="0"/>
        <w:keepLines w:val="0"/>
        <w:pageBreakBefore w:val="0"/>
        <w:widowControl w:val="0"/>
        <w:kinsoku/>
        <w:wordWrap/>
        <w:overflowPunct/>
        <w:topLinePunct/>
        <w:autoSpaceDE/>
        <w:autoSpaceDN/>
        <w:bidi w:val="0"/>
        <w:adjustRightInd/>
        <w:snapToGrid/>
        <w:spacing w:line="560" w:lineRule="exact"/>
        <w:ind w:firstLine="640" w:firstLineChars="200"/>
        <w:jc w:val="both"/>
        <w:textAlignment w:val="auto"/>
        <w:rPr>
          <w:rFonts w:hint="eastAsia" w:ascii="仿宋_GB2312" w:eastAsia="仿宋_GB2312" w:hAnsiTheme="minorHAnsi" w:cstheme="minorBidi"/>
          <w:sz w:val="32"/>
          <w:szCs w:val="32"/>
        </w:rPr>
      </w:pPr>
      <w:r>
        <w:rPr>
          <w:rFonts w:hint="eastAsia" w:ascii="仿宋_GB2312" w:eastAsia="仿宋_GB2312" w:hAnsiTheme="minorHAnsi" w:cstheme="minorBidi"/>
          <w:sz w:val="32"/>
          <w:szCs w:val="32"/>
        </w:rPr>
        <w:t>（二）绩效评价原则、评价指标体系、评价方法。</w:t>
      </w:r>
    </w:p>
    <w:p>
      <w:pPr>
        <w:keepNext w:val="0"/>
        <w:keepLines w:val="0"/>
        <w:pageBreakBefore w:val="0"/>
        <w:widowControl w:val="0"/>
        <w:kinsoku/>
        <w:wordWrap/>
        <w:overflowPunct/>
        <w:topLinePunct/>
        <w:autoSpaceDE/>
        <w:autoSpaceDN/>
        <w:bidi w:val="0"/>
        <w:adjustRightInd/>
        <w:snapToGrid/>
        <w:spacing w:line="560" w:lineRule="exact"/>
        <w:ind w:firstLine="640" w:firstLineChars="200"/>
        <w:jc w:val="both"/>
        <w:textAlignment w:val="auto"/>
        <w:rPr>
          <w:rFonts w:hint="eastAsia" w:ascii="仿宋_GB2312" w:eastAsia="仿宋_GB2312" w:hAnsiTheme="minorHAnsi" w:cstheme="minorBidi"/>
          <w:sz w:val="32"/>
          <w:szCs w:val="32"/>
        </w:rPr>
      </w:pPr>
      <w:r>
        <w:rPr>
          <w:rFonts w:hint="eastAsia" w:ascii="仿宋_GB2312" w:eastAsia="仿宋_GB2312" w:hAnsiTheme="minorHAnsi" w:cstheme="minorBidi"/>
          <w:sz w:val="32"/>
          <w:szCs w:val="32"/>
        </w:rPr>
        <w:t>绩效评价原则：同一尺度、同一标准下，坚持公开、公正、公平的原则。评价工作分定量评价和定性评价两个步骤：定量评价以评价客体提供的相关资料为基础，经过认真审查和核对，测出定量评价结果。</w:t>
      </w:r>
    </w:p>
    <w:p>
      <w:pPr>
        <w:keepNext w:val="0"/>
        <w:keepLines w:val="0"/>
        <w:pageBreakBefore w:val="0"/>
        <w:widowControl w:val="0"/>
        <w:kinsoku/>
        <w:wordWrap/>
        <w:overflowPunct/>
        <w:topLinePunct/>
        <w:autoSpaceDE/>
        <w:autoSpaceDN/>
        <w:bidi w:val="0"/>
        <w:adjustRightInd/>
        <w:snapToGrid/>
        <w:spacing w:line="560" w:lineRule="exact"/>
        <w:ind w:firstLine="640" w:firstLineChars="200"/>
        <w:jc w:val="both"/>
        <w:textAlignment w:val="auto"/>
        <w:rPr>
          <w:rFonts w:hint="eastAsia" w:ascii="仿宋_GB2312" w:hAnsi="Calibri" w:eastAsia="仿宋_GB2312" w:cs="Times New Roman"/>
          <w:sz w:val="32"/>
          <w:szCs w:val="32"/>
          <w:highlight w:val="none"/>
        </w:rPr>
      </w:pPr>
      <w:r>
        <w:rPr>
          <w:rFonts w:hint="eastAsia" w:ascii="仿宋_GB2312" w:hAnsi="Calibri" w:eastAsia="仿宋_GB2312" w:cs="Times New Roman"/>
          <w:sz w:val="32"/>
          <w:szCs w:val="32"/>
          <w:highlight w:val="none"/>
        </w:rPr>
        <w:t>（三）绩效评价工作过程。</w:t>
      </w:r>
    </w:p>
    <w:p>
      <w:pPr>
        <w:keepNext w:val="0"/>
        <w:keepLines w:val="0"/>
        <w:pageBreakBefore w:val="0"/>
        <w:widowControl w:val="0"/>
        <w:kinsoku/>
        <w:wordWrap/>
        <w:overflowPunct/>
        <w:topLinePunct/>
        <w:autoSpaceDE/>
        <w:autoSpaceDN/>
        <w:bidi w:val="0"/>
        <w:adjustRightInd/>
        <w:snapToGrid/>
        <w:spacing w:line="560" w:lineRule="exact"/>
        <w:ind w:firstLine="640" w:firstLineChars="200"/>
        <w:jc w:val="both"/>
        <w:textAlignment w:val="auto"/>
        <w:rPr>
          <w:rFonts w:hint="eastAsia" w:ascii="仿宋_GB2312" w:hAnsi="Calibri" w:eastAsia="仿宋_GB2312" w:cs="Times New Roman"/>
          <w:sz w:val="32"/>
          <w:szCs w:val="32"/>
          <w:highlight w:val="none"/>
        </w:rPr>
      </w:pPr>
      <w:r>
        <w:rPr>
          <w:rFonts w:hint="eastAsia" w:ascii="仿宋_GB2312" w:hAnsi="Calibri" w:eastAsia="仿宋_GB2312" w:cs="Times New Roman"/>
          <w:sz w:val="32"/>
          <w:szCs w:val="32"/>
          <w:highlight w:val="none"/>
        </w:rPr>
        <w:t>1</w:t>
      </w:r>
      <w:r>
        <w:rPr>
          <w:rFonts w:hint="eastAsia" w:ascii="仿宋_GB2312" w:hAnsi="Calibri" w:eastAsia="仿宋_GB2312" w:cs="Times New Roman"/>
          <w:sz w:val="32"/>
          <w:szCs w:val="32"/>
          <w:highlight w:val="none"/>
          <w:lang w:val="en-US" w:eastAsia="zh-CN"/>
        </w:rPr>
        <w:t>.</w:t>
      </w:r>
      <w:r>
        <w:rPr>
          <w:rFonts w:hint="eastAsia" w:ascii="仿宋_GB2312" w:hAnsi="Calibri" w:eastAsia="仿宋_GB2312" w:cs="Times New Roman"/>
          <w:sz w:val="32"/>
          <w:szCs w:val="32"/>
          <w:highlight w:val="none"/>
        </w:rPr>
        <w:t>前期准备：我们于202</w:t>
      </w:r>
      <w:r>
        <w:rPr>
          <w:rFonts w:hint="eastAsia" w:ascii="仿宋_GB2312" w:eastAsia="仿宋_GB2312" w:cs="Times New Roman"/>
          <w:sz w:val="32"/>
          <w:szCs w:val="32"/>
          <w:highlight w:val="none"/>
          <w:lang w:val="en-US" w:eastAsia="zh-CN"/>
        </w:rPr>
        <w:t>6</w:t>
      </w:r>
      <w:r>
        <w:rPr>
          <w:rFonts w:hint="eastAsia" w:ascii="仿宋_GB2312" w:hAnsi="Calibri" w:eastAsia="仿宋_GB2312" w:cs="Times New Roman"/>
          <w:sz w:val="32"/>
          <w:szCs w:val="32"/>
          <w:highlight w:val="none"/>
        </w:rPr>
        <w:t>年</w:t>
      </w:r>
      <w:r>
        <w:rPr>
          <w:rFonts w:hint="eastAsia" w:ascii="仿宋_GB2312" w:hAnsi="Calibri" w:eastAsia="仿宋_GB2312" w:cs="Times New Roman"/>
          <w:sz w:val="32"/>
          <w:szCs w:val="32"/>
          <w:highlight w:val="none"/>
          <w:lang w:val="en-US" w:eastAsia="zh-CN"/>
        </w:rPr>
        <w:t>2</w:t>
      </w:r>
      <w:r>
        <w:rPr>
          <w:rFonts w:hint="eastAsia" w:ascii="仿宋_GB2312" w:hAnsi="Calibri" w:eastAsia="仿宋_GB2312" w:cs="Times New Roman"/>
          <w:sz w:val="32"/>
          <w:szCs w:val="32"/>
          <w:highlight w:val="none"/>
        </w:rPr>
        <w:t>月</w:t>
      </w:r>
      <w:r>
        <w:rPr>
          <w:rFonts w:hint="eastAsia" w:ascii="仿宋_GB2312" w:hAnsi="Calibri" w:eastAsia="仿宋_GB2312" w:cs="Times New Roman"/>
          <w:sz w:val="32"/>
          <w:szCs w:val="32"/>
          <w:highlight w:val="none"/>
          <w:lang w:val="en-US" w:eastAsia="zh-CN"/>
        </w:rPr>
        <w:t>2</w:t>
      </w:r>
      <w:r>
        <w:rPr>
          <w:rFonts w:hint="eastAsia" w:ascii="仿宋_GB2312" w:eastAsia="仿宋_GB2312" w:cs="Times New Roman"/>
          <w:sz w:val="32"/>
          <w:szCs w:val="32"/>
          <w:highlight w:val="none"/>
          <w:lang w:val="en-US" w:eastAsia="zh-CN"/>
        </w:rPr>
        <w:t>8</w:t>
      </w:r>
      <w:r>
        <w:rPr>
          <w:rFonts w:hint="eastAsia" w:ascii="仿宋_GB2312" w:hAnsi="Calibri" w:eastAsia="仿宋_GB2312" w:cs="Times New Roman"/>
          <w:sz w:val="32"/>
          <w:szCs w:val="32"/>
          <w:highlight w:val="none"/>
        </w:rPr>
        <w:t>日收到绩效评价相关文件要求后，单位领导及时做了安排，梳理整体支出基本情况、项目支出情况；确定自评项目，根据项目基本情况收集资料、汇总数据，制定评价方案，制定评价指标体系，完善评价指标体系。</w:t>
      </w:r>
    </w:p>
    <w:p>
      <w:pPr>
        <w:keepNext w:val="0"/>
        <w:keepLines w:val="0"/>
        <w:pageBreakBefore w:val="0"/>
        <w:widowControl w:val="0"/>
        <w:kinsoku/>
        <w:wordWrap/>
        <w:overflowPunct/>
        <w:topLinePunct/>
        <w:autoSpaceDE/>
        <w:autoSpaceDN/>
        <w:bidi w:val="0"/>
        <w:adjustRightInd/>
        <w:snapToGrid/>
        <w:spacing w:line="560" w:lineRule="exact"/>
        <w:ind w:firstLine="640" w:firstLineChars="200"/>
        <w:jc w:val="both"/>
        <w:textAlignment w:val="auto"/>
        <w:rPr>
          <w:rFonts w:hint="eastAsia" w:ascii="仿宋_GB2312" w:hAnsi="Calibri" w:eastAsia="仿宋_GB2312" w:cs="Times New Roman"/>
          <w:sz w:val="32"/>
          <w:szCs w:val="32"/>
          <w:highlight w:val="none"/>
        </w:rPr>
      </w:pPr>
      <w:r>
        <w:rPr>
          <w:rFonts w:hint="eastAsia" w:ascii="仿宋_GB2312" w:hAnsi="Calibri" w:eastAsia="仿宋_GB2312" w:cs="Times New Roman"/>
          <w:sz w:val="32"/>
          <w:szCs w:val="32"/>
          <w:highlight w:val="none"/>
        </w:rPr>
        <w:t>2.组织实施：为使绩效评价工作顺利开展，202</w:t>
      </w:r>
      <w:r>
        <w:rPr>
          <w:rFonts w:hint="eastAsia" w:ascii="仿宋_GB2312" w:eastAsia="仿宋_GB2312" w:cs="Times New Roman"/>
          <w:sz w:val="32"/>
          <w:szCs w:val="32"/>
          <w:highlight w:val="none"/>
          <w:lang w:val="en-US" w:eastAsia="zh-CN"/>
        </w:rPr>
        <w:t>6</w:t>
      </w:r>
      <w:r>
        <w:rPr>
          <w:rFonts w:hint="eastAsia" w:ascii="仿宋_GB2312" w:hAnsi="Calibri" w:eastAsia="仿宋_GB2312" w:cs="Times New Roman"/>
          <w:sz w:val="32"/>
          <w:szCs w:val="32"/>
          <w:highlight w:val="none"/>
        </w:rPr>
        <w:t>年</w:t>
      </w:r>
      <w:r>
        <w:rPr>
          <w:rFonts w:hint="eastAsia" w:ascii="仿宋_GB2312" w:hAnsi="Calibri" w:eastAsia="仿宋_GB2312" w:cs="Times New Roman"/>
          <w:sz w:val="32"/>
          <w:szCs w:val="32"/>
          <w:highlight w:val="none"/>
          <w:lang w:val="en-US" w:eastAsia="zh-CN"/>
        </w:rPr>
        <w:t>3</w:t>
      </w:r>
      <w:r>
        <w:rPr>
          <w:rFonts w:hint="eastAsia" w:ascii="仿宋_GB2312" w:hAnsi="Calibri" w:eastAsia="仿宋_GB2312" w:cs="Times New Roman"/>
          <w:sz w:val="32"/>
          <w:szCs w:val="32"/>
          <w:highlight w:val="none"/>
        </w:rPr>
        <w:t>月</w:t>
      </w:r>
      <w:r>
        <w:rPr>
          <w:rFonts w:hint="eastAsia" w:ascii="仿宋_GB2312" w:eastAsia="仿宋_GB2312" w:cs="Times New Roman"/>
          <w:sz w:val="32"/>
          <w:szCs w:val="32"/>
          <w:highlight w:val="none"/>
          <w:lang w:val="en-US" w:eastAsia="zh-CN"/>
        </w:rPr>
        <w:t>6</w:t>
      </w:r>
      <w:r>
        <w:rPr>
          <w:rFonts w:hint="eastAsia" w:ascii="仿宋_GB2312" w:hAnsi="Calibri" w:eastAsia="仿宋_GB2312" w:cs="Times New Roman"/>
          <w:sz w:val="32"/>
          <w:szCs w:val="32"/>
          <w:highlight w:val="none"/>
        </w:rPr>
        <w:t>日成立由局长任组长的财政支出绩效评价工作领导小组，负责绩效评价的组织和实施工作，负责本次绩效评价工作。</w:t>
      </w:r>
    </w:p>
    <w:p>
      <w:pPr>
        <w:keepNext w:val="0"/>
        <w:keepLines w:val="0"/>
        <w:pageBreakBefore w:val="0"/>
        <w:widowControl w:val="0"/>
        <w:kinsoku/>
        <w:wordWrap/>
        <w:overflowPunct/>
        <w:autoSpaceDE/>
        <w:autoSpaceDN/>
        <w:bidi w:val="0"/>
        <w:adjustRightInd/>
        <w:snapToGrid/>
        <w:spacing w:line="560" w:lineRule="exact"/>
        <w:ind w:firstLine="640" w:firstLineChars="200"/>
        <w:textAlignment w:val="auto"/>
        <w:rPr>
          <w:rFonts w:hint="eastAsia" w:ascii="仿宋_GB2312" w:eastAsia="仿宋_GB2312" w:hAnsiTheme="minorHAnsi" w:cstheme="minorBidi"/>
          <w:sz w:val="32"/>
          <w:szCs w:val="32"/>
          <w:highlight w:val="none"/>
        </w:rPr>
      </w:pPr>
      <w:r>
        <w:rPr>
          <w:rFonts w:hint="eastAsia" w:ascii="仿宋_GB2312" w:hAnsi="Calibri" w:eastAsia="仿宋_GB2312" w:cs="Times New Roman"/>
          <w:sz w:val="32"/>
          <w:szCs w:val="32"/>
          <w:highlight w:val="none"/>
        </w:rPr>
        <w:t>3.分析评价：</w:t>
      </w:r>
      <w:r>
        <w:rPr>
          <w:rFonts w:hint="eastAsia" w:ascii="仿宋_GB2312" w:hAnsi="Calibri" w:eastAsia="仿宋_GB2312" w:cs="Times New Roman"/>
          <w:sz w:val="32"/>
          <w:szCs w:val="32"/>
          <w:highlight w:val="none"/>
          <w:lang w:val="en-US" w:eastAsia="zh-CN"/>
        </w:rPr>
        <w:t>3</w:t>
      </w:r>
      <w:r>
        <w:rPr>
          <w:rFonts w:hint="eastAsia" w:ascii="仿宋_GB2312" w:hAnsi="Calibri" w:eastAsia="仿宋_GB2312" w:cs="Times New Roman"/>
          <w:sz w:val="32"/>
          <w:szCs w:val="32"/>
          <w:highlight w:val="none"/>
        </w:rPr>
        <w:t>月</w:t>
      </w:r>
      <w:r>
        <w:rPr>
          <w:rFonts w:hint="eastAsia" w:ascii="仿宋_GB2312" w:hAnsi="Calibri" w:eastAsia="仿宋_GB2312" w:cs="Times New Roman"/>
          <w:sz w:val="32"/>
          <w:szCs w:val="32"/>
          <w:highlight w:val="none"/>
          <w:lang w:val="en-US" w:eastAsia="zh-CN"/>
        </w:rPr>
        <w:t>6</w:t>
      </w:r>
      <w:r>
        <w:rPr>
          <w:rFonts w:hint="eastAsia" w:ascii="仿宋_GB2312" w:hAnsi="Calibri" w:eastAsia="仿宋_GB2312" w:cs="Times New Roman"/>
          <w:sz w:val="32"/>
          <w:szCs w:val="32"/>
          <w:highlight w:val="none"/>
        </w:rPr>
        <w:t>日至</w:t>
      </w:r>
      <w:r>
        <w:rPr>
          <w:rFonts w:hint="eastAsia" w:ascii="仿宋_GB2312" w:hAnsi="Calibri" w:eastAsia="仿宋_GB2312" w:cs="Times New Roman"/>
          <w:sz w:val="32"/>
          <w:szCs w:val="32"/>
          <w:highlight w:val="none"/>
          <w:lang w:val="en-US" w:eastAsia="zh-CN"/>
        </w:rPr>
        <w:t>3</w:t>
      </w:r>
      <w:r>
        <w:rPr>
          <w:rFonts w:hint="eastAsia" w:ascii="仿宋_GB2312" w:hAnsi="Calibri" w:eastAsia="仿宋_GB2312" w:cs="Times New Roman"/>
          <w:sz w:val="32"/>
          <w:szCs w:val="32"/>
          <w:highlight w:val="none"/>
        </w:rPr>
        <w:t>月</w:t>
      </w:r>
      <w:r>
        <w:rPr>
          <w:rFonts w:hint="eastAsia" w:ascii="仿宋_GB2312" w:hAnsi="Calibri" w:eastAsia="仿宋_GB2312" w:cs="Times New Roman"/>
          <w:sz w:val="32"/>
          <w:szCs w:val="32"/>
          <w:highlight w:val="none"/>
          <w:lang w:val="en-US" w:eastAsia="zh-CN"/>
        </w:rPr>
        <w:t>20</w:t>
      </w:r>
      <w:r>
        <w:rPr>
          <w:rFonts w:hint="eastAsia" w:ascii="仿宋_GB2312" w:hAnsi="Calibri" w:eastAsia="仿宋_GB2312" w:cs="Times New Roman"/>
          <w:sz w:val="32"/>
          <w:szCs w:val="32"/>
          <w:highlight w:val="none"/>
        </w:rPr>
        <w:t>日，各事业单位及各</w:t>
      </w:r>
      <w:r>
        <w:rPr>
          <w:rFonts w:hint="eastAsia" w:ascii="仿宋_GB2312" w:hAnsi="Calibri" w:eastAsia="仿宋_GB2312" w:cs="Times New Roman"/>
          <w:sz w:val="32"/>
          <w:szCs w:val="32"/>
          <w:highlight w:val="none"/>
          <w:lang w:val="en-US" w:eastAsia="zh-CN"/>
        </w:rPr>
        <w:t>科室</w:t>
      </w:r>
      <w:r>
        <w:rPr>
          <w:rFonts w:hint="eastAsia" w:ascii="仿宋_GB2312" w:hAnsi="Calibri" w:eastAsia="仿宋_GB2312" w:cs="Times New Roman"/>
          <w:sz w:val="32"/>
          <w:szCs w:val="32"/>
          <w:highlight w:val="none"/>
        </w:rPr>
        <w:t>先结合要求进行摸底准备，进行单位整体支出绩效及项目支出绩效的自评工作。</w:t>
      </w:r>
      <w:r>
        <w:rPr>
          <w:rFonts w:hint="eastAsia" w:ascii="仿宋_GB2312" w:hAnsi="Calibri" w:eastAsia="仿宋_GB2312" w:cs="Times New Roman"/>
          <w:sz w:val="32"/>
          <w:szCs w:val="32"/>
          <w:highlight w:val="none"/>
          <w:lang w:val="en-US" w:eastAsia="zh-CN"/>
        </w:rPr>
        <w:t>3</w:t>
      </w:r>
      <w:r>
        <w:rPr>
          <w:rFonts w:hint="eastAsia" w:ascii="仿宋_GB2312" w:hAnsi="Calibri" w:eastAsia="仿宋_GB2312" w:cs="Times New Roman"/>
          <w:sz w:val="32"/>
          <w:szCs w:val="32"/>
          <w:highlight w:val="none"/>
        </w:rPr>
        <w:t>月</w:t>
      </w:r>
      <w:r>
        <w:rPr>
          <w:rFonts w:hint="eastAsia" w:ascii="仿宋_GB2312" w:hAnsi="Calibri" w:eastAsia="仿宋_GB2312" w:cs="Times New Roman"/>
          <w:sz w:val="32"/>
          <w:szCs w:val="32"/>
          <w:highlight w:val="none"/>
          <w:lang w:val="en-US" w:eastAsia="zh-CN"/>
        </w:rPr>
        <w:t>21</w:t>
      </w:r>
      <w:r>
        <w:rPr>
          <w:rFonts w:hint="eastAsia" w:ascii="仿宋_GB2312" w:hAnsi="Calibri" w:eastAsia="仿宋_GB2312" w:cs="Times New Roman"/>
          <w:sz w:val="32"/>
          <w:szCs w:val="32"/>
          <w:highlight w:val="none"/>
        </w:rPr>
        <w:t>日局评价小组召开专题会议，集中安排布置本次财政支出评价工作，并提出工作要求，进行核实、分析，对基本支出绩效及项目支出绩效完成情况进行综合分析形成评价结论，于</w:t>
      </w:r>
      <w:r>
        <w:rPr>
          <w:rFonts w:hint="eastAsia" w:ascii="仿宋_GB2312" w:hAnsi="Calibri" w:eastAsia="仿宋_GB2312" w:cs="Times New Roman"/>
          <w:sz w:val="32"/>
          <w:szCs w:val="32"/>
          <w:highlight w:val="none"/>
          <w:lang w:val="en-US" w:eastAsia="zh-CN"/>
        </w:rPr>
        <w:t>3</w:t>
      </w:r>
      <w:r>
        <w:rPr>
          <w:rFonts w:hint="eastAsia" w:ascii="仿宋_GB2312" w:hAnsi="Calibri" w:eastAsia="仿宋_GB2312" w:cs="Times New Roman"/>
          <w:sz w:val="32"/>
          <w:szCs w:val="32"/>
          <w:highlight w:val="none"/>
        </w:rPr>
        <w:t>月</w:t>
      </w:r>
      <w:r>
        <w:rPr>
          <w:rFonts w:hint="eastAsia" w:ascii="仿宋_GB2312" w:hAnsi="Calibri" w:eastAsia="仿宋_GB2312" w:cs="Times New Roman"/>
          <w:sz w:val="32"/>
          <w:szCs w:val="32"/>
          <w:highlight w:val="none"/>
          <w:lang w:val="en-US" w:eastAsia="zh-CN"/>
        </w:rPr>
        <w:t>27</w:t>
      </w:r>
      <w:r>
        <w:rPr>
          <w:rFonts w:hint="eastAsia" w:ascii="仿宋_GB2312" w:hAnsi="Calibri" w:eastAsia="仿宋_GB2312" w:cs="Times New Roman"/>
          <w:sz w:val="32"/>
          <w:szCs w:val="32"/>
          <w:highlight w:val="none"/>
        </w:rPr>
        <w:t>日前上报202</w:t>
      </w:r>
      <w:r>
        <w:rPr>
          <w:rFonts w:hint="eastAsia" w:ascii="仿宋_GB2312" w:eastAsia="仿宋_GB2312" w:cs="Times New Roman"/>
          <w:sz w:val="32"/>
          <w:szCs w:val="32"/>
          <w:highlight w:val="none"/>
          <w:lang w:val="en-US" w:eastAsia="zh-CN"/>
        </w:rPr>
        <w:t>5</w:t>
      </w:r>
      <w:r>
        <w:rPr>
          <w:rFonts w:hint="eastAsia" w:ascii="仿宋_GB2312" w:hAnsi="Calibri" w:eastAsia="仿宋_GB2312" w:cs="Times New Roman"/>
          <w:sz w:val="32"/>
          <w:szCs w:val="32"/>
          <w:highlight w:val="none"/>
        </w:rPr>
        <w:t>年各单位整体支出绩效</w:t>
      </w:r>
      <w:r>
        <w:rPr>
          <w:rFonts w:hint="eastAsia" w:ascii="仿宋_GB2312" w:hAnsi="Calibri" w:eastAsia="仿宋_GB2312" w:cs="Times New Roman"/>
          <w:sz w:val="32"/>
          <w:szCs w:val="32"/>
          <w:highlight w:val="none"/>
          <w:lang w:eastAsia="zh-CN"/>
        </w:rPr>
        <w:t>、</w:t>
      </w:r>
      <w:r>
        <w:rPr>
          <w:rFonts w:hint="eastAsia" w:ascii="仿宋_GB2312" w:hAnsi="Calibri" w:eastAsia="仿宋_GB2312" w:cs="Times New Roman"/>
          <w:sz w:val="32"/>
          <w:szCs w:val="32"/>
          <w:highlight w:val="none"/>
        </w:rPr>
        <w:t>项目支出绩效自评</w:t>
      </w:r>
      <w:r>
        <w:rPr>
          <w:rFonts w:hint="eastAsia" w:ascii="仿宋_GB2312" w:hAnsi="Calibri" w:eastAsia="仿宋_GB2312" w:cs="Times New Roman"/>
          <w:sz w:val="32"/>
          <w:szCs w:val="32"/>
          <w:highlight w:val="none"/>
          <w:lang w:val="en-US" w:eastAsia="zh-CN"/>
        </w:rPr>
        <w:t>报告及项目支出绩效评价报告</w:t>
      </w:r>
      <w:r>
        <w:rPr>
          <w:rFonts w:hint="eastAsia" w:ascii="仿宋_GB2312" w:hAnsi="Calibri" w:eastAsia="仿宋_GB2312" w:cs="Times New Roman"/>
          <w:sz w:val="32"/>
          <w:szCs w:val="32"/>
          <w:highlight w:val="none"/>
          <w:lang w:eastAsia="zh-CN"/>
        </w:rPr>
        <w:t>。</w:t>
      </w:r>
      <w:r>
        <w:rPr>
          <w:rFonts w:hint="eastAsia" w:ascii="仿宋_GB2312" w:hAnsi="Calibri" w:eastAsia="仿宋_GB2312" w:cs="Times New Roman"/>
          <w:sz w:val="32"/>
          <w:szCs w:val="32"/>
          <w:highlight w:val="none"/>
        </w:rPr>
        <w:t xml:space="preserve">   </w:t>
      </w:r>
    </w:p>
    <w:p>
      <w:pPr>
        <w:keepNext w:val="0"/>
        <w:keepLines w:val="0"/>
        <w:pageBreakBefore w:val="0"/>
        <w:widowControl w:val="0"/>
        <w:kinsoku/>
        <w:wordWrap/>
        <w:overflowPunct/>
        <w:topLinePunct/>
        <w:autoSpaceDE/>
        <w:autoSpaceDN/>
        <w:bidi w:val="0"/>
        <w:adjustRightInd/>
        <w:snapToGrid/>
        <w:spacing w:line="560" w:lineRule="exact"/>
        <w:ind w:firstLine="640" w:firstLineChars="200"/>
        <w:jc w:val="both"/>
        <w:textAlignment w:val="auto"/>
        <w:rPr>
          <w:rFonts w:hint="eastAsia" w:ascii="黑体" w:hAnsi="Times New Roman" w:eastAsia="黑体"/>
          <w:sz w:val="32"/>
          <w:szCs w:val="32"/>
          <w:lang w:val="en-US" w:eastAsia="zh-CN"/>
        </w:rPr>
      </w:pPr>
      <w:r>
        <w:rPr>
          <w:rFonts w:hint="eastAsia" w:ascii="黑体" w:hAnsi="Times New Roman" w:eastAsia="黑体"/>
          <w:sz w:val="32"/>
          <w:szCs w:val="32"/>
          <w:lang w:val="en-US" w:eastAsia="zh-CN"/>
        </w:rPr>
        <w:t>四、绩效评价指标分析情况</w:t>
      </w:r>
    </w:p>
    <w:p>
      <w:pPr>
        <w:keepNext w:val="0"/>
        <w:keepLines w:val="0"/>
        <w:pageBreakBefore w:val="0"/>
        <w:widowControl w:val="0"/>
        <w:kinsoku/>
        <w:wordWrap/>
        <w:overflowPunct/>
        <w:topLinePunct/>
        <w:autoSpaceDE/>
        <w:autoSpaceDN/>
        <w:bidi w:val="0"/>
        <w:adjustRightInd/>
        <w:snapToGrid/>
        <w:spacing w:line="560" w:lineRule="exact"/>
        <w:ind w:firstLine="640" w:firstLineChars="200"/>
        <w:jc w:val="both"/>
        <w:textAlignment w:val="auto"/>
        <w:rPr>
          <w:rFonts w:hint="eastAsia" w:ascii="仿宋_GB2312" w:eastAsia="仿宋_GB2312" w:hAnsiTheme="minorHAnsi" w:cstheme="minorBidi"/>
          <w:sz w:val="32"/>
          <w:szCs w:val="32"/>
        </w:rPr>
      </w:pPr>
      <w:r>
        <w:rPr>
          <w:rFonts w:hint="eastAsia" w:ascii="仿宋_GB2312" w:eastAsia="仿宋_GB2312" w:hAnsiTheme="minorHAnsi" w:cstheme="minorBidi"/>
          <w:sz w:val="32"/>
          <w:szCs w:val="32"/>
        </w:rPr>
        <w:t>（一）项目资金情况分析</w:t>
      </w:r>
    </w:p>
    <w:p>
      <w:pPr>
        <w:keepNext w:val="0"/>
        <w:keepLines w:val="0"/>
        <w:pageBreakBefore w:val="0"/>
        <w:widowControl w:val="0"/>
        <w:kinsoku/>
        <w:wordWrap/>
        <w:overflowPunct/>
        <w:autoSpaceDE/>
        <w:autoSpaceDN/>
        <w:bidi w:val="0"/>
        <w:adjustRightInd/>
        <w:snapToGrid/>
        <w:spacing w:line="560" w:lineRule="exact"/>
        <w:ind w:firstLine="640" w:firstLineChars="200"/>
        <w:jc w:val="both"/>
        <w:textAlignment w:val="auto"/>
        <w:outlineLvl w:val="0"/>
        <w:rPr>
          <w:rFonts w:hint="eastAsia" w:ascii="仿宋" w:hAnsi="仿宋" w:eastAsia="仿宋" w:cs="仿宋"/>
          <w:color w:val="auto"/>
          <w:sz w:val="32"/>
          <w:szCs w:val="32"/>
          <w:lang w:val="en-US" w:eastAsia="zh-CN"/>
        </w:rPr>
      </w:pPr>
      <w:r>
        <w:rPr>
          <w:rFonts w:hint="eastAsia" w:ascii="仿宋_GB2312" w:eastAsia="仿宋_GB2312" w:hAnsiTheme="minorHAnsi" w:cstheme="minorBidi"/>
          <w:sz w:val="32"/>
          <w:szCs w:val="32"/>
        </w:rPr>
        <w:t>1.资金到位情况分析：资金为财政支出，</w:t>
      </w:r>
      <w:r>
        <w:rPr>
          <w:rFonts w:hint="eastAsia" w:ascii="仿宋" w:hAnsi="仿宋" w:eastAsia="仿宋" w:cs="仿宋"/>
          <w:color w:val="auto"/>
          <w:sz w:val="32"/>
          <w:szCs w:val="32"/>
          <w:lang w:eastAsia="zh-CN"/>
        </w:rPr>
        <w:t>年初安排预算资金</w:t>
      </w:r>
      <w:r>
        <w:rPr>
          <w:rFonts w:hint="eastAsia" w:ascii="仿宋" w:hAnsi="仿宋" w:eastAsia="仿宋" w:cs="仿宋"/>
          <w:color w:val="auto"/>
          <w:sz w:val="32"/>
          <w:szCs w:val="32"/>
          <w:lang w:val="en-US" w:eastAsia="zh-CN"/>
        </w:rPr>
        <w:t>35万元，</w:t>
      </w:r>
      <w:r>
        <w:rPr>
          <w:rFonts w:hint="eastAsia" w:ascii="仿宋" w:hAnsi="仿宋" w:eastAsia="仿宋" w:cs="仿宋"/>
          <w:color w:val="auto"/>
          <w:sz w:val="32"/>
          <w:szCs w:val="32"/>
          <w:lang w:eastAsia="zh-CN"/>
        </w:rPr>
        <w:t>实际支出</w:t>
      </w:r>
      <w:r>
        <w:rPr>
          <w:rFonts w:hint="eastAsia" w:ascii="仿宋" w:hAnsi="仿宋" w:eastAsia="仿宋" w:cs="仿宋"/>
          <w:color w:val="auto"/>
          <w:sz w:val="32"/>
          <w:szCs w:val="32"/>
          <w:lang w:val="en-US" w:eastAsia="zh-CN"/>
        </w:rPr>
        <w:t>24.4544万元。</w:t>
      </w:r>
    </w:p>
    <w:p>
      <w:pPr>
        <w:keepNext w:val="0"/>
        <w:keepLines w:val="0"/>
        <w:pageBreakBefore w:val="0"/>
        <w:widowControl w:val="0"/>
        <w:kinsoku/>
        <w:wordWrap/>
        <w:overflowPunct/>
        <w:topLinePunct/>
        <w:autoSpaceDE/>
        <w:autoSpaceDN/>
        <w:bidi w:val="0"/>
        <w:adjustRightInd/>
        <w:snapToGrid/>
        <w:spacing w:line="560" w:lineRule="exact"/>
        <w:ind w:firstLine="640" w:firstLineChars="200"/>
        <w:jc w:val="both"/>
        <w:textAlignment w:val="auto"/>
        <w:rPr>
          <w:rFonts w:hint="eastAsia" w:ascii="仿宋_GB2312" w:eastAsia="仿宋_GB2312" w:hAnsiTheme="minorHAnsi" w:cstheme="minorBidi"/>
          <w:sz w:val="32"/>
          <w:szCs w:val="32"/>
        </w:rPr>
      </w:pPr>
      <w:r>
        <w:rPr>
          <w:rFonts w:hint="eastAsia" w:ascii="仿宋_GB2312" w:eastAsia="仿宋_GB2312" w:hAnsiTheme="minorHAnsi" w:cstheme="minorBidi"/>
          <w:sz w:val="32"/>
          <w:szCs w:val="32"/>
        </w:rPr>
        <w:t>2.项目资金使用情况分析：20</w:t>
      </w:r>
      <w:r>
        <w:rPr>
          <w:rFonts w:hint="eastAsia" w:ascii="仿宋_GB2312" w:eastAsia="仿宋_GB2312" w:hAnsiTheme="minorHAnsi" w:cstheme="minorBidi"/>
          <w:sz w:val="32"/>
          <w:szCs w:val="32"/>
          <w:lang w:val="en-US" w:eastAsia="zh-CN"/>
        </w:rPr>
        <w:t>25</w:t>
      </w:r>
      <w:r>
        <w:rPr>
          <w:rFonts w:hint="eastAsia" w:ascii="仿宋_GB2312" w:eastAsia="仿宋_GB2312" w:hAnsiTheme="minorHAnsi" w:cstheme="minorBidi"/>
          <w:sz w:val="32"/>
          <w:szCs w:val="32"/>
        </w:rPr>
        <w:t>年支出资金</w:t>
      </w:r>
      <w:r>
        <w:rPr>
          <w:rFonts w:hint="eastAsia" w:ascii="仿宋_GB2312" w:eastAsia="仿宋_GB2312" w:hAnsiTheme="minorHAnsi" w:cstheme="minorBidi"/>
          <w:sz w:val="32"/>
          <w:szCs w:val="32"/>
          <w:lang w:val="en-US" w:eastAsia="zh-CN"/>
        </w:rPr>
        <w:t>24.4544</w:t>
      </w:r>
      <w:r>
        <w:rPr>
          <w:rFonts w:hint="eastAsia" w:ascii="仿宋_GB2312" w:eastAsia="仿宋_GB2312" w:hAnsiTheme="minorHAnsi" w:cstheme="minorBidi"/>
          <w:sz w:val="32"/>
          <w:szCs w:val="32"/>
        </w:rPr>
        <w:t>万元，主要为</w:t>
      </w:r>
      <w:r>
        <w:rPr>
          <w:rFonts w:hint="eastAsia" w:ascii="仿宋_GB2312" w:eastAsia="仿宋_GB2312" w:hAnsiTheme="minorHAnsi" w:cstheme="minorBidi"/>
          <w:sz w:val="32"/>
          <w:szCs w:val="32"/>
          <w:lang w:eastAsia="zh-CN"/>
        </w:rPr>
        <w:t>支付</w:t>
      </w:r>
      <w:r>
        <w:rPr>
          <w:rFonts w:hint="eastAsia" w:ascii="仿宋_GB2312" w:eastAsia="仿宋_GB2312" w:hAnsiTheme="minorHAnsi" w:cstheme="minorBidi"/>
          <w:sz w:val="32"/>
          <w:szCs w:val="32"/>
        </w:rPr>
        <w:t>完善土地手续所需</w:t>
      </w:r>
      <w:r>
        <w:rPr>
          <w:rFonts w:hint="eastAsia" w:ascii="仿宋_GB2312" w:eastAsia="仿宋_GB2312" w:hAnsiTheme="minorHAnsi" w:cstheme="minorBidi"/>
          <w:sz w:val="32"/>
          <w:szCs w:val="32"/>
          <w:lang w:eastAsia="zh-CN"/>
        </w:rPr>
        <w:t>费用</w:t>
      </w:r>
      <w:r>
        <w:rPr>
          <w:rFonts w:hint="eastAsia" w:ascii="仿宋_GB2312" w:eastAsia="仿宋_GB2312" w:hAnsiTheme="minorHAnsi" w:cstheme="minorBidi"/>
          <w:sz w:val="32"/>
          <w:szCs w:val="32"/>
        </w:rPr>
        <w:t>。</w:t>
      </w:r>
    </w:p>
    <w:p>
      <w:pPr>
        <w:keepNext w:val="0"/>
        <w:keepLines w:val="0"/>
        <w:pageBreakBefore w:val="0"/>
        <w:widowControl w:val="0"/>
        <w:kinsoku/>
        <w:wordWrap/>
        <w:overflowPunct/>
        <w:topLinePunct/>
        <w:autoSpaceDE/>
        <w:autoSpaceDN/>
        <w:bidi w:val="0"/>
        <w:adjustRightInd/>
        <w:snapToGrid/>
        <w:spacing w:line="560" w:lineRule="exact"/>
        <w:ind w:firstLine="640" w:firstLineChars="200"/>
        <w:jc w:val="both"/>
        <w:textAlignment w:val="auto"/>
        <w:rPr>
          <w:rFonts w:hint="eastAsia" w:ascii="仿宋_GB2312" w:eastAsia="仿宋_GB2312" w:hAnsiTheme="minorHAnsi" w:cstheme="minorBidi"/>
          <w:sz w:val="32"/>
          <w:szCs w:val="32"/>
        </w:rPr>
      </w:pPr>
      <w:r>
        <w:rPr>
          <w:rFonts w:hint="eastAsia" w:ascii="仿宋_GB2312" w:eastAsia="仿宋_GB2312" w:hAnsiTheme="minorHAnsi" w:cstheme="minorBidi"/>
          <w:sz w:val="32"/>
          <w:szCs w:val="32"/>
          <w:lang w:val="en-US" w:eastAsia="zh-CN"/>
        </w:rPr>
        <w:t>3.</w:t>
      </w:r>
      <w:r>
        <w:rPr>
          <w:rFonts w:hint="eastAsia" w:ascii="仿宋_GB2312" w:eastAsia="仿宋_GB2312" w:hAnsiTheme="minorHAnsi" w:cstheme="minorBidi"/>
          <w:sz w:val="32"/>
          <w:szCs w:val="32"/>
        </w:rPr>
        <w:t>项目资金管理情况</w:t>
      </w:r>
      <w:r>
        <w:rPr>
          <w:rFonts w:hint="eastAsia" w:ascii="仿宋_GB2312" w:eastAsia="仿宋_GB2312" w:hAnsiTheme="minorHAnsi" w:cstheme="minorBidi"/>
          <w:sz w:val="32"/>
          <w:szCs w:val="32"/>
          <w:lang w:eastAsia="zh-CN"/>
        </w:rPr>
        <w:t>分析</w:t>
      </w:r>
      <w:r>
        <w:rPr>
          <w:rFonts w:hint="eastAsia" w:ascii="仿宋_GB2312" w:eastAsia="仿宋_GB2312" w:hAnsiTheme="minorHAnsi" w:cstheme="minorBidi"/>
          <w:sz w:val="32"/>
          <w:szCs w:val="32"/>
        </w:rPr>
        <w:t>：</w:t>
      </w:r>
      <w:r>
        <w:rPr>
          <w:rFonts w:hint="eastAsia" w:ascii="仿宋_GB2312" w:eastAsia="仿宋_GB2312" w:hAnsiTheme="minorHAnsi" w:cstheme="minorBidi"/>
          <w:sz w:val="32"/>
          <w:szCs w:val="32"/>
          <w:lang w:val="en-US" w:eastAsia="zh-CN"/>
        </w:rPr>
        <w:t>按政府投资项目相关规定进行管理。项目单独建账核算，资金支付时严格审批程序，核算规范，准确反映各项业务收支活动。资金支付严格执行合同条款，项目资金拨付及时，无截留、挤占、挪用、虚列资金现象，确保专款专用。</w:t>
      </w:r>
    </w:p>
    <w:p>
      <w:pPr>
        <w:keepNext w:val="0"/>
        <w:keepLines w:val="0"/>
        <w:pageBreakBefore w:val="0"/>
        <w:widowControl w:val="0"/>
        <w:kinsoku/>
        <w:wordWrap/>
        <w:overflowPunct/>
        <w:topLinePunct/>
        <w:autoSpaceDE/>
        <w:autoSpaceDN/>
        <w:bidi w:val="0"/>
        <w:adjustRightInd/>
        <w:snapToGrid/>
        <w:spacing w:line="560" w:lineRule="exact"/>
        <w:ind w:firstLine="640" w:firstLineChars="200"/>
        <w:jc w:val="both"/>
        <w:textAlignment w:val="auto"/>
        <w:rPr>
          <w:rFonts w:hint="eastAsia" w:ascii="仿宋_GB2312" w:eastAsia="仿宋_GB2312" w:hAnsiTheme="minorHAnsi" w:cstheme="minorBidi"/>
          <w:sz w:val="32"/>
          <w:szCs w:val="32"/>
        </w:rPr>
      </w:pPr>
      <w:r>
        <w:rPr>
          <w:rFonts w:hint="eastAsia" w:ascii="仿宋_GB2312" w:eastAsia="仿宋_GB2312" w:hAnsiTheme="minorHAnsi" w:cstheme="minorBidi"/>
          <w:sz w:val="32"/>
          <w:szCs w:val="32"/>
        </w:rPr>
        <w:t>（二）项目实施情况分析。</w:t>
      </w:r>
    </w:p>
    <w:p>
      <w:pPr>
        <w:keepNext w:val="0"/>
        <w:keepLines w:val="0"/>
        <w:pageBreakBefore w:val="0"/>
        <w:widowControl w:val="0"/>
        <w:kinsoku/>
        <w:wordWrap/>
        <w:overflowPunct/>
        <w:topLinePunct/>
        <w:autoSpaceDE/>
        <w:autoSpaceDN/>
        <w:bidi w:val="0"/>
        <w:adjustRightInd/>
        <w:snapToGrid/>
        <w:spacing w:line="560" w:lineRule="exact"/>
        <w:ind w:firstLine="640" w:firstLineChars="200"/>
        <w:jc w:val="both"/>
        <w:textAlignment w:val="auto"/>
        <w:rPr>
          <w:rFonts w:hint="eastAsia" w:ascii="仿宋" w:hAnsi="仿宋" w:eastAsia="仿宋" w:cs="仿宋"/>
          <w:color w:val="auto"/>
          <w:sz w:val="32"/>
          <w:szCs w:val="32"/>
          <w:lang w:eastAsia="zh-CN"/>
        </w:rPr>
      </w:pPr>
      <w:r>
        <w:rPr>
          <w:rFonts w:hint="eastAsia" w:ascii="仿宋_GB2312" w:eastAsia="仿宋_GB2312" w:hAnsiTheme="minorHAnsi" w:cstheme="minorBidi"/>
          <w:sz w:val="32"/>
          <w:szCs w:val="32"/>
          <w:lang w:val="en-US" w:eastAsia="zh-CN"/>
        </w:rPr>
        <w:t>1.</w:t>
      </w:r>
      <w:r>
        <w:rPr>
          <w:rFonts w:hint="eastAsia" w:ascii="仿宋_GB2312" w:eastAsia="仿宋_GB2312" w:hAnsiTheme="minorHAnsi" w:cstheme="minorBidi"/>
          <w:sz w:val="32"/>
          <w:szCs w:val="32"/>
        </w:rPr>
        <w:t>项目组织情况分析：按照区政府《关于2015年道路建设和2015年道路综合整治工作责任分解的通知》（呈新综办通〔2015〕107号）的的要求，我局负责呈贡67号路（呈荣大道）建设工作。至今，我局于2015年6月取得《关于同意呈贡67号市政道路建设项目开展前期工作的函》（呈发改函〔2015〕10号）；2015年12月取得《关于呈贡67（呈荣大道）市政道路建设项目可行性研究报告的批复》（呈发改复〔2015〕35号）；2016年3月取得《昆明市呈贡区水务局关于准予呈贡67（呈荣大道）市政道路建设项目水土保持方案的行政许可决定书》（呈水许可准〔2016〕2号）；2016年4月取得《关于对&lt;呈贡67号（呈荣大道）市政道路建设环境影响报告书&gt;的批复》（呈环保复〔2016〕17号）；2016年取得《关于呈贡67号呈荣大道市政道路建设项目初步设计的批复》（呈新管复〔2016〕10号）。目前已支付征地费2000万元，前期手续、报建、办证支付250万元。2018年计划投资7000万元。该市政道路建设项目已按原计划于2019年4月通车，并于2019年5月组织竣工验收，2019 年12月完成审计工作</w:t>
      </w:r>
      <w:r>
        <w:rPr>
          <w:rFonts w:hint="eastAsia" w:ascii="仿宋_GB2312" w:eastAsia="仿宋_GB2312" w:hAnsiTheme="minorHAnsi" w:cstheme="minorBidi"/>
          <w:sz w:val="32"/>
          <w:szCs w:val="32"/>
          <w:lang w:eastAsia="zh-CN"/>
        </w:rPr>
        <w:t>，</w:t>
      </w:r>
      <w:r>
        <w:rPr>
          <w:rFonts w:hint="eastAsia" w:ascii="仿宋" w:hAnsi="仿宋" w:eastAsia="仿宋" w:cs="仿宋"/>
          <w:color w:val="auto"/>
          <w:sz w:val="32"/>
          <w:szCs w:val="32"/>
          <w:lang w:eastAsia="zh-CN"/>
        </w:rPr>
        <w:t>已取得城市建设农用地转用及土地征收批复，正在办理供地手续。</w:t>
      </w:r>
    </w:p>
    <w:p>
      <w:pPr>
        <w:keepNext w:val="0"/>
        <w:keepLines w:val="0"/>
        <w:pageBreakBefore w:val="0"/>
        <w:widowControl w:val="0"/>
        <w:kinsoku/>
        <w:wordWrap/>
        <w:overflowPunct/>
        <w:topLinePunct/>
        <w:autoSpaceDE/>
        <w:autoSpaceDN/>
        <w:bidi w:val="0"/>
        <w:adjustRightInd/>
        <w:snapToGrid/>
        <w:spacing w:line="560" w:lineRule="exact"/>
        <w:ind w:firstLine="640" w:firstLineChars="200"/>
        <w:jc w:val="both"/>
        <w:textAlignment w:val="auto"/>
        <w:rPr>
          <w:rFonts w:hint="eastAsia" w:ascii="仿宋_GB2312" w:eastAsia="仿宋_GB2312" w:hAnsiTheme="minorHAnsi" w:cstheme="minorBidi"/>
          <w:sz w:val="32"/>
          <w:szCs w:val="32"/>
        </w:rPr>
      </w:pPr>
      <w:r>
        <w:rPr>
          <w:rFonts w:hint="eastAsia" w:ascii="仿宋_GB2312" w:eastAsia="仿宋_GB2312" w:hAnsiTheme="minorHAnsi" w:cstheme="minorBidi"/>
          <w:sz w:val="32"/>
          <w:szCs w:val="32"/>
          <w:lang w:val="en-US" w:eastAsia="zh-CN"/>
        </w:rPr>
        <w:t>2.</w:t>
      </w:r>
      <w:r>
        <w:rPr>
          <w:rFonts w:hint="eastAsia" w:ascii="仿宋_GB2312" w:eastAsia="仿宋_GB2312" w:hAnsiTheme="minorHAnsi" w:cstheme="minorBidi"/>
          <w:sz w:val="32"/>
          <w:szCs w:val="32"/>
        </w:rPr>
        <w:t>项目管理情况分析：住建局成立了以张毅副局长为组长的领导小组，成员有：王彦春（现场管理、协调）、杨泽林（工程资料管理）、傅红惠（工程资金的财务管理）。确定项目负责人，统一组织协调本项目建设；负责起草计划、总结，会议纪要等文书和档案管理；组织完善各类审批事项及手续，及时协调解决工作中出现的问题。</w:t>
      </w:r>
    </w:p>
    <w:p>
      <w:pPr>
        <w:keepNext w:val="0"/>
        <w:keepLines w:val="0"/>
        <w:pageBreakBefore w:val="0"/>
        <w:widowControl w:val="0"/>
        <w:kinsoku/>
        <w:wordWrap/>
        <w:overflowPunct/>
        <w:topLinePunct/>
        <w:autoSpaceDE/>
        <w:autoSpaceDN/>
        <w:bidi w:val="0"/>
        <w:adjustRightInd/>
        <w:snapToGrid/>
        <w:spacing w:line="560" w:lineRule="exact"/>
        <w:ind w:firstLine="640" w:firstLineChars="200"/>
        <w:jc w:val="both"/>
        <w:textAlignment w:val="auto"/>
        <w:rPr>
          <w:rFonts w:hint="eastAsia" w:ascii="仿宋_GB2312" w:eastAsia="仿宋_GB2312" w:hAnsiTheme="minorHAnsi" w:cstheme="minorBidi"/>
          <w:sz w:val="32"/>
          <w:szCs w:val="32"/>
        </w:rPr>
      </w:pPr>
      <w:r>
        <w:rPr>
          <w:rFonts w:hint="eastAsia" w:ascii="仿宋_GB2312" w:eastAsia="仿宋_GB2312" w:hAnsiTheme="minorHAnsi" w:cstheme="minorBidi"/>
          <w:sz w:val="32"/>
          <w:szCs w:val="32"/>
        </w:rPr>
        <w:t>（三）项目绩效情况分析</w:t>
      </w:r>
    </w:p>
    <w:p>
      <w:pPr>
        <w:keepNext w:val="0"/>
        <w:keepLines w:val="0"/>
        <w:pageBreakBefore w:val="0"/>
        <w:widowControl w:val="0"/>
        <w:kinsoku/>
        <w:wordWrap/>
        <w:overflowPunct/>
        <w:topLinePunct/>
        <w:autoSpaceDE/>
        <w:autoSpaceDN/>
        <w:bidi w:val="0"/>
        <w:adjustRightInd/>
        <w:snapToGrid/>
        <w:spacing w:line="560" w:lineRule="exact"/>
        <w:ind w:firstLine="640" w:firstLineChars="200"/>
        <w:jc w:val="both"/>
        <w:textAlignment w:val="auto"/>
        <w:rPr>
          <w:rFonts w:hint="eastAsia" w:ascii="仿宋_GB2312" w:eastAsia="仿宋_GB2312" w:hAnsiTheme="minorHAnsi" w:cstheme="minorBidi"/>
          <w:sz w:val="32"/>
          <w:szCs w:val="32"/>
        </w:rPr>
      </w:pPr>
      <w:r>
        <w:rPr>
          <w:rFonts w:hint="eastAsia" w:ascii="仿宋_GB2312" w:eastAsia="仿宋_GB2312" w:hAnsiTheme="minorHAnsi" w:cstheme="minorBidi"/>
          <w:sz w:val="32"/>
          <w:szCs w:val="32"/>
        </w:rPr>
        <w:t>1.项目经济性分析：通过项目招投标选择了设计和监理单位，并通过招投标的方式选择造价咨询服务单位进行成本核算，控制项目成本，节约资金。</w:t>
      </w:r>
    </w:p>
    <w:p>
      <w:pPr>
        <w:keepNext w:val="0"/>
        <w:keepLines w:val="0"/>
        <w:pageBreakBefore w:val="0"/>
        <w:widowControl w:val="0"/>
        <w:kinsoku/>
        <w:wordWrap/>
        <w:overflowPunct/>
        <w:topLinePunct/>
        <w:autoSpaceDE/>
        <w:autoSpaceDN/>
        <w:bidi w:val="0"/>
        <w:adjustRightInd/>
        <w:snapToGrid/>
        <w:spacing w:line="560" w:lineRule="exact"/>
        <w:ind w:firstLine="640" w:firstLineChars="200"/>
        <w:jc w:val="both"/>
        <w:textAlignment w:val="auto"/>
        <w:rPr>
          <w:rFonts w:hint="eastAsia" w:ascii="仿宋_GB2312" w:eastAsia="仿宋_GB2312" w:hAnsiTheme="minorHAnsi" w:cstheme="minorBidi"/>
          <w:sz w:val="32"/>
          <w:szCs w:val="32"/>
        </w:rPr>
      </w:pPr>
      <w:r>
        <w:rPr>
          <w:rFonts w:hint="eastAsia" w:ascii="仿宋_GB2312" w:eastAsia="仿宋_GB2312" w:hAnsiTheme="minorHAnsi" w:cstheme="minorBidi"/>
          <w:sz w:val="32"/>
          <w:szCs w:val="32"/>
        </w:rPr>
        <w:t>2.项目的效率性分析：67号路现已竣工验收</w:t>
      </w:r>
      <w:r>
        <w:rPr>
          <w:rFonts w:hint="eastAsia" w:ascii="仿宋_GB2312" w:eastAsia="仿宋_GB2312" w:hAnsiTheme="minorHAnsi" w:cstheme="minorBidi"/>
          <w:sz w:val="32"/>
          <w:szCs w:val="32"/>
          <w:lang w:eastAsia="zh-CN"/>
        </w:rPr>
        <w:t>，已完成政府审计，已投入使用</w:t>
      </w:r>
      <w:r>
        <w:rPr>
          <w:rFonts w:hint="eastAsia" w:ascii="仿宋_GB2312" w:eastAsia="仿宋_GB2312" w:hAnsiTheme="minorHAnsi" w:cstheme="minorBidi"/>
          <w:sz w:val="32"/>
          <w:szCs w:val="32"/>
        </w:rPr>
        <w:t>。</w:t>
      </w:r>
    </w:p>
    <w:p>
      <w:pPr>
        <w:keepNext w:val="0"/>
        <w:keepLines w:val="0"/>
        <w:pageBreakBefore w:val="0"/>
        <w:widowControl w:val="0"/>
        <w:kinsoku/>
        <w:wordWrap/>
        <w:overflowPunct/>
        <w:topLinePunct/>
        <w:autoSpaceDE/>
        <w:autoSpaceDN/>
        <w:bidi w:val="0"/>
        <w:adjustRightInd/>
        <w:snapToGrid/>
        <w:spacing w:line="560" w:lineRule="exact"/>
        <w:ind w:firstLine="640" w:firstLineChars="200"/>
        <w:jc w:val="both"/>
        <w:textAlignment w:val="auto"/>
        <w:rPr>
          <w:rFonts w:hint="eastAsia" w:ascii="仿宋_GB2312" w:eastAsia="仿宋_GB2312" w:hAnsiTheme="minorHAnsi" w:cstheme="minorBidi"/>
          <w:sz w:val="32"/>
          <w:szCs w:val="32"/>
        </w:rPr>
      </w:pPr>
      <w:r>
        <w:rPr>
          <w:rFonts w:hint="eastAsia" w:ascii="仿宋_GB2312" w:eastAsia="仿宋_GB2312" w:hAnsiTheme="minorHAnsi" w:cstheme="minorBidi"/>
          <w:sz w:val="32"/>
          <w:szCs w:val="32"/>
        </w:rPr>
        <w:t>3.项目的效益性分析：项目预期目标完成情况良好，已按原计划于2019年4月试通车并于2019年5月竣工验收，2019年12月完成审计工作。项目建成将有利于营造良好的交通环境和人居环境，促进区域经济的发展。项目建设将最大程度的满足片区交通量的需求，改善片区生活配套，提升区域价值，将构建良好的道路生态廊道，能够较好的实现局部区域之间能源流、信息流的交流，有利于营造良好的交通环境和人居环境，促进区域经济发展，项目建设具有良好的社会效益和经济效益。</w:t>
      </w:r>
    </w:p>
    <w:p>
      <w:pPr>
        <w:keepNext w:val="0"/>
        <w:keepLines w:val="0"/>
        <w:pageBreakBefore w:val="0"/>
        <w:widowControl w:val="0"/>
        <w:kinsoku/>
        <w:wordWrap/>
        <w:overflowPunct/>
        <w:topLinePunct/>
        <w:autoSpaceDE/>
        <w:autoSpaceDN/>
        <w:bidi w:val="0"/>
        <w:adjustRightInd/>
        <w:snapToGrid/>
        <w:spacing w:line="560" w:lineRule="exact"/>
        <w:ind w:firstLine="640" w:firstLineChars="200"/>
        <w:jc w:val="both"/>
        <w:textAlignment w:val="auto"/>
        <w:rPr>
          <w:rFonts w:hint="eastAsia" w:ascii="黑体" w:hAnsi="Times New Roman" w:eastAsia="黑体"/>
          <w:sz w:val="32"/>
          <w:szCs w:val="32"/>
          <w:lang w:val="en-US" w:eastAsia="zh-CN"/>
        </w:rPr>
      </w:pPr>
      <w:r>
        <w:rPr>
          <w:rFonts w:hint="eastAsia" w:ascii="黑体" w:hAnsi="Times New Roman" w:eastAsia="黑体"/>
          <w:sz w:val="32"/>
          <w:szCs w:val="32"/>
          <w:lang w:val="en-US" w:eastAsia="zh-CN"/>
        </w:rPr>
        <w:t>五、综合评价情况及评价结论</w:t>
      </w:r>
    </w:p>
    <w:p>
      <w:pPr>
        <w:keepNext w:val="0"/>
        <w:keepLines w:val="0"/>
        <w:pageBreakBefore w:val="0"/>
        <w:widowControl w:val="0"/>
        <w:kinsoku/>
        <w:wordWrap/>
        <w:overflowPunct/>
        <w:topLinePunct/>
        <w:autoSpaceDE/>
        <w:autoSpaceDN/>
        <w:bidi w:val="0"/>
        <w:adjustRightInd/>
        <w:snapToGrid/>
        <w:spacing w:line="560" w:lineRule="exact"/>
        <w:ind w:firstLine="640" w:firstLineChars="200"/>
        <w:jc w:val="both"/>
        <w:textAlignment w:val="auto"/>
        <w:rPr>
          <w:rFonts w:hint="eastAsia" w:ascii="仿宋_GB2312" w:eastAsia="仿宋_GB2312" w:hAnsiTheme="minorHAnsi" w:cstheme="minorBidi"/>
          <w:sz w:val="32"/>
          <w:szCs w:val="32"/>
        </w:rPr>
      </w:pPr>
      <w:r>
        <w:rPr>
          <w:rFonts w:hint="eastAsia" w:ascii="仿宋_GB2312" w:eastAsia="仿宋_GB2312" w:hAnsiTheme="minorHAnsi" w:cstheme="minorBidi"/>
          <w:sz w:val="32"/>
          <w:szCs w:val="32"/>
        </w:rPr>
        <w:t>经按“财政支出绩效评价指标体系”进行综合评价，本项目综合得分9</w:t>
      </w:r>
      <w:r>
        <w:rPr>
          <w:rFonts w:hint="eastAsia" w:ascii="仿宋_GB2312" w:eastAsia="仿宋_GB2312" w:hAnsiTheme="minorHAnsi" w:cstheme="minorBidi"/>
          <w:sz w:val="32"/>
          <w:szCs w:val="32"/>
          <w:lang w:val="en-US" w:eastAsia="zh-CN"/>
        </w:rPr>
        <w:t>4</w:t>
      </w:r>
      <w:r>
        <w:rPr>
          <w:rFonts w:hint="eastAsia" w:ascii="仿宋_GB2312" w:eastAsia="仿宋_GB2312" w:hAnsiTheme="minorHAnsi" w:cstheme="minorBidi"/>
          <w:sz w:val="32"/>
          <w:szCs w:val="32"/>
        </w:rPr>
        <w:t>分，评价等次为“优”。各项评分结果见“项目支出绩效自评指标评分表”。</w:t>
      </w:r>
    </w:p>
    <w:p>
      <w:pPr>
        <w:keepNext w:val="0"/>
        <w:keepLines w:val="0"/>
        <w:pageBreakBefore w:val="0"/>
        <w:widowControl w:val="0"/>
        <w:kinsoku/>
        <w:wordWrap/>
        <w:overflowPunct/>
        <w:topLinePunct/>
        <w:autoSpaceDE/>
        <w:autoSpaceDN/>
        <w:bidi w:val="0"/>
        <w:adjustRightInd/>
        <w:snapToGrid/>
        <w:spacing w:line="560" w:lineRule="exact"/>
        <w:ind w:firstLine="640" w:firstLineChars="200"/>
        <w:jc w:val="both"/>
        <w:textAlignment w:val="auto"/>
        <w:rPr>
          <w:rFonts w:hint="eastAsia" w:ascii="黑体" w:hAnsi="Times New Roman" w:eastAsia="黑体"/>
          <w:sz w:val="32"/>
          <w:szCs w:val="32"/>
          <w:lang w:val="en-US" w:eastAsia="zh-CN"/>
        </w:rPr>
      </w:pPr>
      <w:r>
        <w:rPr>
          <w:rFonts w:hint="eastAsia" w:ascii="黑体" w:hAnsi="Times New Roman" w:eastAsia="黑体"/>
          <w:sz w:val="32"/>
          <w:szCs w:val="32"/>
          <w:lang w:val="en-US" w:eastAsia="zh-CN"/>
        </w:rPr>
        <w:t>六、绩效评价结果应用建议</w:t>
      </w:r>
    </w:p>
    <w:p>
      <w:pPr>
        <w:keepNext w:val="0"/>
        <w:keepLines w:val="0"/>
        <w:pageBreakBefore w:val="0"/>
        <w:widowControl w:val="0"/>
        <w:kinsoku/>
        <w:wordWrap/>
        <w:overflowPunct/>
        <w:topLinePunct/>
        <w:autoSpaceDE/>
        <w:autoSpaceDN/>
        <w:bidi w:val="0"/>
        <w:adjustRightInd/>
        <w:snapToGrid/>
        <w:spacing w:line="560" w:lineRule="exact"/>
        <w:ind w:firstLine="640" w:firstLineChars="200"/>
        <w:jc w:val="both"/>
        <w:textAlignment w:val="auto"/>
        <w:rPr>
          <w:rFonts w:hint="eastAsia" w:ascii="仿宋_GB2312" w:eastAsia="仿宋_GB2312" w:hAnsiTheme="minorHAnsi" w:cstheme="minorBidi"/>
          <w:sz w:val="32"/>
          <w:szCs w:val="32"/>
        </w:rPr>
      </w:pPr>
      <w:r>
        <w:rPr>
          <w:rFonts w:hint="eastAsia" w:ascii="仿宋_GB2312" w:eastAsia="仿宋_GB2312" w:hAnsiTheme="minorHAnsi" w:cstheme="minorBidi"/>
          <w:sz w:val="32"/>
          <w:szCs w:val="32"/>
        </w:rPr>
        <w:t>以后年度预算资金安排的依据、评价结果应在中共•呈贡网站上公开，促进项目管理、单位管理。</w:t>
      </w:r>
    </w:p>
    <w:p>
      <w:pPr>
        <w:keepNext w:val="0"/>
        <w:keepLines w:val="0"/>
        <w:pageBreakBefore w:val="0"/>
        <w:widowControl w:val="0"/>
        <w:kinsoku/>
        <w:wordWrap/>
        <w:overflowPunct/>
        <w:topLinePunct/>
        <w:autoSpaceDE/>
        <w:autoSpaceDN/>
        <w:bidi w:val="0"/>
        <w:adjustRightInd/>
        <w:snapToGrid/>
        <w:spacing w:line="560" w:lineRule="exact"/>
        <w:ind w:firstLine="640" w:firstLineChars="200"/>
        <w:jc w:val="both"/>
        <w:textAlignment w:val="auto"/>
        <w:rPr>
          <w:rFonts w:hint="eastAsia" w:ascii="黑体" w:hAnsi="Times New Roman" w:eastAsia="黑体"/>
          <w:sz w:val="32"/>
          <w:szCs w:val="32"/>
          <w:lang w:val="en-US" w:eastAsia="zh-CN"/>
        </w:rPr>
      </w:pPr>
      <w:r>
        <w:rPr>
          <w:rFonts w:hint="eastAsia" w:ascii="黑体" w:hAnsi="Times New Roman" w:eastAsia="黑体"/>
          <w:sz w:val="32"/>
          <w:szCs w:val="32"/>
          <w:lang w:val="en-US" w:eastAsia="zh-CN"/>
        </w:rPr>
        <w:t>七、主要经验及做法、存在的问题和建议</w:t>
      </w:r>
    </w:p>
    <w:p>
      <w:pPr>
        <w:keepNext w:val="0"/>
        <w:keepLines w:val="0"/>
        <w:pageBreakBefore w:val="0"/>
        <w:widowControl w:val="0"/>
        <w:kinsoku/>
        <w:wordWrap/>
        <w:overflowPunct/>
        <w:topLinePunct/>
        <w:autoSpaceDE/>
        <w:autoSpaceDN/>
        <w:bidi w:val="0"/>
        <w:adjustRightInd/>
        <w:snapToGrid/>
        <w:spacing w:line="560" w:lineRule="exact"/>
        <w:ind w:firstLine="640" w:firstLineChars="200"/>
        <w:jc w:val="both"/>
        <w:textAlignment w:val="auto"/>
        <w:rPr>
          <w:rFonts w:hint="eastAsia" w:ascii="仿宋_GB2312" w:eastAsia="仿宋_GB2312" w:hAnsiTheme="minorHAnsi" w:cstheme="minorBidi"/>
          <w:sz w:val="32"/>
          <w:szCs w:val="32"/>
          <w:lang w:eastAsia="zh-CN"/>
        </w:rPr>
      </w:pPr>
      <w:r>
        <w:rPr>
          <w:rFonts w:hint="eastAsia" w:ascii="仿宋_GB2312" w:eastAsia="仿宋_GB2312" w:hAnsiTheme="minorHAnsi" w:cstheme="minorBidi"/>
          <w:sz w:val="32"/>
          <w:szCs w:val="32"/>
        </w:rPr>
        <w:t>无</w:t>
      </w:r>
      <w:r>
        <w:rPr>
          <w:rFonts w:hint="eastAsia" w:ascii="仿宋_GB2312" w:eastAsia="仿宋_GB2312" w:hAnsiTheme="minorHAnsi" w:cstheme="minorBidi"/>
          <w:sz w:val="32"/>
          <w:szCs w:val="32"/>
          <w:lang w:eastAsia="zh-CN"/>
        </w:rPr>
        <w:t>。</w:t>
      </w:r>
    </w:p>
    <w:p>
      <w:pPr>
        <w:keepNext w:val="0"/>
        <w:keepLines w:val="0"/>
        <w:pageBreakBefore w:val="0"/>
        <w:widowControl w:val="0"/>
        <w:kinsoku/>
        <w:wordWrap/>
        <w:overflowPunct/>
        <w:topLinePunct/>
        <w:autoSpaceDE/>
        <w:autoSpaceDN/>
        <w:bidi w:val="0"/>
        <w:adjustRightInd/>
        <w:snapToGrid/>
        <w:spacing w:line="560" w:lineRule="exact"/>
        <w:ind w:firstLine="640" w:firstLineChars="200"/>
        <w:jc w:val="both"/>
        <w:textAlignment w:val="auto"/>
        <w:rPr>
          <w:rFonts w:hint="eastAsia" w:ascii="黑体" w:hAnsi="Times New Roman" w:eastAsia="黑体"/>
          <w:sz w:val="32"/>
          <w:szCs w:val="32"/>
          <w:lang w:val="en-US" w:eastAsia="zh-CN"/>
        </w:rPr>
      </w:pPr>
      <w:r>
        <w:rPr>
          <w:rFonts w:hint="eastAsia" w:ascii="黑体" w:hAnsi="Times New Roman" w:eastAsia="黑体"/>
          <w:sz w:val="32"/>
          <w:szCs w:val="32"/>
          <w:lang w:val="en-US" w:eastAsia="zh-CN"/>
        </w:rPr>
        <w:t>八、其他需说明的问题</w:t>
      </w:r>
    </w:p>
    <w:p>
      <w:pPr>
        <w:keepNext w:val="0"/>
        <w:keepLines w:val="0"/>
        <w:pageBreakBefore w:val="0"/>
        <w:widowControl w:val="0"/>
        <w:kinsoku/>
        <w:wordWrap/>
        <w:overflowPunct/>
        <w:topLinePunct/>
        <w:autoSpaceDE/>
        <w:autoSpaceDN/>
        <w:bidi w:val="0"/>
        <w:adjustRightInd/>
        <w:snapToGrid/>
        <w:spacing w:line="560" w:lineRule="exact"/>
        <w:ind w:firstLine="640" w:firstLineChars="200"/>
        <w:jc w:val="both"/>
        <w:textAlignment w:val="auto"/>
        <w:rPr>
          <w:rFonts w:hint="eastAsia" w:ascii="仿宋_GB2312" w:eastAsia="仿宋_GB2312" w:hAnsiTheme="minorHAnsi" w:cstheme="minorBidi"/>
          <w:sz w:val="32"/>
          <w:szCs w:val="32"/>
          <w:lang w:eastAsia="zh-CN"/>
        </w:rPr>
      </w:pPr>
      <w:r>
        <w:rPr>
          <w:rFonts w:hint="eastAsia" w:ascii="仿宋_GB2312" w:eastAsia="仿宋_GB2312" w:hAnsiTheme="minorHAnsi" w:cstheme="minorBidi"/>
          <w:sz w:val="32"/>
          <w:szCs w:val="32"/>
        </w:rPr>
        <w:t>无</w:t>
      </w:r>
      <w:r>
        <w:rPr>
          <w:rFonts w:hint="eastAsia" w:ascii="仿宋_GB2312" w:eastAsia="仿宋_GB2312" w:hAnsiTheme="minorHAnsi" w:cstheme="minorBidi"/>
          <w:sz w:val="32"/>
          <w:szCs w:val="32"/>
          <w:lang w:eastAsia="zh-CN"/>
        </w:rPr>
        <w:t>。</w:t>
      </w:r>
      <w:bookmarkStart w:id="0" w:name="_GoBack"/>
      <w:bookmarkEnd w:id="0"/>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pPr>
                  <w:snapToGrid w:val="0"/>
                  <w:rPr>
                    <w:sz w:val="18"/>
                  </w:rPr>
                </w:pPr>
                <w:r>
                  <w:fldChar w:fldCharType="begin"/>
                </w:r>
                <w:r>
                  <w:instrText xml:space="preserve"> PAGE  \* MERGEFORMAT </w:instrText>
                </w:r>
                <w:r>
                  <w:fldChar w:fldCharType="separate"/>
                </w:r>
                <w:r>
                  <w:rPr>
                    <w:sz w:val="18"/>
                  </w:rPr>
                  <w:t>5</w:t>
                </w:r>
                <w:r>
                  <w:rPr>
                    <w:sz w:val="18"/>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layout v:ext="edit">
      <o:idmap v:ext="edit" data="3,4"/>
    </o:shapelayout>
  </w:hdrShapeDefaults>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M2M2NTNmOTRlYWRmYjc0MWFjZWYwNDllZWQwYjVkOWMifQ=="/>
  </w:docVars>
  <w:rsids>
    <w:rsidRoot w:val="00FB18EC"/>
    <w:rsid w:val="00004F2F"/>
    <w:rsid w:val="00046319"/>
    <w:rsid w:val="00051654"/>
    <w:rsid w:val="00057FEE"/>
    <w:rsid w:val="001C4906"/>
    <w:rsid w:val="00214735"/>
    <w:rsid w:val="00234821"/>
    <w:rsid w:val="002A604B"/>
    <w:rsid w:val="002B6BA4"/>
    <w:rsid w:val="002C0984"/>
    <w:rsid w:val="00386F30"/>
    <w:rsid w:val="003A5FC6"/>
    <w:rsid w:val="003E7AE6"/>
    <w:rsid w:val="00410494"/>
    <w:rsid w:val="004C08D1"/>
    <w:rsid w:val="0057338C"/>
    <w:rsid w:val="005753B2"/>
    <w:rsid w:val="005F0F6B"/>
    <w:rsid w:val="005F1A27"/>
    <w:rsid w:val="00653AB4"/>
    <w:rsid w:val="006D6014"/>
    <w:rsid w:val="00733317"/>
    <w:rsid w:val="007C3A6A"/>
    <w:rsid w:val="007C3D74"/>
    <w:rsid w:val="00824A7E"/>
    <w:rsid w:val="008424A4"/>
    <w:rsid w:val="008F5CC6"/>
    <w:rsid w:val="00903845"/>
    <w:rsid w:val="0094181E"/>
    <w:rsid w:val="0097413D"/>
    <w:rsid w:val="009B6904"/>
    <w:rsid w:val="009F5720"/>
    <w:rsid w:val="00AA5D2B"/>
    <w:rsid w:val="00AB56BF"/>
    <w:rsid w:val="00AE513B"/>
    <w:rsid w:val="00B020E9"/>
    <w:rsid w:val="00B67201"/>
    <w:rsid w:val="00C14F3E"/>
    <w:rsid w:val="00C27710"/>
    <w:rsid w:val="00C62DF1"/>
    <w:rsid w:val="00C8203A"/>
    <w:rsid w:val="00D24854"/>
    <w:rsid w:val="00D31E02"/>
    <w:rsid w:val="00D52FA9"/>
    <w:rsid w:val="00DA125C"/>
    <w:rsid w:val="00DC1921"/>
    <w:rsid w:val="00E34478"/>
    <w:rsid w:val="00FA4F5E"/>
    <w:rsid w:val="00FB18EC"/>
    <w:rsid w:val="00FF7013"/>
    <w:rsid w:val="02EC3D8A"/>
    <w:rsid w:val="0317350E"/>
    <w:rsid w:val="03814F93"/>
    <w:rsid w:val="0460371E"/>
    <w:rsid w:val="07474E74"/>
    <w:rsid w:val="08527E9A"/>
    <w:rsid w:val="08E91793"/>
    <w:rsid w:val="08FA56E9"/>
    <w:rsid w:val="09D52373"/>
    <w:rsid w:val="0BFBE65B"/>
    <w:rsid w:val="0C0F70F9"/>
    <w:rsid w:val="0E4137B5"/>
    <w:rsid w:val="10AB307D"/>
    <w:rsid w:val="11074E23"/>
    <w:rsid w:val="12D61215"/>
    <w:rsid w:val="13182D37"/>
    <w:rsid w:val="1A0C3710"/>
    <w:rsid w:val="1AFC2F3E"/>
    <w:rsid w:val="1B4111D0"/>
    <w:rsid w:val="1CE84CDA"/>
    <w:rsid w:val="22EA535D"/>
    <w:rsid w:val="23EE73D7"/>
    <w:rsid w:val="29400567"/>
    <w:rsid w:val="29656152"/>
    <w:rsid w:val="2B9F53E0"/>
    <w:rsid w:val="2F591AC1"/>
    <w:rsid w:val="2F81180C"/>
    <w:rsid w:val="30B425B7"/>
    <w:rsid w:val="31A81F36"/>
    <w:rsid w:val="337C11FF"/>
    <w:rsid w:val="34363413"/>
    <w:rsid w:val="36165FFF"/>
    <w:rsid w:val="38C8259F"/>
    <w:rsid w:val="39EB4452"/>
    <w:rsid w:val="3B240834"/>
    <w:rsid w:val="3B83171E"/>
    <w:rsid w:val="3F485EA2"/>
    <w:rsid w:val="3FA9D2C0"/>
    <w:rsid w:val="3FF027C2"/>
    <w:rsid w:val="40EC4984"/>
    <w:rsid w:val="43667F1A"/>
    <w:rsid w:val="478948D7"/>
    <w:rsid w:val="47A16117"/>
    <w:rsid w:val="481275A6"/>
    <w:rsid w:val="49F70BA9"/>
    <w:rsid w:val="4A1F51B1"/>
    <w:rsid w:val="4EA65C40"/>
    <w:rsid w:val="4FEF794D"/>
    <w:rsid w:val="531B7225"/>
    <w:rsid w:val="5906636D"/>
    <w:rsid w:val="591E534A"/>
    <w:rsid w:val="59FE0ED4"/>
    <w:rsid w:val="5B17797F"/>
    <w:rsid w:val="5BC63E39"/>
    <w:rsid w:val="5DD43A17"/>
    <w:rsid w:val="5EA44A4C"/>
    <w:rsid w:val="5EF6E242"/>
    <w:rsid w:val="60C0388A"/>
    <w:rsid w:val="63EC1C67"/>
    <w:rsid w:val="63FAF96B"/>
    <w:rsid w:val="64247A95"/>
    <w:rsid w:val="6AF8223B"/>
    <w:rsid w:val="6C5D26DE"/>
    <w:rsid w:val="6C5E3D48"/>
    <w:rsid w:val="6F25431D"/>
    <w:rsid w:val="6F5D5823"/>
    <w:rsid w:val="70FA674D"/>
    <w:rsid w:val="723339DC"/>
    <w:rsid w:val="753C5586"/>
    <w:rsid w:val="76A80905"/>
    <w:rsid w:val="7B2B5CF3"/>
    <w:rsid w:val="7B2F105B"/>
    <w:rsid w:val="7BC767E6"/>
    <w:rsid w:val="7C370678"/>
    <w:rsid w:val="7C6453C2"/>
    <w:rsid w:val="7C9A2151"/>
    <w:rsid w:val="7CCC5441"/>
    <w:rsid w:val="7DD6409E"/>
    <w:rsid w:val="7E4F6CA4"/>
    <w:rsid w:val="7FCE6EFD"/>
    <w:rsid w:val="D1574A62"/>
    <w:rsid w:val="DFB5E2EE"/>
    <w:rsid w:val="FDED13DC"/>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qFormat/>
    <w:uiPriority w:val="99"/>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ind w:firstLine="420"/>
    </w:pPr>
    <w:rPr>
      <w:rFonts w:ascii="Calibri" w:hAnsi="Calibri" w:eastAsia="宋体" w:cs="Times New Roman"/>
    </w:rPr>
  </w:style>
  <w:style w:type="paragraph" w:styleId="3">
    <w:name w:val="Body Text Indent"/>
    <w:basedOn w:val="1"/>
    <w:qFormat/>
    <w:uiPriority w:val="0"/>
    <w:pPr>
      <w:ind w:firstLine="632" w:firstLineChars="200"/>
    </w:pPr>
    <w:rPr>
      <w:rFonts w:eastAsia="仿宋_GB2312" w:cs="Times New Roman"/>
      <w:sz w:val="20"/>
      <w:szCs w:val="20"/>
    </w:rPr>
  </w:style>
  <w:style w:type="paragraph" w:styleId="4">
    <w:name w:val="footer"/>
    <w:basedOn w:val="1"/>
    <w:link w:val="8"/>
    <w:qFormat/>
    <w:uiPriority w:val="99"/>
    <w:pPr>
      <w:tabs>
        <w:tab w:val="center" w:pos="4153"/>
        <w:tab w:val="right" w:pos="8306"/>
      </w:tabs>
      <w:snapToGrid w:val="0"/>
      <w:jc w:val="left"/>
    </w:pPr>
    <w:rPr>
      <w:sz w:val="18"/>
    </w:rPr>
  </w:style>
  <w:style w:type="paragraph" w:styleId="5">
    <w:name w:val="header"/>
    <w:basedOn w:val="1"/>
    <w:link w:val="9"/>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customStyle="1" w:styleId="8">
    <w:name w:val="Footer Char"/>
    <w:basedOn w:val="7"/>
    <w:link w:val="4"/>
    <w:semiHidden/>
    <w:qFormat/>
    <w:locked/>
    <w:uiPriority w:val="99"/>
    <w:rPr>
      <w:rFonts w:cs="Times New Roman"/>
      <w:sz w:val="18"/>
      <w:szCs w:val="18"/>
    </w:rPr>
  </w:style>
  <w:style w:type="character" w:customStyle="1" w:styleId="9">
    <w:name w:val="Header Char"/>
    <w:basedOn w:val="7"/>
    <w:link w:val="5"/>
    <w:semiHidden/>
    <w:qFormat/>
    <w:locked/>
    <w:uiPriority w:val="99"/>
    <w:rPr>
      <w:rFonts w:cs="Times New Roman"/>
      <w:sz w:val="18"/>
      <w:szCs w:val="18"/>
    </w:rPr>
  </w:style>
  <w:style w:type="paragraph" w:customStyle="1" w:styleId="10">
    <w:name w:val="列出段落1"/>
    <w:basedOn w:val="1"/>
    <w:qFormat/>
    <w:uiPriority w:val="99"/>
    <w:pPr>
      <w:ind w:firstLine="420" w:firstLineChars="200"/>
    </w:pPr>
  </w:style>
  <w:style w:type="paragraph" w:styleId="11">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Microsoft</Company>
  <Pages>5</Pages>
  <Words>2407</Words>
  <Characters>2607</Characters>
  <Lines>0</Lines>
  <Paragraphs>0</Paragraphs>
  <TotalTime>11</TotalTime>
  <ScaleCrop>false</ScaleCrop>
  <LinksUpToDate>false</LinksUpToDate>
  <CharactersWithSpaces>2616</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2018-04-30T00:36:00Z</dcterms:created>
  <dc:creator>pc</dc:creator>
  <cp:lastModifiedBy>HP</cp:lastModifiedBy>
  <cp:lastPrinted>2019-03-23T22:14:00Z</cp:lastPrinted>
  <dcterms:modified xsi:type="dcterms:W3CDTF">2026-04-15T02:34:09Z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C4C570177BCD47328A8E7A6F23919CDA</vt:lpwstr>
  </property>
</Properties>
</file>