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firstLine="712" w:firstLineChars="200"/>
        <w:jc w:val="center"/>
        <w:textAlignment w:val="auto"/>
        <w:rPr>
          <w:rFonts w:hint="eastAsia" w:ascii="方正小标宋_GBK" w:eastAsia="方正小标宋_GBK" w:hAnsiTheme="minorHAnsi" w:cstheme="minorBidi"/>
          <w:sz w:val="36"/>
          <w:szCs w:val="36"/>
        </w:rPr>
      </w:pPr>
      <w:r>
        <w:rPr>
          <w:rFonts w:hint="eastAsia" w:ascii="方正小标宋_GBK" w:eastAsia="方正小标宋_GBK" w:hAnsiTheme="minorHAnsi" w:cstheme="minorBidi"/>
          <w:sz w:val="36"/>
          <w:szCs w:val="36"/>
        </w:rPr>
        <w:t>呈贡17（南段）、28（东段）、</w:t>
      </w:r>
    </w:p>
    <w:p>
      <w:pPr>
        <w:keepNext w:val="0"/>
        <w:keepLines w:val="0"/>
        <w:pageBreakBefore w:val="0"/>
        <w:widowControl w:val="0"/>
        <w:kinsoku/>
        <w:wordWrap/>
        <w:overflowPunct/>
        <w:autoSpaceDE/>
        <w:autoSpaceDN/>
        <w:bidi w:val="0"/>
        <w:adjustRightInd/>
        <w:snapToGrid/>
        <w:spacing w:line="560" w:lineRule="exact"/>
        <w:ind w:firstLine="712" w:firstLineChars="200"/>
        <w:jc w:val="center"/>
        <w:textAlignment w:val="auto"/>
        <w:rPr>
          <w:rFonts w:hint="eastAsia" w:ascii="方正小标宋_GBK" w:eastAsia="方正小标宋_GBK" w:hAnsiTheme="minorHAnsi" w:cstheme="minorBidi"/>
          <w:sz w:val="36"/>
          <w:szCs w:val="36"/>
        </w:rPr>
      </w:pPr>
      <w:r>
        <w:rPr>
          <w:rFonts w:hint="eastAsia" w:ascii="方正小标宋_GBK" w:eastAsia="方正小标宋_GBK" w:hAnsiTheme="minorHAnsi" w:cstheme="minorBidi"/>
          <w:sz w:val="36"/>
          <w:szCs w:val="36"/>
        </w:rPr>
        <w:t>31（东段）、彩云路东二分路（南段）市政道路</w:t>
      </w:r>
    </w:p>
    <w:p>
      <w:pPr>
        <w:keepNext w:val="0"/>
        <w:keepLines w:val="0"/>
        <w:pageBreakBefore w:val="0"/>
        <w:widowControl w:val="0"/>
        <w:kinsoku/>
        <w:wordWrap/>
        <w:overflowPunct/>
        <w:autoSpaceDE/>
        <w:autoSpaceDN/>
        <w:bidi w:val="0"/>
        <w:adjustRightInd/>
        <w:snapToGrid/>
        <w:spacing w:line="560" w:lineRule="exact"/>
        <w:ind w:firstLine="712" w:firstLineChars="200"/>
        <w:jc w:val="center"/>
        <w:textAlignment w:val="auto"/>
        <w:rPr>
          <w:rFonts w:hint="eastAsia" w:ascii="方正小标宋_GBK" w:eastAsia="方正小标宋_GBK" w:hAnsiTheme="minorHAnsi" w:cstheme="minorBidi"/>
          <w:sz w:val="36"/>
          <w:szCs w:val="36"/>
        </w:rPr>
      </w:pPr>
      <w:r>
        <w:rPr>
          <w:rFonts w:hint="eastAsia" w:ascii="方正小标宋_GBK" w:eastAsia="方正小标宋_GBK" w:hAnsiTheme="minorHAnsi" w:cstheme="minorBidi"/>
          <w:sz w:val="36"/>
          <w:szCs w:val="36"/>
        </w:rPr>
        <w:t>建设项目支出绩效评价报告</w:t>
      </w:r>
    </w:p>
    <w:p>
      <w:pPr>
        <w:keepNext w:val="0"/>
        <w:keepLines w:val="0"/>
        <w:pageBreakBefore w:val="0"/>
        <w:widowControl w:val="0"/>
        <w:kinsoku/>
        <w:wordWrap/>
        <w:overflowPunct/>
        <w:autoSpaceDE/>
        <w:autoSpaceDN/>
        <w:bidi w:val="0"/>
        <w:adjustRightInd/>
        <w:snapToGrid/>
        <w:spacing w:line="560" w:lineRule="exact"/>
        <w:ind w:firstLine="632" w:firstLineChars="200"/>
        <w:jc w:val="center"/>
        <w:textAlignment w:val="auto"/>
        <w:rPr>
          <w:rFonts w:ascii="仿宋_GB2312"/>
          <w:szCs w:val="32"/>
        </w:rPr>
      </w:pP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rPr>
        <w:t>一、项目基本情况</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（一）项目概况</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四条道路位于涌鑫哈佛中心项目地块内，呈贡17（南段）市政道路从韶光街至聚贤街，长366.49米，宽20米，总投资1911.55万元；呈贡28（东段）市政道路从彩云路至谊康南路，长426.79米，宽20米，总投资2440.13万元；呈贡31（东段）市政道路从彩云路至谊康南路，长426.79米，宽20米，总投资2265.71万元；彩云路东二分路（南段）从韶光街至聚贤街，长375.5米，宽30米，总投资2515.13万元。四条道路总投资9132.52万元。</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（二）项目绩效目标</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1.项目绩效总目标：四条道路的建成对改善周边交通环境和呈贡新区“核心片区”的建设和发展起到良好的推进作用。项目建设将完善市政路网，满足道路沿线的行人通行和休闲的需求，提高区域交通网络的通达性和便捷性；促进固定资产投资，增加社会就业，促进呈贡新区发展。</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仿宋_GB2312"/>
          <w:szCs w:val="32"/>
        </w:rPr>
        <w:t>2.项目绩效阶段性目标：</w:t>
      </w:r>
      <w:r>
        <w:rPr>
          <w:rFonts w:hint="eastAsia" w:ascii="仿宋_GB2312" w:hAnsiTheme="minorHAnsi" w:cstheme="minorBidi"/>
          <w:color w:val="auto"/>
          <w:szCs w:val="32"/>
        </w:rPr>
        <w:t>项目于2018年11月15日进场施工，目前根据云南涌鑫地产公司提交的施工作业面，目前按照云南涌鑫地产公司提交的施工作业面，呈贡17（南段）</w:t>
      </w:r>
      <w:r>
        <w:rPr>
          <w:rFonts w:hint="eastAsia" w:ascii="仿宋_GB2312" w:hAnsiTheme="minorHAnsi" w:cstheme="minorBidi"/>
          <w:color w:val="auto"/>
          <w:szCs w:val="32"/>
          <w:lang w:eastAsia="zh-CN"/>
        </w:rPr>
        <w:t>已完成</w:t>
      </w:r>
      <w:r>
        <w:rPr>
          <w:rFonts w:hint="eastAsia" w:ascii="仿宋_GB2312" w:hAnsiTheme="minorHAnsi" w:cstheme="minorBidi"/>
          <w:color w:val="auto"/>
          <w:szCs w:val="32"/>
        </w:rPr>
        <w:t>180米的道路</w:t>
      </w:r>
      <w:r>
        <w:rPr>
          <w:rFonts w:hint="eastAsia" w:ascii="仿宋_GB2312" w:hAnsiTheme="minorHAnsi" w:cstheme="minorBidi"/>
          <w:color w:val="auto"/>
          <w:szCs w:val="32"/>
          <w:lang w:eastAsia="zh-CN"/>
        </w:rPr>
        <w:t>工程，剩余</w:t>
      </w:r>
      <w:r>
        <w:rPr>
          <w:rFonts w:hint="eastAsia" w:ascii="仿宋_GB2312" w:hAnsiTheme="minorHAnsi" w:cstheme="minorBidi"/>
          <w:color w:val="auto"/>
          <w:szCs w:val="32"/>
          <w:lang w:val="en-US" w:eastAsia="zh-CN"/>
        </w:rPr>
        <w:t>部分（31号路至聚贤街）正在进行路基换填；</w:t>
      </w:r>
      <w:r>
        <w:rPr>
          <w:rFonts w:hint="eastAsia" w:ascii="仿宋_GB2312" w:hAnsiTheme="minorHAnsi" w:cstheme="minorBidi"/>
          <w:color w:val="auto"/>
          <w:szCs w:val="32"/>
        </w:rPr>
        <w:t>呈贡28（东段）</w:t>
      </w:r>
      <w:r>
        <w:rPr>
          <w:rFonts w:hint="eastAsia" w:ascii="仿宋_GB2312" w:hAnsiTheme="minorHAnsi" w:cstheme="minorBidi"/>
          <w:color w:val="auto"/>
          <w:szCs w:val="32"/>
          <w:lang w:eastAsia="zh-CN"/>
        </w:rPr>
        <w:t>已完成道路工程；</w:t>
      </w:r>
      <w:r>
        <w:rPr>
          <w:rFonts w:hint="eastAsia" w:ascii="仿宋_GB2312" w:hAnsiTheme="minorHAnsi" w:cstheme="minorBidi"/>
          <w:color w:val="auto"/>
          <w:szCs w:val="32"/>
        </w:rPr>
        <w:t>彩云路东二分路</w:t>
      </w:r>
      <w:r>
        <w:rPr>
          <w:rFonts w:hint="eastAsia" w:ascii="仿宋_GB2312" w:hAnsiTheme="minorHAnsi" w:cstheme="minorBidi"/>
          <w:color w:val="auto"/>
          <w:szCs w:val="32"/>
          <w:lang w:eastAsia="zh-CN"/>
        </w:rPr>
        <w:t>（韶光街</w:t>
      </w:r>
      <w:r>
        <w:rPr>
          <w:rFonts w:hint="eastAsia" w:ascii="仿宋_GB2312" w:hAnsiTheme="minorHAnsi" w:cstheme="minorBidi"/>
          <w:color w:val="auto"/>
          <w:szCs w:val="32"/>
          <w:lang w:val="en-US" w:eastAsia="zh-CN"/>
        </w:rPr>
        <w:t>-31号路</w:t>
      </w:r>
      <w:r>
        <w:rPr>
          <w:rFonts w:hint="eastAsia" w:ascii="仿宋_GB2312" w:hAnsiTheme="minorHAnsi" w:cstheme="minorBidi"/>
          <w:color w:val="auto"/>
          <w:szCs w:val="32"/>
          <w:lang w:eastAsia="zh-CN"/>
        </w:rPr>
        <w:t>）完成道路、绿化施工，剩余部分（</w:t>
      </w:r>
      <w:r>
        <w:rPr>
          <w:rFonts w:hint="eastAsia" w:ascii="仿宋_GB2312" w:hAnsiTheme="minorHAnsi" w:cstheme="minorBidi"/>
          <w:color w:val="auto"/>
          <w:szCs w:val="32"/>
          <w:lang w:val="en-US" w:eastAsia="zh-CN"/>
        </w:rPr>
        <w:t>31号路-聚贤街</w:t>
      </w:r>
      <w:r>
        <w:rPr>
          <w:rFonts w:hint="eastAsia" w:ascii="仿宋_GB2312" w:hAnsiTheme="minorHAnsi" w:cstheme="minorBidi"/>
          <w:color w:val="auto"/>
          <w:szCs w:val="32"/>
          <w:lang w:eastAsia="zh-CN"/>
        </w:rPr>
        <w:t>）正在进行路基换填；</w:t>
      </w:r>
      <w:r>
        <w:rPr>
          <w:rFonts w:hint="eastAsia" w:ascii="仿宋_GB2312" w:hAnsiTheme="minorHAnsi" w:cstheme="minorBidi"/>
          <w:color w:val="auto"/>
          <w:szCs w:val="32"/>
        </w:rPr>
        <w:t>呈贡31号路</w:t>
      </w:r>
      <w:r>
        <w:rPr>
          <w:rFonts w:hint="eastAsia" w:ascii="仿宋_GB2312" w:hAnsiTheme="minorHAnsi" w:cstheme="minorBidi"/>
          <w:color w:val="auto"/>
          <w:szCs w:val="32"/>
          <w:lang w:eastAsia="zh-CN"/>
        </w:rPr>
        <w:t>完成彩云路至彩云路东二分路道路工程施工，剩余部分（彩云路东二分路至谊康南路段）正在进行路基换填。</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rPr>
        <w:t>二、项目单位绩效报告情况</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 w:hAnsi="仿宋" w:eastAsia="仿宋" w:cs="仿宋"/>
          <w:color w:val="auto"/>
          <w:sz w:val="32"/>
          <w:szCs w:val="32"/>
          <w:lang w:eastAsia="zh-CN"/>
        </w:rPr>
        <w:t>根据《昆明市呈贡区财政局关于批复</w:t>
      </w:r>
      <w:r>
        <w:rPr>
          <w:rFonts w:hint="eastAsia" w:ascii="仿宋" w:hAnsi="仿宋" w:eastAsia="仿宋" w:cs="仿宋"/>
          <w:color w:val="auto"/>
          <w:sz w:val="32"/>
          <w:szCs w:val="32"/>
          <w:lang w:val="en-US" w:eastAsia="zh-CN"/>
        </w:rPr>
        <w:t>2025年部门预算的通知</w:t>
      </w:r>
      <w:r>
        <w:rPr>
          <w:rFonts w:hint="eastAsia" w:ascii="仿宋" w:hAnsi="仿宋" w:eastAsia="仿宋" w:cs="仿宋"/>
          <w:color w:val="auto"/>
          <w:sz w:val="32"/>
          <w:szCs w:val="32"/>
          <w:lang w:eastAsia="zh-CN"/>
        </w:rPr>
        <w:t>》（呈财行〔</w:t>
      </w:r>
      <w:r>
        <w:rPr>
          <w:rFonts w:hint="eastAsia" w:ascii="仿宋" w:hAnsi="仿宋" w:eastAsia="仿宋" w:cs="仿宋"/>
          <w:color w:val="auto"/>
          <w:sz w:val="32"/>
          <w:szCs w:val="32"/>
          <w:lang w:val="en-US" w:eastAsia="zh-CN"/>
        </w:rPr>
        <w:t>2025</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74号</w:t>
      </w:r>
      <w:r>
        <w:rPr>
          <w:rFonts w:hint="eastAsia" w:ascii="仿宋" w:hAnsi="仿宋" w:eastAsia="仿宋" w:cs="仿宋"/>
          <w:color w:val="auto"/>
          <w:sz w:val="32"/>
          <w:szCs w:val="32"/>
          <w:lang w:eastAsia="zh-CN"/>
        </w:rPr>
        <w:t>）文件</w:t>
      </w:r>
      <w:r>
        <w:rPr>
          <w:rFonts w:hint="eastAsia" w:ascii="仿宋_GB2312"/>
          <w:color w:val="auto"/>
          <w:szCs w:val="32"/>
        </w:rPr>
        <w:t>，年初安排预算资金</w:t>
      </w:r>
      <w:r>
        <w:rPr>
          <w:rFonts w:hint="eastAsia" w:ascii="仿宋_GB2312"/>
          <w:color w:val="auto"/>
          <w:szCs w:val="32"/>
          <w:lang w:val="en-US" w:eastAsia="zh-CN"/>
        </w:rPr>
        <w:t>200</w:t>
      </w:r>
      <w:r>
        <w:rPr>
          <w:rFonts w:hint="eastAsia" w:ascii="仿宋_GB2312"/>
          <w:color w:val="auto"/>
          <w:szCs w:val="32"/>
        </w:rPr>
        <w:t>万元</w:t>
      </w:r>
      <w:r>
        <w:rPr>
          <w:rFonts w:hint="eastAsia" w:ascii="仿宋_GB2312"/>
          <w:color w:val="auto"/>
          <w:szCs w:val="32"/>
          <w:lang w:eastAsia="zh-CN"/>
        </w:rPr>
        <w:t>，年中追加调整资金</w:t>
      </w:r>
      <w:r>
        <w:rPr>
          <w:rFonts w:hint="eastAsia" w:ascii="仿宋_GB2312"/>
          <w:color w:val="auto"/>
          <w:szCs w:val="32"/>
          <w:lang w:val="en-US" w:eastAsia="zh-CN"/>
        </w:rPr>
        <w:t>300.293645万元，</w:t>
      </w:r>
      <w:r>
        <w:rPr>
          <w:rFonts w:hint="eastAsia" w:ascii="仿宋_GB2312"/>
          <w:color w:val="auto"/>
          <w:szCs w:val="32"/>
        </w:rPr>
        <w:t>结</w:t>
      </w:r>
      <w:r>
        <w:rPr>
          <w:rFonts w:hint="eastAsia" w:ascii="仿宋_GB2312"/>
          <w:szCs w:val="32"/>
        </w:rPr>
        <w:t>合项目实际进展，</w:t>
      </w:r>
      <w:r>
        <w:rPr>
          <w:rFonts w:hint="eastAsia" w:ascii="仿宋_GB2312"/>
          <w:szCs w:val="32"/>
          <w:lang w:val="en-US" w:eastAsia="zh-CN"/>
        </w:rPr>
        <w:t>2025</w:t>
      </w:r>
      <w:r>
        <w:rPr>
          <w:rFonts w:hint="eastAsia" w:ascii="仿宋_GB2312"/>
          <w:szCs w:val="32"/>
        </w:rPr>
        <w:t>年该项目使用资金</w:t>
      </w:r>
      <w:r>
        <w:rPr>
          <w:rFonts w:hint="eastAsia" w:ascii="仿宋_GB2312"/>
          <w:szCs w:val="32"/>
          <w:lang w:val="en-US" w:eastAsia="zh-CN"/>
        </w:rPr>
        <w:t>500.</w:t>
      </w:r>
      <w:r>
        <w:rPr>
          <w:rFonts w:hint="eastAsia" w:ascii="仿宋_GB2312"/>
          <w:color w:val="auto"/>
          <w:szCs w:val="32"/>
          <w:lang w:val="en-US" w:eastAsia="zh-CN"/>
        </w:rPr>
        <w:t>293645</w:t>
      </w:r>
      <w:r>
        <w:rPr>
          <w:rFonts w:hint="eastAsia" w:ascii="仿宋_GB2312"/>
          <w:szCs w:val="32"/>
        </w:rPr>
        <w:t>万元，项目如实申报绩效。</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rPr>
        <w:t>三、绩效评价工作情况</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rPr>
          <w:rFonts w:hint="eastAsia" w:ascii="仿宋_GB2312"/>
          <w:szCs w:val="32"/>
          <w:highlight w:val="none"/>
        </w:rPr>
      </w:pPr>
      <w:r>
        <w:rPr>
          <w:rFonts w:hint="eastAsia" w:ascii="仿宋_GB2312"/>
          <w:szCs w:val="32"/>
          <w:highlight w:val="none"/>
        </w:rPr>
        <w:t>（一）绩效评价目的</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highlight w:val="none"/>
        </w:rPr>
      </w:pPr>
      <w:r>
        <w:rPr>
          <w:rFonts w:hint="eastAsia" w:ascii="仿宋_GB2312" w:hAnsi="Times New Roman" w:cs="Times New Roman"/>
          <w:szCs w:val="32"/>
          <w:highlight w:val="none"/>
        </w:rPr>
        <w:t>严格控制投资，确保资金合理使用和资金使用安全；强化资金支付管理、项目成本管理和财务管理制度；加强项目管理，确保项目建设取得更好经济、政治、社会效益。</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rPr>
          <w:rFonts w:hint="eastAsia" w:ascii="仿宋_GB2312"/>
          <w:szCs w:val="32"/>
          <w:highlight w:val="none"/>
        </w:rPr>
      </w:pPr>
      <w:r>
        <w:rPr>
          <w:rFonts w:hint="eastAsia" w:ascii="仿宋_GB2312"/>
          <w:szCs w:val="32"/>
          <w:highlight w:val="none"/>
        </w:rPr>
        <w:t>（二）绩效评价原则、评价指标体系、评价方法</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highlight w:val="none"/>
        </w:rPr>
      </w:pPr>
      <w:r>
        <w:rPr>
          <w:rFonts w:hint="eastAsia" w:ascii="仿宋_GB2312" w:hAnsi="Times New Roman" w:cs="Times New Roman"/>
          <w:szCs w:val="32"/>
          <w:highlight w:val="none"/>
        </w:rPr>
        <w:t>绩效评价原则：同一尺度、同一标准下，坚持公开、公正、公平的原则。评价工作分定量评价和定性评价两个步骤：定量评价以评价客体提供的相关资料为基础，经过认真审查和核对，测出定量评价结果。</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rPr>
          <w:rFonts w:hint="eastAsia" w:ascii="仿宋_GB2312" w:hAnsi="Times New Roman" w:cs="Times New Roman"/>
          <w:szCs w:val="32"/>
          <w:highlight w:val="none"/>
        </w:rPr>
      </w:pPr>
      <w:r>
        <w:rPr>
          <w:rFonts w:hint="eastAsia" w:ascii="仿宋_GB2312" w:hAnsi="Times New Roman" w:cs="Times New Roman"/>
          <w:szCs w:val="32"/>
          <w:highlight w:val="none"/>
        </w:rPr>
        <w:t>（三）绩效评价工作过程</w:t>
      </w:r>
      <w:bookmarkStart w:id="0" w:name="_GoBack"/>
      <w:bookmarkEnd w:id="0"/>
    </w:p>
    <w:p>
      <w:pPr>
        <w:keepNext w:val="0"/>
        <w:keepLines w:val="0"/>
        <w:pageBreakBefore w:val="0"/>
        <w:widowControl w:val="0"/>
        <w:kinsoku/>
        <w:wordWrap/>
        <w:overflowPunct/>
        <w:topLinePunct/>
        <w:autoSpaceDE/>
        <w:autoSpaceDN/>
        <w:bidi w:val="0"/>
        <w:adjustRightInd/>
        <w:snapToGrid/>
        <w:spacing w:line="560" w:lineRule="exact"/>
        <w:ind w:firstLine="632" w:firstLineChars="200"/>
        <w:jc w:val="both"/>
        <w:textAlignment w:val="auto"/>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1</w:t>
      </w:r>
      <w:r>
        <w:rPr>
          <w:rFonts w:hint="eastAsia" w:ascii="仿宋_GB2312" w:hAnsi="Calibri" w:eastAsia="仿宋_GB2312" w:cs="Times New Roman"/>
          <w:sz w:val="32"/>
          <w:szCs w:val="32"/>
          <w:highlight w:val="none"/>
          <w:lang w:val="en-US" w:eastAsia="zh-CN"/>
        </w:rPr>
        <w:t>.</w:t>
      </w:r>
      <w:r>
        <w:rPr>
          <w:rFonts w:hint="eastAsia" w:ascii="仿宋_GB2312" w:hAnsi="Calibri" w:eastAsia="仿宋_GB2312" w:cs="Times New Roman"/>
          <w:sz w:val="32"/>
          <w:szCs w:val="32"/>
          <w:highlight w:val="none"/>
        </w:rPr>
        <w:t>前期准备：我们于202</w:t>
      </w:r>
      <w:r>
        <w:rPr>
          <w:rFonts w:hint="eastAsia" w:ascii="仿宋_GB2312" w:hAnsi="Calibri" w:cs="Times New Roman"/>
          <w:sz w:val="32"/>
          <w:szCs w:val="32"/>
          <w:highlight w:val="none"/>
          <w:lang w:val="en-US" w:eastAsia="zh-CN"/>
        </w:rPr>
        <w:t>6</w:t>
      </w:r>
      <w:r>
        <w:rPr>
          <w:rFonts w:hint="eastAsia" w:ascii="仿宋_GB2312" w:hAnsi="Calibri" w:eastAsia="仿宋_GB2312" w:cs="Times New Roman"/>
          <w:sz w:val="32"/>
          <w:szCs w:val="32"/>
          <w:highlight w:val="none"/>
        </w:rPr>
        <w:t>年</w:t>
      </w:r>
      <w:r>
        <w:rPr>
          <w:rFonts w:hint="eastAsia" w:ascii="仿宋_GB2312" w:hAnsi="Calibri" w:eastAsia="仿宋_GB2312" w:cs="Times New Roman"/>
          <w:sz w:val="32"/>
          <w:szCs w:val="32"/>
          <w:highlight w:val="none"/>
          <w:lang w:val="en-US" w:eastAsia="zh-CN"/>
        </w:rPr>
        <w:t>2</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w:t>
      </w:r>
      <w:r>
        <w:rPr>
          <w:rFonts w:hint="eastAsia" w:ascii="仿宋_GB2312" w:eastAsia="仿宋_GB2312" w:cs="Times New Roman"/>
          <w:sz w:val="32"/>
          <w:szCs w:val="32"/>
          <w:highlight w:val="none"/>
          <w:lang w:val="en-US" w:eastAsia="zh-CN"/>
        </w:rPr>
        <w:t>8</w:t>
      </w:r>
      <w:r>
        <w:rPr>
          <w:rFonts w:hint="eastAsia" w:ascii="仿宋_GB2312" w:hAnsi="Calibri" w:eastAsia="仿宋_GB2312" w:cs="Times New Roman"/>
          <w:sz w:val="32"/>
          <w:szCs w:val="32"/>
          <w:highlight w:val="none"/>
        </w:rPr>
        <w:t>日收到绩效评价相关文件要求后，单位领导及时做了安排，梳理整体支出基本情况、项目支出情况；确定自评项目，根据项目基本情况收集资料、汇总数据，制定评价方案，制定评价指标体系，完善评价指标体系。</w:t>
      </w:r>
    </w:p>
    <w:p>
      <w:pPr>
        <w:keepNext w:val="0"/>
        <w:keepLines w:val="0"/>
        <w:pageBreakBefore w:val="0"/>
        <w:widowControl w:val="0"/>
        <w:kinsoku/>
        <w:wordWrap/>
        <w:overflowPunct/>
        <w:topLinePunct/>
        <w:autoSpaceDE/>
        <w:autoSpaceDN/>
        <w:bidi w:val="0"/>
        <w:adjustRightInd/>
        <w:snapToGrid/>
        <w:spacing w:line="560" w:lineRule="exact"/>
        <w:ind w:firstLine="632" w:firstLineChars="200"/>
        <w:jc w:val="both"/>
        <w:textAlignment w:val="auto"/>
        <w:rPr>
          <w:rFonts w:hint="eastAsia" w:ascii="仿宋_GB2312" w:hAnsi="Calibri" w:eastAsia="仿宋_GB2312" w:cs="Times New Roman"/>
          <w:sz w:val="32"/>
          <w:szCs w:val="32"/>
          <w:highlight w:val="none"/>
        </w:rPr>
      </w:pPr>
      <w:r>
        <w:rPr>
          <w:rFonts w:hint="eastAsia" w:ascii="仿宋_GB2312" w:hAnsi="Calibri" w:eastAsia="仿宋_GB2312" w:cs="Times New Roman"/>
          <w:sz w:val="32"/>
          <w:szCs w:val="32"/>
          <w:highlight w:val="none"/>
        </w:rPr>
        <w:t>2.组织实施：为使绩效评价工作顺利开展，202</w:t>
      </w:r>
      <w:r>
        <w:rPr>
          <w:rFonts w:hint="eastAsia" w:ascii="仿宋_GB2312" w:hAnsi="Calibri" w:eastAsia="仿宋_GB2312" w:cs="Times New Roman"/>
          <w:sz w:val="32"/>
          <w:szCs w:val="32"/>
          <w:highlight w:val="none"/>
          <w:lang w:val="en-US" w:eastAsia="zh-CN"/>
        </w:rPr>
        <w:t>5</w:t>
      </w:r>
      <w:r>
        <w:rPr>
          <w:rFonts w:hint="eastAsia" w:ascii="仿宋_GB2312" w:hAnsi="Calibri" w:eastAsia="仿宋_GB2312" w:cs="Times New Roman"/>
          <w:sz w:val="32"/>
          <w:szCs w:val="32"/>
          <w:highlight w:val="none"/>
        </w:rPr>
        <w:t>年</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cs="Times New Roman"/>
          <w:sz w:val="32"/>
          <w:szCs w:val="32"/>
          <w:highlight w:val="none"/>
          <w:lang w:val="en-US" w:eastAsia="zh-CN"/>
        </w:rPr>
        <w:t>6</w:t>
      </w:r>
      <w:r>
        <w:rPr>
          <w:rFonts w:hint="eastAsia" w:ascii="仿宋_GB2312" w:hAnsi="Calibri" w:eastAsia="仿宋_GB2312" w:cs="Times New Roman"/>
          <w:sz w:val="32"/>
          <w:szCs w:val="32"/>
          <w:highlight w:val="none"/>
        </w:rPr>
        <w:t>日成立由局长任组长的财政支出绩效评价工作领导小组，负责绩效评价的组织和实施工作，负责本次绩效评价工作。</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rPr>
          <w:highlight w:val="none"/>
        </w:rPr>
      </w:pPr>
      <w:r>
        <w:rPr>
          <w:rFonts w:hint="eastAsia" w:ascii="仿宋_GB2312" w:hAnsi="Calibri" w:eastAsia="仿宋_GB2312" w:cs="Times New Roman"/>
          <w:sz w:val="32"/>
          <w:szCs w:val="32"/>
          <w:highlight w:val="none"/>
        </w:rPr>
        <w:t>3.分析评价：</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6</w:t>
      </w:r>
      <w:r>
        <w:rPr>
          <w:rFonts w:hint="eastAsia" w:ascii="仿宋_GB2312" w:hAnsi="Calibri" w:eastAsia="仿宋_GB2312" w:cs="Times New Roman"/>
          <w:sz w:val="32"/>
          <w:szCs w:val="32"/>
          <w:highlight w:val="none"/>
        </w:rPr>
        <w:t>日至</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20</w:t>
      </w:r>
      <w:r>
        <w:rPr>
          <w:rFonts w:hint="eastAsia" w:ascii="仿宋_GB2312" w:hAnsi="Calibri" w:eastAsia="仿宋_GB2312" w:cs="Times New Roman"/>
          <w:sz w:val="32"/>
          <w:szCs w:val="32"/>
          <w:highlight w:val="none"/>
        </w:rPr>
        <w:t>日，各事业单位及各</w:t>
      </w:r>
      <w:r>
        <w:rPr>
          <w:rFonts w:hint="eastAsia" w:ascii="仿宋_GB2312" w:hAnsi="Calibri" w:eastAsia="仿宋_GB2312" w:cs="Times New Roman"/>
          <w:sz w:val="32"/>
          <w:szCs w:val="32"/>
          <w:highlight w:val="none"/>
          <w:lang w:val="en-US" w:eastAsia="zh-CN"/>
        </w:rPr>
        <w:t>科室</w:t>
      </w:r>
      <w:r>
        <w:rPr>
          <w:rFonts w:hint="eastAsia" w:ascii="仿宋_GB2312" w:hAnsi="Calibri" w:eastAsia="仿宋_GB2312" w:cs="Times New Roman"/>
          <w:sz w:val="32"/>
          <w:szCs w:val="32"/>
          <w:highlight w:val="none"/>
        </w:rPr>
        <w:t>先结合要求进行摸底准备，进行单位整体支出绩效及项目支出绩效的自评工作。</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21</w:t>
      </w:r>
      <w:r>
        <w:rPr>
          <w:rFonts w:hint="eastAsia" w:ascii="仿宋_GB2312" w:hAnsi="Calibri" w:eastAsia="仿宋_GB2312" w:cs="Times New Roman"/>
          <w:sz w:val="32"/>
          <w:szCs w:val="32"/>
          <w:highlight w:val="none"/>
        </w:rPr>
        <w:t>日局评价小组召开专题会议，集中安排布置本次财政支出评价工作，并提出工作要求，进行核实、分析，对基本支出绩效及项目支出绩效完成情况进行综合分析形成评价结论，于</w:t>
      </w:r>
      <w:r>
        <w:rPr>
          <w:rFonts w:hint="eastAsia" w:ascii="仿宋_GB2312" w:hAnsi="Calibri"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月</w:t>
      </w:r>
      <w:r>
        <w:rPr>
          <w:rFonts w:hint="eastAsia" w:ascii="仿宋_GB2312" w:hAnsi="Calibri" w:eastAsia="仿宋_GB2312" w:cs="Times New Roman"/>
          <w:sz w:val="32"/>
          <w:szCs w:val="32"/>
          <w:highlight w:val="none"/>
          <w:lang w:val="en-US" w:eastAsia="zh-CN"/>
        </w:rPr>
        <w:t>27</w:t>
      </w:r>
      <w:r>
        <w:rPr>
          <w:rFonts w:hint="eastAsia" w:ascii="仿宋_GB2312" w:hAnsi="Calibri" w:eastAsia="仿宋_GB2312" w:cs="Times New Roman"/>
          <w:sz w:val="32"/>
          <w:szCs w:val="32"/>
          <w:highlight w:val="none"/>
        </w:rPr>
        <w:t>日前上报202</w:t>
      </w:r>
      <w:r>
        <w:rPr>
          <w:rFonts w:hint="eastAsia" w:ascii="仿宋_GB2312" w:eastAsia="仿宋_GB2312" w:cs="Times New Roman"/>
          <w:sz w:val="32"/>
          <w:szCs w:val="32"/>
          <w:highlight w:val="none"/>
          <w:lang w:val="en-US" w:eastAsia="zh-CN"/>
        </w:rPr>
        <w:t>5</w:t>
      </w:r>
      <w:r>
        <w:rPr>
          <w:rFonts w:hint="eastAsia" w:ascii="仿宋_GB2312" w:hAnsi="Calibri" w:eastAsia="仿宋_GB2312" w:cs="Times New Roman"/>
          <w:sz w:val="32"/>
          <w:szCs w:val="32"/>
          <w:highlight w:val="none"/>
        </w:rPr>
        <w:t>年各单位整体支出绩效</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rPr>
        <w:t>项目支出绩效自评</w:t>
      </w:r>
      <w:r>
        <w:rPr>
          <w:rFonts w:hint="eastAsia" w:ascii="仿宋_GB2312" w:hAnsi="Calibri" w:eastAsia="仿宋_GB2312" w:cs="Times New Roman"/>
          <w:sz w:val="32"/>
          <w:szCs w:val="32"/>
          <w:highlight w:val="none"/>
          <w:lang w:val="en-US" w:eastAsia="zh-CN"/>
        </w:rPr>
        <w:t>报告及项目支出绩效评价报告</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highlight w:val="none"/>
        </w:rPr>
        <w:t xml:space="preserve">   </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rPr>
        <w:t>四、绩效评价指标分析情况</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（一）项目资金情况分析</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1.资金到位情况分析：四条道路资金为财政支出，</w:t>
      </w:r>
      <w:r>
        <w:rPr>
          <w:rFonts w:hint="eastAsia" w:ascii="仿宋_GB2312"/>
          <w:szCs w:val="32"/>
          <w:lang w:val="en-US" w:eastAsia="zh-CN"/>
        </w:rPr>
        <w:t>2025年</w:t>
      </w:r>
      <w:r>
        <w:rPr>
          <w:rFonts w:hint="eastAsia" w:ascii="仿宋_GB2312"/>
          <w:szCs w:val="32"/>
        </w:rPr>
        <w:t>累计拨入资金</w:t>
      </w:r>
      <w:r>
        <w:rPr>
          <w:rFonts w:hint="eastAsia" w:ascii="仿宋_GB2312"/>
          <w:szCs w:val="32"/>
          <w:lang w:val="en-US" w:eastAsia="zh-CN"/>
        </w:rPr>
        <w:t>500.</w:t>
      </w:r>
      <w:r>
        <w:rPr>
          <w:rFonts w:hint="eastAsia" w:ascii="仿宋_GB2312"/>
          <w:color w:val="auto"/>
          <w:szCs w:val="32"/>
          <w:lang w:val="en-US" w:eastAsia="zh-CN"/>
        </w:rPr>
        <w:t>293645</w:t>
      </w:r>
      <w:r>
        <w:rPr>
          <w:rFonts w:hint="eastAsia" w:ascii="仿宋_GB2312"/>
          <w:szCs w:val="32"/>
        </w:rPr>
        <w:t>万元</w:t>
      </w:r>
      <w:r>
        <w:rPr>
          <w:rFonts w:hint="eastAsia" w:ascii="仿宋_GB2312"/>
          <w:szCs w:val="32"/>
          <w:lang w:eastAsia="zh-CN"/>
        </w:rPr>
        <w:t>，</w:t>
      </w:r>
      <w:r>
        <w:rPr>
          <w:rFonts w:hint="eastAsia" w:ascii="仿宋_GB2312"/>
          <w:szCs w:val="32"/>
        </w:rPr>
        <w:t>年末无结转资金。</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2.项目资金使用情况分析：20</w:t>
      </w:r>
      <w:r>
        <w:rPr>
          <w:rFonts w:hint="eastAsia" w:ascii="仿宋_GB2312"/>
          <w:szCs w:val="32"/>
          <w:lang w:val="en-US" w:eastAsia="zh-CN"/>
        </w:rPr>
        <w:t>25</w:t>
      </w:r>
      <w:r>
        <w:rPr>
          <w:rFonts w:hint="eastAsia" w:ascii="仿宋_GB2312"/>
          <w:szCs w:val="32"/>
        </w:rPr>
        <w:t>年支出资金</w:t>
      </w:r>
      <w:r>
        <w:rPr>
          <w:rFonts w:hint="eastAsia" w:ascii="仿宋_GB2312"/>
          <w:szCs w:val="32"/>
          <w:lang w:val="en-US" w:eastAsia="zh-CN"/>
        </w:rPr>
        <w:t>500.</w:t>
      </w:r>
      <w:r>
        <w:rPr>
          <w:rFonts w:hint="eastAsia" w:ascii="仿宋_GB2312"/>
          <w:color w:val="auto"/>
          <w:szCs w:val="32"/>
          <w:lang w:val="en-US" w:eastAsia="zh-CN"/>
        </w:rPr>
        <w:t>293645</w:t>
      </w:r>
      <w:r>
        <w:rPr>
          <w:rFonts w:hint="eastAsia" w:ascii="仿宋_GB2312"/>
          <w:szCs w:val="32"/>
        </w:rPr>
        <w:t>万元，主要为工程款支付。</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3.项目资金管理情况分析</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我单位负责的各基建项目均严格执行基本建设程序，严格执行招投标规定，各项合同签署符合要求，项目资金申报、使用按以下程序进行：</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项目资金申报：项目所需资金依据可研批复、合同金额、以前年度资金结转情况，结合项目进展情况年末由各项目组提出所需资金预算，经集体研究后上报财政部门。次年依据批复的资金预算，根据项目进展情况安排列支项目资金。</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项目资金使用管理：我局项目资金按项目进行管理，确保专款专用。为完整、准确反映项目资金情况，我局开立了基建专户，统一核算基建项目资金，各项目共用银行账户，所有基建项目的资金纳入基建账户核算（项目小、收支单一、当年基本完成收支的项目直接通过零余额账户支付，未并入），针对建设项目特点，基建项目按基本建设程序单独建账核算，按项目分别设出纳账和会计账，银行日记账、现金日记账各项目共用账本，并定期将各基建项目收支结余情况并入单位行政大账。核算中，严格执行国家《会计法》和《基本建设财务会计制度》等相关法律，做到报账程序规范，报账手续完备，会计核算合规。项目实行负责人制，资金支付时按：经办人（项目负责人）提出意见→财务部门意见→分管领导审核→单位领导签批。涉及工程款支付附监理意见。如聘有造价咨询服务部门由其先行审核。涉及重大资金支付时，先按“三重一大”程序进行研究，同意后方可支付。</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资金支付严格执行合同条款，前期工程款支付严格执行监理审批制，后期按审定竣工决算价结合到位资金进行支付，项目资金拔付及时，无截留、挤占、挪用、虚列资金现象，确保专款专用。各项目均纳入审计，投资大的项目为过程中跟踪审计、小的项目竣工后报决算审计。</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（二）项目实施情况分析：</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1.项目组织情况分析</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color w:val="auto"/>
          <w:szCs w:val="32"/>
        </w:rPr>
      </w:pPr>
      <w:r>
        <w:rPr>
          <w:rFonts w:hint="eastAsia" w:ascii="仿宋_GB2312"/>
          <w:szCs w:val="32"/>
        </w:rPr>
        <w:t>呈贡区住建局按照呈贡区人民政府的要求，积极开展项目建设前期工作，筹集建设资金，积极与规划部门、土地部门、涌鑫地产公司研究确定项目规划设计方案，结合项目的实际情况，编制项</w:t>
      </w:r>
      <w:r>
        <w:rPr>
          <w:rFonts w:hint="eastAsia" w:ascii="仿宋_GB2312"/>
          <w:color w:val="auto"/>
          <w:szCs w:val="32"/>
        </w:rPr>
        <w:t>目前期进度计划，协调解决前期工作中出现的重大问题。</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color w:val="auto"/>
          <w:szCs w:val="32"/>
        </w:rPr>
      </w:pPr>
      <w:r>
        <w:rPr>
          <w:rFonts w:hint="eastAsia" w:ascii="仿宋_GB2312"/>
          <w:color w:val="auto"/>
          <w:szCs w:val="32"/>
        </w:rPr>
        <w:t>四条道路目前前期工作已基本完成，各项工作严格执行国家及省市有关法律法规及规范，各项工作严格按照法定程序办理；共计已完成总长约700米的道路施工，下步待涌鑫中心项目地下室完成具备施工作业面时再组织剩余路段的实施。</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2.项目管理情况分析</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呈贡区成立领导小组，确定项目负责人，统一组织协调呈贡17（南段）、28（东段）、31（东段）、彩云路东二分路（南段）建设；负责组织协调项目各项工作，负责起草工作计划、总结、会议纪要等文书和档案管理；组织完善各类审批事项及手续，随时跟进项目设计进度，及时协调解决工作中出现的问题。</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（三）项目绩效情况分析</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1.项目经济性分析：通过项目招投标选择了设计和监理单位，并通过招投标的方式选择造价咨询服务单位进行成本核算，控制项目成本，节约资金。</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2.项目的效率性分析：</w:t>
      </w:r>
      <w:r>
        <w:rPr>
          <w:rFonts w:hint="eastAsia" w:ascii="仿宋_GB2312"/>
          <w:szCs w:val="32"/>
          <w:lang w:eastAsia="zh-CN"/>
        </w:rPr>
        <w:t>根据上级资金安排及项目实际资金需求情况，及时按质按量完成项目资金支付。</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3.项目的效益性分析：项目预期目标完成情况良好，项目建成将为涌鑫哈佛中心提供更加便捷的通行条件，满足道路沿线的行人通行和休闲的需求，提高区域交通网络的通达性和便捷性，项目建设将促进呈贡新区固定资产投资，促进经济发展；四条道路作为呈贡低碳示范核心区低碳路网的首个项目，项目建设将为核心区后续低碳路网建设提供很好的示范和指导作用。</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rPr>
        <w:t>五、综合评价情况及评价结论</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经按“财政支出绩效评价指标体系”进行综合评价，本项目综合得分</w:t>
      </w:r>
      <w:r>
        <w:rPr>
          <w:rFonts w:hint="eastAsia" w:ascii="仿宋_GB2312"/>
          <w:szCs w:val="32"/>
          <w:lang w:val="en-US" w:eastAsia="zh-CN"/>
        </w:rPr>
        <w:t>94</w:t>
      </w:r>
      <w:r>
        <w:rPr>
          <w:rFonts w:hint="eastAsia" w:ascii="仿宋_GB2312"/>
          <w:szCs w:val="32"/>
        </w:rPr>
        <w:t>分，评价等次为“优”。各项评分结果见“项目支出绩效自评指标评分表”。</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rPr>
        <w:t>六、绩效评价结果应用建议</w:t>
      </w:r>
    </w:p>
    <w:p>
      <w:pPr>
        <w:keepNext w:val="0"/>
        <w:keepLines w:val="0"/>
        <w:pageBreakBefore w:val="0"/>
        <w:widowControl w:val="0"/>
        <w:kinsoku/>
        <w:wordWrap/>
        <w:overflowPunct/>
        <w:autoSpaceDE/>
        <w:autoSpaceDN/>
        <w:bidi w:val="0"/>
        <w:adjustRightInd/>
        <w:snapToGrid/>
        <w:spacing w:line="560" w:lineRule="exact"/>
        <w:ind w:firstLine="632" w:firstLineChars="200"/>
        <w:textAlignment w:val="auto"/>
        <w:outlineLvl w:val="0"/>
        <w:rPr>
          <w:rFonts w:hint="eastAsia" w:ascii="仿宋_GB2312"/>
          <w:szCs w:val="32"/>
        </w:rPr>
      </w:pPr>
      <w:r>
        <w:rPr>
          <w:rFonts w:hint="eastAsia" w:ascii="仿宋_GB2312"/>
          <w:szCs w:val="32"/>
        </w:rPr>
        <w:t>以后年度预算资金安排的依据、评价结果应在中共 •呈贡网站上公开，促进项目管理、单位管理。</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rPr>
        <w:t>七、主要经验及做法、存在的问题和建议</w:t>
      </w:r>
    </w:p>
    <w:p>
      <w:pPr>
        <w:keepNext w:val="0"/>
        <w:keepLines w:val="0"/>
        <w:pageBreakBefore w:val="0"/>
        <w:widowControl w:val="0"/>
        <w:tabs>
          <w:tab w:val="left" w:pos="533"/>
        </w:tabs>
        <w:kinsoku/>
        <w:wordWrap/>
        <w:overflowPunct/>
        <w:topLinePunct/>
        <w:autoSpaceDE/>
        <w:autoSpaceDN/>
        <w:bidi w:val="0"/>
        <w:adjustRightInd/>
        <w:snapToGrid/>
        <w:spacing w:line="560" w:lineRule="exact"/>
        <w:ind w:firstLine="632" w:firstLineChars="200"/>
        <w:textAlignment w:val="auto"/>
        <w:rPr>
          <w:rFonts w:hint="eastAsia" w:ascii="仿宋_GB2312"/>
          <w:color w:val="auto"/>
          <w:szCs w:val="32"/>
        </w:rPr>
      </w:pPr>
      <w:r>
        <w:rPr>
          <w:rFonts w:hint="eastAsia" w:ascii="仿宋_GB2312"/>
          <w:color w:val="auto"/>
          <w:szCs w:val="32"/>
        </w:rPr>
        <w:t>由于四条道路均位于涌鑫哈佛中心地下室之上，涌鑫哈佛中心项目推进缓慢，待涌鑫中心项目地下室完成具备施工作业面时再组织剩余路段的实施。</w:t>
      </w:r>
    </w:p>
    <w:p>
      <w:pPr>
        <w:keepNext w:val="0"/>
        <w:keepLines w:val="0"/>
        <w:pageBreakBefore w:val="0"/>
        <w:widowControl w:val="0"/>
        <w:kinsoku/>
        <w:wordWrap/>
        <w:overflowPunct/>
        <w:topLinePunct/>
        <w:autoSpaceDE/>
        <w:autoSpaceDN/>
        <w:bidi w:val="0"/>
        <w:adjustRightInd/>
        <w:snapToGrid/>
        <w:spacing w:line="560" w:lineRule="exact"/>
        <w:ind w:firstLine="632" w:firstLineChars="200"/>
        <w:textAlignment w:val="auto"/>
        <w:rPr>
          <w:rFonts w:hint="eastAsia" w:ascii="黑体" w:eastAsia="黑体" w:hAnsiTheme="minorHAnsi" w:cstheme="minorBidi"/>
          <w:szCs w:val="32"/>
        </w:rPr>
      </w:pPr>
      <w:r>
        <w:rPr>
          <w:rFonts w:hint="eastAsia" w:ascii="黑体" w:eastAsia="黑体" w:hAnsiTheme="minorHAnsi" w:cstheme="minorBidi"/>
          <w:szCs w:val="32"/>
          <w:lang w:val="en-US" w:eastAsia="zh-CN"/>
        </w:rPr>
        <w:t>八、</w:t>
      </w:r>
      <w:r>
        <w:rPr>
          <w:rFonts w:hint="eastAsia" w:ascii="黑体" w:eastAsia="黑体" w:hAnsiTheme="minorHAnsi" w:cstheme="minorBidi"/>
          <w:szCs w:val="32"/>
        </w:rPr>
        <w:t>其他需要说明的问题</w:t>
      </w:r>
    </w:p>
    <w:p>
      <w:pPr>
        <w:keepNext w:val="0"/>
        <w:keepLines w:val="0"/>
        <w:pageBreakBefore w:val="0"/>
        <w:widowControl w:val="0"/>
        <w:numPr>
          <w:ilvl w:val="0"/>
          <w:numId w:val="0"/>
        </w:numPr>
        <w:kinsoku/>
        <w:wordWrap/>
        <w:overflowPunct/>
        <w:autoSpaceDE/>
        <w:autoSpaceDN/>
        <w:bidi w:val="0"/>
        <w:adjustRightInd/>
        <w:snapToGrid/>
        <w:spacing w:line="560" w:lineRule="exact"/>
        <w:ind w:firstLine="632" w:firstLineChars="200"/>
        <w:textAlignment w:val="auto"/>
        <w:rPr>
          <w:rFonts w:hint="eastAsia" w:ascii="仿宋" w:hAnsi="仿宋" w:eastAsia="仿宋" w:cs="仿宋_GB2312"/>
          <w:bCs/>
          <w:szCs w:val="32"/>
          <w:lang w:eastAsia="zh-CN"/>
        </w:rPr>
      </w:pPr>
      <w:r>
        <w:rPr>
          <w:rFonts w:hint="eastAsia" w:ascii="仿宋" w:hAnsi="仿宋" w:eastAsia="仿宋" w:cs="仿宋_GB2312"/>
          <w:bCs/>
          <w:szCs w:val="32"/>
        </w:rPr>
        <w:t>无</w:t>
      </w:r>
      <w:r>
        <w:rPr>
          <w:rFonts w:hint="eastAsia" w:ascii="仿宋" w:hAnsi="仿宋" w:eastAsia="仿宋" w:cs="仿宋_GB2312"/>
          <w:bCs/>
          <w:szCs w:val="32"/>
          <w:lang w:eastAsia="zh-CN"/>
        </w:rPr>
        <w:t>。</w:t>
      </w:r>
    </w:p>
    <w:sectPr>
      <w:footerReference r:id="rId3" w:type="default"/>
      <w:footerReference r:id="rId4" w:type="even"/>
      <w:pgSz w:w="11907" w:h="16840"/>
      <w:pgMar w:top="1327" w:right="1406" w:bottom="1270" w:left="1406" w:header="851" w:footer="1304" w:gutter="0"/>
      <w:cols w:space="720" w:num="1"/>
      <w:docGrid w:type="linesAndChars" w:linePitch="587"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right="335"/>
      <w:rPr>
        <w:rStyle w:val="8"/>
        <w:rFonts w:ascii="宋体"/>
        <w:sz w:val="28"/>
      </w:rPr>
    </w:pPr>
    <w:r>
      <w:rPr>
        <w:rStyle w:val="8"/>
        <w:rFonts w:ascii="宋体" w:hAnsi="宋体"/>
        <w:sz w:val="28"/>
      </w:rPr>
      <w:t>—</w:t>
    </w:r>
    <w:r>
      <w:rPr>
        <w:rStyle w:val="8"/>
        <w:rFonts w:ascii="宋体" w:hAnsi="宋体"/>
        <w:sz w:val="28"/>
      </w:rPr>
      <w:fldChar w:fldCharType="begin"/>
    </w:r>
    <w:r>
      <w:rPr>
        <w:rStyle w:val="8"/>
        <w:rFonts w:ascii="宋体" w:hAnsi="宋体"/>
        <w:sz w:val="28"/>
      </w:rPr>
      <w:instrText xml:space="preserve">PAGE  </w:instrText>
    </w:r>
    <w:r>
      <w:rPr>
        <w:rStyle w:val="8"/>
        <w:rFonts w:ascii="宋体" w:hAnsi="宋体"/>
        <w:sz w:val="28"/>
      </w:rPr>
      <w:fldChar w:fldCharType="separate"/>
    </w:r>
    <w:r>
      <w:rPr>
        <w:rStyle w:val="8"/>
        <w:rFonts w:ascii="宋体" w:hAnsi="宋体"/>
        <w:sz w:val="28"/>
      </w:rPr>
      <w:t>2</w:t>
    </w:r>
    <w:r>
      <w:rPr>
        <w:rStyle w:val="8"/>
        <w:rFonts w:ascii="宋体" w:hAnsi="宋体"/>
        <w:sz w:val="28"/>
      </w:rPr>
      <w:fldChar w:fldCharType="end"/>
    </w:r>
    <w:r>
      <w:rPr>
        <w:rStyle w:val="8"/>
        <w:rFonts w:ascii="宋体" w:hAnsi="宋体"/>
        <w:sz w:val="28"/>
      </w:rPr>
      <w:t>—</w:t>
    </w:r>
  </w:p>
  <w:p>
    <w:pPr>
      <w:pStyle w:val="4"/>
      <w:ind w:right="360" w:firstLine="360"/>
      <w:jc w:val="right"/>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35"/>
      <w:rPr>
        <w:rStyle w:val="8"/>
        <w:rFonts w:ascii="宋体"/>
        <w:sz w:val="28"/>
      </w:rPr>
    </w:pPr>
    <w:r>
      <w:rPr>
        <w:rStyle w:val="8"/>
        <w:rFonts w:ascii="宋体" w:hAnsi="宋体"/>
        <w:sz w:val="28"/>
      </w:rPr>
      <w:t>—</w:t>
    </w:r>
    <w:r>
      <w:rPr>
        <w:rStyle w:val="8"/>
        <w:rFonts w:ascii="宋体" w:hAnsi="宋体"/>
        <w:sz w:val="28"/>
      </w:rPr>
      <w:fldChar w:fldCharType="begin"/>
    </w:r>
    <w:r>
      <w:rPr>
        <w:rStyle w:val="8"/>
        <w:rFonts w:ascii="宋体" w:hAnsi="宋体"/>
        <w:sz w:val="28"/>
      </w:rPr>
      <w:instrText xml:space="preserve">PAGE  </w:instrText>
    </w:r>
    <w:r>
      <w:rPr>
        <w:rStyle w:val="8"/>
        <w:rFonts w:ascii="宋体" w:hAnsi="宋体"/>
        <w:sz w:val="28"/>
      </w:rPr>
      <w:fldChar w:fldCharType="separate"/>
    </w:r>
    <w:r>
      <w:rPr>
        <w:rStyle w:val="8"/>
        <w:rFonts w:ascii="宋体" w:hAnsi="宋体"/>
        <w:sz w:val="28"/>
      </w:rPr>
      <w:t>12</w:t>
    </w:r>
    <w:r>
      <w:rPr>
        <w:rStyle w:val="8"/>
        <w:rFonts w:ascii="宋体" w:hAnsi="宋体"/>
        <w:sz w:val="28"/>
      </w:rPr>
      <w:fldChar w:fldCharType="end"/>
    </w:r>
    <w:r>
      <w:rPr>
        <w:rStyle w:val="8"/>
        <w:rFonts w:ascii="宋体" w:hAnsi="宋体"/>
        <w:sz w:val="28"/>
      </w:rPr>
      <w:t>—</w:t>
    </w:r>
  </w:p>
  <w:p>
    <w:pPr>
      <w:pStyle w:val="4"/>
      <w:ind w:left="300" w:right="360" w:firstLine="360"/>
      <w:rPr>
        <w:sz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2M2NTNmOTRlYWRmYjc0MWFjZWYwNDllZWQwYjVkOWMifQ=="/>
  </w:docVars>
  <w:rsids>
    <w:rsidRoot w:val="004F3375"/>
    <w:rsid w:val="000216FE"/>
    <w:rsid w:val="000217E4"/>
    <w:rsid w:val="00034D83"/>
    <w:rsid w:val="00043AE7"/>
    <w:rsid w:val="000B7F72"/>
    <w:rsid w:val="000D706E"/>
    <w:rsid w:val="000E17B2"/>
    <w:rsid w:val="00107D31"/>
    <w:rsid w:val="00160E41"/>
    <w:rsid w:val="001A161D"/>
    <w:rsid w:val="001A5A20"/>
    <w:rsid w:val="001B598F"/>
    <w:rsid w:val="001C11AA"/>
    <w:rsid w:val="001C5ED4"/>
    <w:rsid w:val="001D59D8"/>
    <w:rsid w:val="00215DA5"/>
    <w:rsid w:val="002232E9"/>
    <w:rsid w:val="00233A80"/>
    <w:rsid w:val="0023430B"/>
    <w:rsid w:val="00237B8C"/>
    <w:rsid w:val="002D779F"/>
    <w:rsid w:val="002E2440"/>
    <w:rsid w:val="00301D3B"/>
    <w:rsid w:val="00320E2F"/>
    <w:rsid w:val="003801D1"/>
    <w:rsid w:val="003847CE"/>
    <w:rsid w:val="00397547"/>
    <w:rsid w:val="003B7E71"/>
    <w:rsid w:val="003C39F7"/>
    <w:rsid w:val="003E4746"/>
    <w:rsid w:val="00410C76"/>
    <w:rsid w:val="00421738"/>
    <w:rsid w:val="004B646E"/>
    <w:rsid w:val="004E0985"/>
    <w:rsid w:val="004E43B2"/>
    <w:rsid w:val="004F3375"/>
    <w:rsid w:val="00512F2B"/>
    <w:rsid w:val="00525333"/>
    <w:rsid w:val="00556153"/>
    <w:rsid w:val="00567C31"/>
    <w:rsid w:val="00576F2B"/>
    <w:rsid w:val="005A3B9D"/>
    <w:rsid w:val="00607DE3"/>
    <w:rsid w:val="00635ED2"/>
    <w:rsid w:val="00686E42"/>
    <w:rsid w:val="006975D4"/>
    <w:rsid w:val="006C5569"/>
    <w:rsid w:val="006C5AD3"/>
    <w:rsid w:val="006F5D22"/>
    <w:rsid w:val="007276F9"/>
    <w:rsid w:val="007621CC"/>
    <w:rsid w:val="007A141B"/>
    <w:rsid w:val="007E08BE"/>
    <w:rsid w:val="0081123C"/>
    <w:rsid w:val="00815657"/>
    <w:rsid w:val="00826E8D"/>
    <w:rsid w:val="008547D2"/>
    <w:rsid w:val="00866DE2"/>
    <w:rsid w:val="008D0A9F"/>
    <w:rsid w:val="00912889"/>
    <w:rsid w:val="009427B0"/>
    <w:rsid w:val="00982F71"/>
    <w:rsid w:val="00992703"/>
    <w:rsid w:val="009977E5"/>
    <w:rsid w:val="009A4F23"/>
    <w:rsid w:val="009E5E00"/>
    <w:rsid w:val="009F63B6"/>
    <w:rsid w:val="00A44D6C"/>
    <w:rsid w:val="00A63BD7"/>
    <w:rsid w:val="00A63DC3"/>
    <w:rsid w:val="00A6795B"/>
    <w:rsid w:val="00A830DA"/>
    <w:rsid w:val="00AA5A97"/>
    <w:rsid w:val="00AA5D2B"/>
    <w:rsid w:val="00B174E6"/>
    <w:rsid w:val="00B76A9C"/>
    <w:rsid w:val="00C05701"/>
    <w:rsid w:val="00C26B13"/>
    <w:rsid w:val="00C54533"/>
    <w:rsid w:val="00C76206"/>
    <w:rsid w:val="00C8554C"/>
    <w:rsid w:val="00C91A26"/>
    <w:rsid w:val="00CC2C24"/>
    <w:rsid w:val="00CF5257"/>
    <w:rsid w:val="00D23C9D"/>
    <w:rsid w:val="00D3413A"/>
    <w:rsid w:val="00D921E7"/>
    <w:rsid w:val="00DC2229"/>
    <w:rsid w:val="00DC6BD7"/>
    <w:rsid w:val="00DF1428"/>
    <w:rsid w:val="00E04171"/>
    <w:rsid w:val="00E046C2"/>
    <w:rsid w:val="00E85607"/>
    <w:rsid w:val="00E86B0D"/>
    <w:rsid w:val="00EC6308"/>
    <w:rsid w:val="00F3211D"/>
    <w:rsid w:val="00F423A4"/>
    <w:rsid w:val="00F56F20"/>
    <w:rsid w:val="00F83A70"/>
    <w:rsid w:val="00FE1526"/>
    <w:rsid w:val="05D2339D"/>
    <w:rsid w:val="06EC048E"/>
    <w:rsid w:val="07EA7626"/>
    <w:rsid w:val="08362309"/>
    <w:rsid w:val="0A7C4BAD"/>
    <w:rsid w:val="0AC05EBA"/>
    <w:rsid w:val="0C3711A5"/>
    <w:rsid w:val="0C4A67C6"/>
    <w:rsid w:val="0CAF268A"/>
    <w:rsid w:val="0D2950B0"/>
    <w:rsid w:val="0E514321"/>
    <w:rsid w:val="11742079"/>
    <w:rsid w:val="13AE40C4"/>
    <w:rsid w:val="14CF38C9"/>
    <w:rsid w:val="18207D16"/>
    <w:rsid w:val="1BAC2561"/>
    <w:rsid w:val="1C19367C"/>
    <w:rsid w:val="1DCB0151"/>
    <w:rsid w:val="1E676920"/>
    <w:rsid w:val="20AD40A8"/>
    <w:rsid w:val="20C93A29"/>
    <w:rsid w:val="251C5153"/>
    <w:rsid w:val="266965B8"/>
    <w:rsid w:val="287F689F"/>
    <w:rsid w:val="299A1E13"/>
    <w:rsid w:val="2E1D475E"/>
    <w:rsid w:val="2F343461"/>
    <w:rsid w:val="306C2E46"/>
    <w:rsid w:val="34CC177B"/>
    <w:rsid w:val="35EAE34A"/>
    <w:rsid w:val="369448AB"/>
    <w:rsid w:val="374C482B"/>
    <w:rsid w:val="38024F41"/>
    <w:rsid w:val="3B133C60"/>
    <w:rsid w:val="3C844A43"/>
    <w:rsid w:val="3FEF631E"/>
    <w:rsid w:val="41B851CE"/>
    <w:rsid w:val="41DD0863"/>
    <w:rsid w:val="43D24E36"/>
    <w:rsid w:val="440715A6"/>
    <w:rsid w:val="476D1FE7"/>
    <w:rsid w:val="49BE56DF"/>
    <w:rsid w:val="4A480739"/>
    <w:rsid w:val="4DCE630D"/>
    <w:rsid w:val="4F1E452A"/>
    <w:rsid w:val="4FF708C0"/>
    <w:rsid w:val="52BF2076"/>
    <w:rsid w:val="57014A77"/>
    <w:rsid w:val="589046EA"/>
    <w:rsid w:val="5B814FC7"/>
    <w:rsid w:val="5D2B2C34"/>
    <w:rsid w:val="5D7E0FB5"/>
    <w:rsid w:val="5DD31C61"/>
    <w:rsid w:val="5E297600"/>
    <w:rsid w:val="5F90183E"/>
    <w:rsid w:val="621C30C1"/>
    <w:rsid w:val="643B19AE"/>
    <w:rsid w:val="67FD9934"/>
    <w:rsid w:val="6B8D28EB"/>
    <w:rsid w:val="6C4038DA"/>
    <w:rsid w:val="6F502086"/>
    <w:rsid w:val="6F6873CF"/>
    <w:rsid w:val="70524E85"/>
    <w:rsid w:val="76734D03"/>
    <w:rsid w:val="7F3E6089"/>
    <w:rsid w:val="A3968ED8"/>
    <w:rsid w:val="BF744379"/>
    <w:rsid w:val="D9FF5060"/>
    <w:rsid w:val="DBDE043C"/>
    <w:rsid w:val="FEFBD13E"/>
    <w:rsid w:val="FFF7AEE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rPr>
      <w:rFonts w:ascii="Calibri" w:hAnsi="Calibri" w:eastAsia="宋体" w:cs="Times New Roman"/>
    </w:rPr>
  </w:style>
  <w:style w:type="paragraph" w:styleId="3">
    <w:name w:val="Body Text Indent"/>
    <w:basedOn w:val="1"/>
    <w:qFormat/>
    <w:uiPriority w:val="0"/>
    <w:pPr>
      <w:ind w:firstLine="632" w:firstLineChars="200"/>
    </w:pPr>
    <w:rPr>
      <w:rFonts w:eastAsia="仿宋_GB2312" w:cs="Times New Roman"/>
      <w:sz w:val="20"/>
      <w:szCs w:val="20"/>
    </w:rPr>
  </w:style>
  <w:style w:type="paragraph" w:styleId="4">
    <w:name w:val="footer"/>
    <w:basedOn w:val="1"/>
    <w:link w:val="9"/>
    <w:qFormat/>
    <w:uiPriority w:val="99"/>
    <w:pPr>
      <w:tabs>
        <w:tab w:val="center" w:pos="4153"/>
        <w:tab w:val="right" w:pos="8306"/>
      </w:tabs>
      <w:snapToGrid w:val="0"/>
      <w:jc w:val="left"/>
    </w:pPr>
    <w:rPr>
      <w:rFonts w:ascii="Calibri" w:hAnsi="Calibri" w:eastAsia="宋体"/>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character" w:styleId="8">
    <w:name w:val="page number"/>
    <w:basedOn w:val="7"/>
    <w:qFormat/>
    <w:uiPriority w:val="99"/>
    <w:rPr>
      <w:rFonts w:cs="Times New Roman"/>
    </w:rPr>
  </w:style>
  <w:style w:type="character" w:customStyle="1" w:styleId="9">
    <w:name w:val="Footer Char"/>
    <w:basedOn w:val="7"/>
    <w:link w:val="4"/>
    <w:qFormat/>
    <w:locked/>
    <w:uiPriority w:val="99"/>
    <w:rPr>
      <w:rFonts w:cs="Times New Roman"/>
      <w:sz w:val="18"/>
      <w:szCs w:val="18"/>
    </w:rPr>
  </w:style>
  <w:style w:type="character" w:customStyle="1" w:styleId="10">
    <w:name w:val="Header Char"/>
    <w:basedOn w:val="7"/>
    <w:link w:val="5"/>
    <w:qFormat/>
    <w:locked/>
    <w:uiPriority w:val="99"/>
    <w:rPr>
      <w:rFonts w:cs="Times New Roman"/>
      <w:sz w:val="18"/>
      <w:szCs w:val="18"/>
    </w:rPr>
  </w:style>
  <w:style w:type="paragraph" w:customStyle="1" w:styleId="11">
    <w:name w:val="列出段落1"/>
    <w:basedOn w:val="1"/>
    <w:qFormat/>
    <w:uiPriority w:val="99"/>
    <w:pPr>
      <w:ind w:firstLine="420" w:firstLineChars="200"/>
    </w:pPr>
  </w:style>
  <w:style w:type="paragraph" w:styleId="1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6</Pages>
  <Words>2946</Words>
  <Characters>3105</Characters>
  <Lines>0</Lines>
  <Paragraphs>0</Paragraphs>
  <TotalTime>2</TotalTime>
  <ScaleCrop>false</ScaleCrop>
  <LinksUpToDate>false</LinksUpToDate>
  <CharactersWithSpaces>3109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2018-04-07T11:30:00Z</dcterms:created>
  <dc:creator>pc</dc:creator>
  <cp:lastModifiedBy>HP</cp:lastModifiedBy>
  <dcterms:modified xsi:type="dcterms:W3CDTF">2026-04-15T02:42:59Z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3E1B3048672F444790DC2F48227AB049</vt:lpwstr>
  </property>
</Properties>
</file>