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75707">
      <w:pPr>
        <w:jc w:val="center"/>
        <w:outlineLvl w:val="0"/>
        <w:rPr>
          <w:rFonts w:hint="eastAsia" w:hAnsi="宋体" w:eastAsia="宋体"/>
          <w:b/>
          <w:color w:val="auto"/>
          <w:sz w:val="28"/>
          <w:szCs w:val="28"/>
          <w:highlight w:val="none"/>
          <w:lang w:eastAsia="zh-CN"/>
        </w:rPr>
      </w:pPr>
      <w:r>
        <w:rPr>
          <w:rFonts w:hint="eastAsia" w:hAnsi="宋体"/>
          <w:b/>
          <w:color w:val="auto"/>
          <w:sz w:val="28"/>
          <w:szCs w:val="28"/>
          <w:highlight w:val="none"/>
          <w:lang w:eastAsia="zh-CN"/>
        </w:rPr>
        <w:t>昆明市呈贡区市场监督管理局固定资产清理盘点、报废及二维码管理服务采购比选公告</w:t>
      </w:r>
    </w:p>
    <w:p w14:paraId="6C0FD9D6">
      <w:pPr>
        <w:pBdr>
          <w:top w:val="single" w:color="auto" w:sz="4" w:space="1"/>
          <w:left w:val="single" w:color="auto" w:sz="4" w:space="4"/>
          <w:bottom w:val="single" w:color="auto" w:sz="4" w:space="18"/>
          <w:right w:val="single" w:color="auto" w:sz="4" w:space="4"/>
        </w:pBdr>
        <w:spacing w:line="440" w:lineRule="exact"/>
        <w:ind w:firstLine="422" w:firstLineChars="200"/>
        <w:jc w:val="center"/>
        <w:rPr>
          <w:rFonts w:ascii="宋体" w:cs="宋体"/>
          <w:b/>
          <w:bCs/>
          <w:color w:val="auto"/>
          <w:szCs w:val="21"/>
          <w:highlight w:val="none"/>
        </w:rPr>
      </w:pPr>
      <w:r>
        <w:rPr>
          <w:rFonts w:hint="eastAsia" w:ascii="宋体" w:cs="宋体"/>
          <w:b/>
          <w:bCs/>
          <w:color w:val="auto"/>
          <w:szCs w:val="21"/>
          <w:highlight w:val="none"/>
        </w:rPr>
        <w:t>项目概况</w:t>
      </w:r>
    </w:p>
    <w:p w14:paraId="4DC462D3">
      <w:pPr>
        <w:pBdr>
          <w:top w:val="single" w:color="auto" w:sz="4" w:space="1"/>
          <w:left w:val="single" w:color="auto" w:sz="4" w:space="4"/>
          <w:bottom w:val="single" w:color="auto" w:sz="4" w:space="18"/>
          <w:right w:val="single" w:color="auto" w:sz="4" w:space="4"/>
        </w:pBdr>
        <w:spacing w:line="440" w:lineRule="exact"/>
        <w:ind w:firstLine="420" w:firstLineChars="200"/>
        <w:rPr>
          <w:rFonts w:ascii="宋体"/>
          <w:b/>
          <w:bCs/>
          <w:color w:val="auto"/>
          <w:szCs w:val="21"/>
          <w:highlight w:val="none"/>
        </w:rPr>
      </w:pPr>
      <w:r>
        <w:rPr>
          <w:rFonts w:hint="eastAsia"/>
          <w:color w:val="auto"/>
          <w:highlight w:val="none"/>
          <w:lang w:eastAsia="zh-CN"/>
        </w:rPr>
        <w:t>昆明市呈贡区市场监督管理局固定资产清理盘点、报废及二维码管理服务采购</w:t>
      </w:r>
      <w:r>
        <w:rPr>
          <w:rFonts w:hint="eastAsia" w:ascii="宋体" w:cs="宋体"/>
          <w:color w:val="auto"/>
          <w:szCs w:val="21"/>
          <w:highlight w:val="none"/>
        </w:rPr>
        <w:t>的潜在</w:t>
      </w:r>
      <w:r>
        <w:rPr>
          <w:rFonts w:hint="eastAsia" w:ascii="宋体" w:cs="宋体"/>
          <w:color w:val="auto"/>
          <w:szCs w:val="21"/>
          <w:highlight w:val="none"/>
          <w:lang w:eastAsia="zh-CN"/>
        </w:rPr>
        <w:t>比选申请人</w:t>
      </w:r>
      <w:r>
        <w:rPr>
          <w:rFonts w:hint="eastAsia" w:ascii="宋体" w:cs="宋体"/>
          <w:color w:val="auto"/>
          <w:szCs w:val="21"/>
          <w:highlight w:val="none"/>
        </w:rPr>
        <w:t>应在</w:t>
      </w:r>
      <w:r>
        <w:rPr>
          <w:rFonts w:hint="eastAsia" w:ascii="宋体" w:hAnsi="宋体" w:cs="宋体"/>
          <w:color w:val="auto"/>
          <w:kern w:val="0"/>
          <w:szCs w:val="21"/>
          <w:highlight w:val="none"/>
          <w:lang w:val="en-US" w:eastAsia="zh-CN"/>
        </w:rPr>
        <w:t>融科匠业工程咨询有限公司昆明分公司</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昆明市呈贡区惠景园20栋2单元101室）</w:t>
      </w:r>
      <w:r>
        <w:rPr>
          <w:rFonts w:hint="eastAsia" w:ascii="宋体" w:cs="宋体"/>
          <w:color w:val="auto"/>
          <w:szCs w:val="21"/>
          <w:highlight w:val="none"/>
        </w:rPr>
        <w:t>于</w:t>
      </w:r>
      <w:r>
        <w:rPr>
          <w:rFonts w:hint="eastAsia" w:ascii="宋体" w:cs="宋体"/>
          <w:color w:val="auto"/>
          <w:szCs w:val="21"/>
          <w:highlight w:val="none"/>
          <w:u w:val="single"/>
        </w:rPr>
        <w:t>202</w:t>
      </w:r>
      <w:r>
        <w:rPr>
          <w:rFonts w:hint="eastAsia" w:ascii="宋体" w:cs="宋体"/>
          <w:color w:val="auto"/>
          <w:szCs w:val="21"/>
          <w:highlight w:val="none"/>
          <w:u w:val="single"/>
          <w:lang w:val="en-US" w:eastAsia="zh-CN"/>
        </w:rPr>
        <w:t>6</w:t>
      </w:r>
      <w:r>
        <w:rPr>
          <w:rFonts w:hint="eastAsia" w:ascii="宋体" w:cs="宋体"/>
          <w:color w:val="auto"/>
          <w:szCs w:val="21"/>
          <w:highlight w:val="none"/>
          <w:u w:val="single"/>
        </w:rPr>
        <w:t>年</w:t>
      </w:r>
      <w:r>
        <w:rPr>
          <w:rFonts w:hint="eastAsia" w:ascii="宋体" w:cs="宋体"/>
          <w:color w:val="auto"/>
          <w:szCs w:val="21"/>
          <w:highlight w:val="none"/>
          <w:u w:val="single"/>
          <w:lang w:val="en-US" w:eastAsia="zh-CN"/>
        </w:rPr>
        <w:t>7</w:t>
      </w:r>
      <w:r>
        <w:rPr>
          <w:rFonts w:hint="eastAsia" w:ascii="宋体" w:cs="宋体"/>
          <w:color w:val="auto"/>
          <w:szCs w:val="21"/>
          <w:highlight w:val="none"/>
          <w:u w:val="single"/>
        </w:rPr>
        <w:t>月</w:t>
      </w:r>
      <w:r>
        <w:rPr>
          <w:rFonts w:hint="eastAsia" w:ascii="宋体" w:cs="宋体"/>
          <w:color w:val="auto"/>
          <w:szCs w:val="21"/>
          <w:highlight w:val="none"/>
          <w:u w:val="single"/>
          <w:lang w:val="en-US" w:eastAsia="zh-CN"/>
        </w:rPr>
        <w:t>29</w:t>
      </w:r>
      <w:r>
        <w:rPr>
          <w:rFonts w:hint="eastAsia" w:ascii="宋体" w:cs="宋体"/>
          <w:color w:val="auto"/>
          <w:szCs w:val="21"/>
          <w:highlight w:val="none"/>
          <w:u w:val="single"/>
        </w:rPr>
        <w:t>日</w:t>
      </w:r>
      <w:r>
        <w:rPr>
          <w:rFonts w:hint="eastAsia" w:ascii="宋体" w:cs="宋体"/>
          <w:color w:val="auto"/>
          <w:szCs w:val="21"/>
          <w:highlight w:val="none"/>
          <w:u w:val="single"/>
          <w:lang w:val="en-US" w:eastAsia="zh-CN"/>
        </w:rPr>
        <w:t>10</w:t>
      </w:r>
      <w:r>
        <w:rPr>
          <w:rFonts w:hint="eastAsia" w:ascii="宋体" w:cs="宋体"/>
          <w:color w:val="auto"/>
          <w:szCs w:val="21"/>
          <w:highlight w:val="none"/>
          <w:u w:val="single"/>
        </w:rPr>
        <w:t>时</w:t>
      </w:r>
      <w:r>
        <w:rPr>
          <w:rFonts w:hint="eastAsia" w:ascii="宋体" w:cs="宋体"/>
          <w:color w:val="auto"/>
          <w:szCs w:val="21"/>
          <w:highlight w:val="none"/>
          <w:u w:val="single"/>
          <w:lang w:val="en-US" w:eastAsia="zh-CN"/>
        </w:rPr>
        <w:t>00</w:t>
      </w:r>
      <w:r>
        <w:rPr>
          <w:rFonts w:hint="eastAsia" w:ascii="宋体" w:cs="宋体"/>
          <w:color w:val="auto"/>
          <w:szCs w:val="21"/>
          <w:highlight w:val="none"/>
          <w:u w:val="single"/>
        </w:rPr>
        <w:t>分</w:t>
      </w:r>
      <w:r>
        <w:rPr>
          <w:rFonts w:hint="eastAsia" w:ascii="宋体" w:cs="宋体"/>
          <w:bCs/>
          <w:color w:val="auto"/>
          <w:szCs w:val="21"/>
          <w:highlight w:val="none"/>
        </w:rPr>
        <w:t>（北京时间）前递交</w:t>
      </w:r>
      <w:r>
        <w:rPr>
          <w:rFonts w:hint="eastAsia" w:ascii="宋体" w:cs="宋体"/>
          <w:bCs/>
          <w:color w:val="auto"/>
          <w:szCs w:val="21"/>
          <w:highlight w:val="none"/>
          <w:lang w:eastAsia="zh-CN"/>
        </w:rPr>
        <w:t>响应文件</w:t>
      </w:r>
      <w:r>
        <w:rPr>
          <w:rFonts w:hint="eastAsia" w:ascii="宋体" w:cs="宋体"/>
          <w:color w:val="auto"/>
          <w:szCs w:val="21"/>
          <w:highlight w:val="none"/>
        </w:rPr>
        <w:t>。</w:t>
      </w:r>
    </w:p>
    <w:p w14:paraId="2A09E791">
      <w:pPr>
        <w:pStyle w:val="3"/>
        <w:adjustRightInd w:val="0"/>
        <w:snapToGrid w:val="0"/>
        <w:spacing w:before="0" w:beforeAutospacing="0" w:after="0" w:afterAutospacing="0" w:line="360" w:lineRule="auto"/>
        <w:rPr>
          <w:rFonts w:ascii="宋体"/>
          <w:b/>
          <w:bCs/>
          <w:color w:val="auto"/>
          <w:kern w:val="2"/>
          <w:sz w:val="21"/>
          <w:szCs w:val="21"/>
          <w:highlight w:val="none"/>
        </w:rPr>
      </w:pPr>
    </w:p>
    <w:p w14:paraId="101F662B">
      <w:pPr>
        <w:spacing w:line="360" w:lineRule="auto"/>
        <w:outlineLvl w:val="0"/>
        <w:rPr>
          <w:rFonts w:hint="eastAsia" w:ascii="宋体" w:hAnsi="宋体" w:cs="宋体"/>
          <w:b/>
          <w:color w:val="auto"/>
          <w:highlight w:val="none"/>
        </w:rPr>
      </w:pPr>
      <w:bookmarkStart w:id="0" w:name="_Toc85555606"/>
      <w:bookmarkStart w:id="1" w:name="_Toc3974"/>
      <w:bookmarkStart w:id="2" w:name="_Toc10598"/>
      <w:bookmarkStart w:id="3" w:name="_Toc9504"/>
      <w:bookmarkStart w:id="4" w:name="_Toc10098"/>
      <w:bookmarkStart w:id="5" w:name="_Toc31313"/>
      <w:bookmarkStart w:id="6" w:name="_Toc19807"/>
      <w:bookmarkStart w:id="7" w:name="_Toc30269"/>
      <w:bookmarkStart w:id="8" w:name="_Toc3805"/>
      <w:bookmarkStart w:id="9" w:name="_Toc23310"/>
      <w:bookmarkStart w:id="10" w:name="_Toc25340"/>
      <w:bookmarkStart w:id="11" w:name="_Toc7079"/>
      <w:bookmarkStart w:id="12" w:name="_Toc8391"/>
      <w:bookmarkStart w:id="13" w:name="_Toc1870"/>
      <w:bookmarkStart w:id="14" w:name="_Toc21048"/>
      <w:bookmarkStart w:id="15" w:name="_Toc9112"/>
      <w:bookmarkStart w:id="16" w:name="_Toc13922"/>
      <w:bookmarkStart w:id="17" w:name="_Toc1262"/>
      <w:bookmarkStart w:id="18" w:name="_Toc4138"/>
      <w:bookmarkStart w:id="19" w:name="_Toc22792"/>
      <w:bookmarkStart w:id="20" w:name="_Toc5525"/>
      <w:bookmarkStart w:id="21" w:name="_Toc13531"/>
      <w:bookmarkStart w:id="22" w:name="_Toc8215"/>
      <w:r>
        <w:rPr>
          <w:rFonts w:hint="eastAsia" w:ascii="宋体" w:hAnsi="宋体" w:cs="宋体"/>
          <w:b/>
          <w:color w:val="auto"/>
          <w:highlight w:val="none"/>
        </w:rPr>
        <w:t>1.</w:t>
      </w:r>
      <w:r>
        <w:rPr>
          <w:rFonts w:hint="eastAsia" w:ascii="宋体" w:hAnsi="宋体" w:cs="宋体"/>
          <w:b/>
          <w:color w:val="auto"/>
          <w:highlight w:val="none"/>
          <w:lang w:val="en-US" w:eastAsia="zh-CN"/>
        </w:rPr>
        <w:t>比选</w:t>
      </w:r>
      <w:r>
        <w:rPr>
          <w:rFonts w:hint="eastAsia" w:ascii="宋体" w:hAnsi="宋体" w:cs="宋体"/>
          <w:b/>
          <w:color w:val="auto"/>
          <w:highlight w:val="none"/>
        </w:rPr>
        <w:t>条件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BA0E923">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根据相关法律法规的规定，</w:t>
      </w:r>
      <w:r>
        <w:rPr>
          <w:rFonts w:hint="eastAsia" w:ascii="宋体" w:hAnsi="宋体" w:cs="宋体"/>
          <w:bCs/>
          <w:color w:val="auto"/>
          <w:highlight w:val="none"/>
          <w:lang w:eastAsia="zh-CN"/>
        </w:rPr>
        <w:t>融科匠业工程咨询有限公司</w:t>
      </w:r>
      <w:r>
        <w:rPr>
          <w:rFonts w:hint="eastAsia" w:ascii="宋体" w:hAnsi="宋体" w:cs="宋体"/>
          <w:bCs/>
          <w:color w:val="auto"/>
          <w:highlight w:val="none"/>
        </w:rPr>
        <w:t>（以下简称：</w:t>
      </w:r>
      <w:r>
        <w:rPr>
          <w:rFonts w:hint="eastAsia" w:ascii="宋体" w:hAnsi="宋体" w:cs="宋体"/>
          <w:bCs/>
          <w:color w:val="auto"/>
          <w:highlight w:val="none"/>
          <w:lang w:eastAsia="zh-CN"/>
        </w:rPr>
        <w:t>采购代理机构</w:t>
      </w:r>
      <w:r>
        <w:rPr>
          <w:rFonts w:hint="eastAsia" w:ascii="宋体" w:hAnsi="宋体" w:cs="宋体"/>
          <w:bCs/>
          <w:color w:val="auto"/>
          <w:highlight w:val="none"/>
        </w:rPr>
        <w:t>）受</w:t>
      </w:r>
      <w:r>
        <w:rPr>
          <w:rFonts w:hint="eastAsia" w:ascii="宋体" w:hAnsi="宋体" w:cs="宋体"/>
          <w:bCs/>
          <w:color w:val="auto"/>
          <w:highlight w:val="none"/>
          <w:lang w:eastAsia="zh-CN"/>
        </w:rPr>
        <w:t>昆明市呈贡区市场监督管理局</w:t>
      </w:r>
      <w:r>
        <w:rPr>
          <w:rFonts w:hint="eastAsia" w:ascii="宋体" w:hAnsi="宋体" w:cs="宋体"/>
          <w:bCs/>
          <w:color w:val="auto"/>
          <w:highlight w:val="none"/>
        </w:rPr>
        <w:t>（以下简称：</w:t>
      </w:r>
      <w:r>
        <w:rPr>
          <w:rFonts w:hint="eastAsia" w:ascii="宋体" w:hAnsi="宋体" w:cs="宋体"/>
          <w:bCs/>
          <w:color w:val="auto"/>
          <w:highlight w:val="none"/>
          <w:lang w:eastAsia="zh-CN"/>
        </w:rPr>
        <w:t>采购人</w:t>
      </w:r>
      <w:r>
        <w:rPr>
          <w:rFonts w:hint="eastAsia" w:ascii="宋体" w:hAnsi="宋体" w:cs="宋体"/>
          <w:bCs/>
          <w:color w:val="auto"/>
          <w:highlight w:val="none"/>
        </w:rPr>
        <w:t>）委托，对“</w:t>
      </w:r>
      <w:r>
        <w:rPr>
          <w:rFonts w:hint="eastAsia" w:ascii="宋体" w:hAnsi="宋体" w:cs="宋体"/>
          <w:bCs/>
          <w:color w:val="auto"/>
          <w:highlight w:val="none"/>
          <w:lang w:eastAsia="zh-CN"/>
        </w:rPr>
        <w:t>昆明市呈贡区市场监督管理局固定资产清理盘点、报废及二维码管理服务采购</w:t>
      </w:r>
      <w:r>
        <w:rPr>
          <w:rFonts w:hint="eastAsia" w:ascii="宋体" w:hAnsi="宋体" w:cs="宋体"/>
          <w:bCs/>
          <w:color w:val="auto"/>
          <w:highlight w:val="none"/>
        </w:rPr>
        <w:t>”（</w:t>
      </w:r>
      <w:r>
        <w:rPr>
          <w:rFonts w:hint="eastAsia" w:ascii="宋体" w:hAnsi="宋体" w:cs="宋体"/>
          <w:bCs/>
          <w:color w:val="auto"/>
          <w:highlight w:val="none"/>
          <w:lang w:eastAsia="zh-CN"/>
        </w:rPr>
        <w:t>项目编号：RKJYKM-2026-0701</w:t>
      </w:r>
      <w:r>
        <w:rPr>
          <w:rFonts w:hint="eastAsia" w:ascii="宋体" w:hAnsi="宋体" w:cs="宋体"/>
          <w:bCs/>
          <w:color w:val="auto"/>
          <w:highlight w:val="none"/>
        </w:rPr>
        <w:t>）进行公开</w:t>
      </w:r>
      <w:r>
        <w:rPr>
          <w:rFonts w:hint="eastAsia" w:ascii="宋体" w:hAnsi="宋体" w:cs="宋体"/>
          <w:bCs/>
          <w:color w:val="auto"/>
          <w:highlight w:val="none"/>
          <w:lang w:val="en-US" w:eastAsia="zh-CN"/>
        </w:rPr>
        <w:t>比选</w:t>
      </w:r>
      <w:r>
        <w:rPr>
          <w:rFonts w:hint="eastAsia" w:ascii="宋体" w:hAnsi="宋体" w:cs="宋体"/>
          <w:bCs/>
          <w:color w:val="auto"/>
          <w:highlight w:val="none"/>
        </w:rPr>
        <w:t>，项目已具备</w:t>
      </w:r>
      <w:r>
        <w:rPr>
          <w:rFonts w:hint="eastAsia" w:ascii="宋体" w:hAnsi="宋体" w:cs="宋体"/>
          <w:bCs/>
          <w:color w:val="auto"/>
          <w:highlight w:val="none"/>
          <w:lang w:val="en-US" w:eastAsia="zh-CN"/>
        </w:rPr>
        <w:t>比选</w:t>
      </w:r>
      <w:r>
        <w:rPr>
          <w:rFonts w:hint="eastAsia" w:ascii="宋体" w:hAnsi="宋体" w:cs="宋体"/>
          <w:bCs/>
          <w:color w:val="auto"/>
          <w:highlight w:val="none"/>
        </w:rPr>
        <w:t>条件，诚邀具有相应资格的</w:t>
      </w:r>
      <w:r>
        <w:rPr>
          <w:rFonts w:hint="eastAsia" w:ascii="宋体" w:hAnsi="宋体" w:cs="宋体"/>
          <w:bCs/>
          <w:color w:val="auto"/>
          <w:highlight w:val="none"/>
          <w:lang w:eastAsia="zh-CN"/>
        </w:rPr>
        <w:t>比选申请人</w:t>
      </w:r>
      <w:r>
        <w:rPr>
          <w:rFonts w:hint="eastAsia" w:ascii="宋体" w:hAnsi="宋体" w:cs="宋体"/>
          <w:bCs/>
          <w:color w:val="auto"/>
          <w:highlight w:val="none"/>
        </w:rPr>
        <w:t>参加本项目的投标。</w:t>
      </w:r>
    </w:p>
    <w:p w14:paraId="0723C2B0">
      <w:pPr>
        <w:tabs>
          <w:tab w:val="left" w:pos="5690"/>
        </w:tabs>
        <w:spacing w:line="360" w:lineRule="auto"/>
        <w:outlineLvl w:val="0"/>
        <w:rPr>
          <w:rFonts w:hint="eastAsia" w:ascii="宋体" w:hAnsi="宋体" w:eastAsia="宋体" w:cs="宋体"/>
          <w:b/>
          <w:color w:val="auto"/>
          <w:highlight w:val="none"/>
          <w:lang w:eastAsia="zh-CN"/>
        </w:rPr>
      </w:pPr>
      <w:bookmarkStart w:id="23" w:name="_Toc5482"/>
      <w:bookmarkStart w:id="24" w:name="_Toc28459"/>
      <w:bookmarkStart w:id="25" w:name="_Toc18830"/>
      <w:bookmarkStart w:id="26" w:name="_Toc12775"/>
      <w:bookmarkStart w:id="27" w:name="_Toc3103"/>
      <w:bookmarkStart w:id="28" w:name="_Toc21279"/>
      <w:bookmarkStart w:id="29" w:name="_Toc19375"/>
      <w:bookmarkStart w:id="30" w:name="_Toc25258"/>
      <w:bookmarkStart w:id="31" w:name="_Toc30888"/>
      <w:bookmarkStart w:id="32" w:name="_Toc1299"/>
      <w:bookmarkStart w:id="33" w:name="_Toc16859"/>
      <w:bookmarkStart w:id="34" w:name="_Toc1113"/>
      <w:bookmarkStart w:id="35" w:name="_Toc23648"/>
      <w:bookmarkStart w:id="36" w:name="_Toc85555607"/>
      <w:bookmarkStart w:id="37" w:name="_Toc29896"/>
      <w:bookmarkStart w:id="38" w:name="_Toc2427"/>
      <w:bookmarkStart w:id="39" w:name="_Toc24420"/>
      <w:bookmarkStart w:id="40" w:name="_Toc4486"/>
      <w:bookmarkStart w:id="41" w:name="_Toc21480"/>
      <w:bookmarkStart w:id="42" w:name="_Toc30586"/>
      <w:bookmarkStart w:id="43" w:name="_Toc8941"/>
      <w:bookmarkStart w:id="44" w:name="_Toc17355"/>
      <w:bookmarkStart w:id="45" w:name="_Toc8572"/>
      <w:bookmarkStart w:id="46" w:name="_Toc23769"/>
      <w:bookmarkStart w:id="47" w:name="_Toc3032"/>
      <w:bookmarkStart w:id="48" w:name="_Toc4609"/>
      <w:r>
        <w:rPr>
          <w:rFonts w:hint="eastAsia" w:ascii="宋体" w:hAnsi="宋体" w:cs="宋体"/>
          <w:b/>
          <w:color w:val="auto"/>
          <w:highlight w:val="none"/>
        </w:rPr>
        <w:t>2.项目概况与服务内容</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hint="eastAsia" w:ascii="宋体" w:hAnsi="宋体" w:cs="宋体"/>
          <w:b/>
          <w:color w:val="auto"/>
          <w:highlight w:val="none"/>
          <w:lang w:eastAsia="zh-CN"/>
        </w:rPr>
        <w:tab/>
      </w:r>
    </w:p>
    <w:p w14:paraId="1B9DF8A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2.1项目名称：</w:t>
      </w:r>
      <w:r>
        <w:rPr>
          <w:rFonts w:hint="eastAsia" w:ascii="宋体" w:hAnsi="宋体" w:cs="宋体"/>
          <w:color w:val="auto"/>
          <w:szCs w:val="21"/>
          <w:highlight w:val="none"/>
          <w:lang w:eastAsia="zh-CN"/>
        </w:rPr>
        <w:t>昆明市呈贡区市场监督管理局固定资产清理盘点、报废及二维码管理服务采购</w:t>
      </w:r>
    </w:p>
    <w:p w14:paraId="7D7ACC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范围：根据《行政事业性国有资产管理条例》（国务院令第738号）、《昆明市呈贡区人民政府关于印发&lt;昆明市呈贡区行政事业单位国有资产管理办法&gt;的通知》（呈政发〔2022〕22号）及《昆明市呈贡区财政局昆明市呈贡区机关事务管理局关于印发&lt;昆明市呈贡区区级行政事业单位国有资产处置管理办法&gt;的通知》（呈财〔2022〕17号）相关文件，开展固定资产清查服务工作，主要工作内容如下：</w:t>
      </w:r>
    </w:p>
    <w:p w14:paraId="419CD9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1.委托服务机构对权属的约2100余项帐内固定资产进行清理盘点及二维码管理工作，要求做到账、卡、物相符，最终出具《固定资产清查盘点报告》。</w:t>
      </w:r>
    </w:p>
    <w:p w14:paraId="43C6D0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2.对清查盘点过程中残损、闲置的固定资产按照有关规定进行处理，并按规定要求委托具有评估资质的资产评估机构对相关资产进行评估，协助完成昆明市呈贡区市场监督管理局2026年度资产报废工作。</w:t>
      </w:r>
    </w:p>
    <w:p w14:paraId="73414A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3.对每一</w:t>
      </w:r>
      <w:r>
        <w:rPr>
          <w:rFonts w:hint="eastAsia" w:ascii="宋体" w:hAnsi="宋体" w:cs="宋体"/>
          <w:color w:val="auto"/>
          <w:szCs w:val="21"/>
          <w:highlight w:val="none"/>
          <w:lang w:eastAsia="zh-CN"/>
        </w:rPr>
        <w:t>项</w:t>
      </w:r>
      <w:r>
        <w:rPr>
          <w:rFonts w:hint="eastAsia" w:ascii="宋体" w:hAnsi="宋体" w:cs="宋体"/>
          <w:color w:val="auto"/>
          <w:szCs w:val="21"/>
          <w:highlight w:val="none"/>
        </w:rPr>
        <w:t>资产进行拍照采集信息，制作二维码管理标签。</w:t>
      </w:r>
    </w:p>
    <w:p w14:paraId="475851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4.通过信息化手段提供为期一年的资产管理服务相关工作。</w:t>
      </w:r>
    </w:p>
    <w:p w14:paraId="3F1842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5.现场清盘的结果需使用部门签字确认使用权，资产管理部门、财务部门签字确认清盘结果，做到一卡一物一标签一相片一责任人管理。</w:t>
      </w:r>
    </w:p>
    <w:p w14:paraId="2A298B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6.根据清盘结果调整财政一体化资产管理数据。</w:t>
      </w:r>
    </w:p>
    <w:p w14:paraId="0A51DFA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7.要求服务方在我单位安排两名以上专业人员常驻开展工作直至任务完成；服务方负有对在盘点过程中知悉的信息予以保密的责任，不得向任何第三方透露信息。</w:t>
      </w:r>
    </w:p>
    <w:p w14:paraId="53B2B0D6">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2.3资金来源：</w:t>
      </w:r>
      <w:r>
        <w:rPr>
          <w:rFonts w:hint="eastAsia" w:ascii="宋体" w:hAnsi="宋体" w:eastAsia="宋体" w:cs="宋体"/>
          <w:color w:val="auto"/>
          <w:kern w:val="0"/>
          <w:sz w:val="21"/>
          <w:szCs w:val="21"/>
        </w:rPr>
        <w:t>2026年部门预算一般公共运作经费</w:t>
      </w:r>
      <w:r>
        <w:rPr>
          <w:rFonts w:hint="eastAsia" w:ascii="宋体" w:hAnsi="宋体" w:eastAsia="宋体" w:cs="宋体"/>
          <w:color w:val="auto"/>
          <w:kern w:val="0"/>
          <w:sz w:val="21"/>
          <w:szCs w:val="21"/>
          <w:lang w:eastAsia="zh-CN"/>
        </w:rPr>
        <w:t>，</w:t>
      </w:r>
      <w:r>
        <w:rPr>
          <w:rFonts w:hint="eastAsia" w:ascii="宋体" w:hAnsi="宋体" w:cs="宋体"/>
          <w:color w:val="auto"/>
          <w:sz w:val="21"/>
          <w:szCs w:val="21"/>
          <w:highlight w:val="none"/>
        </w:rPr>
        <w:t>资金落实情况：已落实。</w:t>
      </w:r>
    </w:p>
    <w:p w14:paraId="20842D34">
      <w:pPr>
        <w:widowControl/>
        <w:shd w:val="clear" w:color="auto" w:fill="auto"/>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2.4</w:t>
      </w:r>
      <w:r>
        <w:rPr>
          <w:rFonts w:hint="eastAsia" w:ascii="金山简黑体" w:hAnsi="金山简黑体"/>
          <w:color w:val="auto"/>
          <w:sz w:val="21"/>
          <w:szCs w:val="21"/>
          <w:highlight w:val="none"/>
          <w:lang w:val="en-US" w:eastAsia="zh-CN"/>
        </w:rPr>
        <w:t>采购预算</w:t>
      </w:r>
      <w:r>
        <w:rPr>
          <w:rFonts w:hint="eastAsia" w:ascii="金山简黑体" w:hAnsi="金山简黑体"/>
          <w:color w:val="auto"/>
          <w:sz w:val="21"/>
          <w:szCs w:val="21"/>
          <w:highlight w:val="none"/>
        </w:rPr>
        <w:t>：</w:t>
      </w:r>
      <w:r>
        <w:rPr>
          <w:rFonts w:hint="eastAsia" w:ascii="金山简黑体" w:hAnsi="金山简黑体"/>
          <w:color w:val="auto"/>
          <w:sz w:val="21"/>
          <w:szCs w:val="21"/>
          <w:highlight w:val="none"/>
          <w:lang w:val="en-US" w:eastAsia="zh-CN"/>
        </w:rPr>
        <w:t>50000元，</w:t>
      </w:r>
      <w:r>
        <w:rPr>
          <w:rFonts w:hint="eastAsia" w:ascii="宋体" w:hAnsi="宋体" w:cs="宋体"/>
          <w:color w:val="auto"/>
          <w:kern w:val="0"/>
          <w:sz w:val="21"/>
          <w:szCs w:val="21"/>
          <w:highlight w:val="none"/>
          <w:lang w:val="en-US" w:eastAsia="zh-CN"/>
        </w:rPr>
        <w:t>超过此限价的报价不予接受。</w:t>
      </w:r>
    </w:p>
    <w:p w14:paraId="6C3522E7">
      <w:pPr>
        <w:spacing w:line="360" w:lineRule="auto"/>
        <w:ind w:firstLine="420" w:firstLineChars="200"/>
        <w:rPr>
          <w:rFonts w:hint="eastAsia" w:hAnsi="宋体"/>
          <w:color w:val="auto"/>
          <w:sz w:val="21"/>
          <w:szCs w:val="21"/>
          <w:highlight w:val="none"/>
        </w:rPr>
      </w:pPr>
      <w:r>
        <w:rPr>
          <w:rFonts w:hint="eastAsia" w:hAnsi="宋体"/>
          <w:color w:val="auto"/>
          <w:sz w:val="21"/>
          <w:szCs w:val="21"/>
          <w:highlight w:val="none"/>
        </w:rPr>
        <w:t>2.</w:t>
      </w:r>
      <w:r>
        <w:rPr>
          <w:rFonts w:hint="eastAsia" w:hAnsi="宋体"/>
          <w:color w:val="auto"/>
          <w:sz w:val="21"/>
          <w:szCs w:val="21"/>
          <w:highlight w:val="none"/>
          <w:lang w:val="en-US" w:eastAsia="zh-CN"/>
        </w:rPr>
        <w:t>5</w:t>
      </w:r>
      <w:r>
        <w:rPr>
          <w:rFonts w:hint="eastAsia" w:hAnsi="宋体"/>
          <w:color w:val="auto"/>
          <w:sz w:val="21"/>
          <w:szCs w:val="21"/>
          <w:highlight w:val="none"/>
          <w:lang w:eastAsia="zh-CN"/>
        </w:rPr>
        <w:t>合同履行期限</w:t>
      </w:r>
      <w:r>
        <w:rPr>
          <w:rFonts w:hint="eastAsia" w:hAnsi="宋体" w:cs="宋体"/>
          <w:color w:val="auto"/>
          <w:sz w:val="21"/>
          <w:szCs w:val="21"/>
          <w:highlight w:val="none"/>
        </w:rPr>
        <w:t>：</w:t>
      </w:r>
      <w:r>
        <w:rPr>
          <w:rFonts w:hint="eastAsia" w:hAnsi="宋体" w:cs="宋体"/>
          <w:color w:val="auto"/>
          <w:sz w:val="21"/>
          <w:szCs w:val="21"/>
          <w:highlight w:val="none"/>
          <w:lang w:val="en-US" w:eastAsia="zh-CN"/>
        </w:rPr>
        <w:t>自合同签订之日至2026年9月30日完成本项目服务工作</w:t>
      </w:r>
      <w:r>
        <w:rPr>
          <w:rFonts w:hint="eastAsia" w:hAnsi="宋体" w:cs="宋体"/>
          <w:color w:val="auto"/>
          <w:sz w:val="21"/>
          <w:szCs w:val="21"/>
          <w:highlight w:val="none"/>
        </w:rPr>
        <w:t>。</w:t>
      </w:r>
    </w:p>
    <w:p w14:paraId="3A4102FF">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6项目</w:t>
      </w:r>
      <w:r>
        <w:rPr>
          <w:rFonts w:hint="eastAsia" w:ascii="宋体" w:hAnsi="宋体" w:cs="宋体"/>
          <w:color w:val="auto"/>
          <w:sz w:val="21"/>
          <w:szCs w:val="21"/>
          <w:highlight w:val="none"/>
        </w:rPr>
        <w:t>地点：</w:t>
      </w:r>
      <w:r>
        <w:rPr>
          <w:rFonts w:hint="eastAsia" w:ascii="宋体" w:hAnsi="宋体" w:cs="宋体"/>
          <w:color w:val="auto"/>
          <w:szCs w:val="21"/>
          <w:highlight w:val="none"/>
          <w:lang w:val="en-US" w:eastAsia="zh-CN"/>
        </w:rPr>
        <w:t>云南省昆明市呈贡区市场监督管理局指定点。</w:t>
      </w:r>
    </w:p>
    <w:p w14:paraId="3D98FC8B">
      <w:pPr>
        <w:spacing w:line="360" w:lineRule="auto"/>
        <w:ind w:firstLine="420" w:firstLineChars="200"/>
        <w:rPr>
          <w:rFonts w:hint="default" w:ascii="金山简黑体" w:hAnsi="金山简黑体"/>
          <w:color w:val="auto"/>
          <w:sz w:val="21"/>
          <w:szCs w:val="21"/>
          <w:highlight w:val="none"/>
          <w:lang w:val="en-US" w:eastAsia="zh-CN"/>
        </w:rPr>
      </w:pPr>
      <w:r>
        <w:rPr>
          <w:rFonts w:hint="eastAsia" w:ascii="宋体" w:hAnsi="宋体" w:cs="宋体"/>
          <w:color w:val="auto"/>
          <w:sz w:val="21"/>
          <w:szCs w:val="21"/>
          <w:highlight w:val="none"/>
          <w:lang w:val="en-US" w:eastAsia="zh-CN"/>
        </w:rPr>
        <w:t>2.7</w:t>
      </w:r>
      <w:r>
        <w:rPr>
          <w:rFonts w:hint="default" w:ascii="金山简黑体" w:hAnsi="金山简黑体"/>
          <w:color w:val="auto"/>
          <w:sz w:val="21"/>
          <w:szCs w:val="21"/>
          <w:highlight w:val="none"/>
          <w:lang w:val="en-US" w:eastAsia="zh-CN"/>
        </w:rPr>
        <w:t>质量要求：全面清盘固定资产，要求账、卡、物相符，资产盘点过程中残损、闲置的固定资产按照有关规定进行处理，日常通过扫描二维码实现固定资产管理的信息化、规范化、标准化、动态化，全面提升资产管理工作的效率和管理水平。</w:t>
      </w:r>
    </w:p>
    <w:p w14:paraId="26155C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资格审查方式：资格后审。</w:t>
      </w:r>
    </w:p>
    <w:p w14:paraId="58D0D26D">
      <w:pPr>
        <w:spacing w:line="360" w:lineRule="auto"/>
        <w:outlineLvl w:val="0"/>
        <w:rPr>
          <w:rFonts w:hint="eastAsia" w:ascii="宋体" w:hAnsi="宋体" w:cs="宋体"/>
          <w:b/>
          <w:color w:val="auto"/>
          <w:highlight w:val="none"/>
        </w:rPr>
      </w:pPr>
      <w:bookmarkStart w:id="49" w:name="_Toc558"/>
      <w:bookmarkStart w:id="50" w:name="_Toc32512"/>
      <w:bookmarkStart w:id="51" w:name="_Toc21668"/>
      <w:bookmarkStart w:id="52" w:name="_Toc20877"/>
      <w:bookmarkStart w:id="53" w:name="_Toc247"/>
      <w:bookmarkStart w:id="54" w:name="_Toc25144"/>
      <w:bookmarkStart w:id="55" w:name="_Toc1929"/>
      <w:bookmarkStart w:id="56" w:name="_Toc5592"/>
      <w:bookmarkStart w:id="57" w:name="_Toc30866"/>
      <w:bookmarkStart w:id="58" w:name="_Toc15607"/>
      <w:bookmarkStart w:id="59" w:name="_Toc27681"/>
      <w:bookmarkStart w:id="60" w:name="_Toc30138"/>
      <w:bookmarkStart w:id="61" w:name="_Toc22189"/>
      <w:bookmarkStart w:id="62" w:name="_Toc12312"/>
      <w:bookmarkStart w:id="63" w:name="_Toc4854"/>
      <w:bookmarkStart w:id="64" w:name="_Toc4917"/>
      <w:bookmarkStart w:id="65" w:name="_Toc13027"/>
      <w:bookmarkStart w:id="66" w:name="_Toc20649"/>
      <w:bookmarkStart w:id="67" w:name="_Toc6295"/>
      <w:bookmarkStart w:id="68" w:name="_Toc12607"/>
      <w:bookmarkStart w:id="69" w:name="_Toc4259"/>
      <w:bookmarkStart w:id="70" w:name="_Toc8535"/>
      <w:bookmarkStart w:id="71" w:name="_Toc27734"/>
      <w:bookmarkStart w:id="72" w:name="_Toc85555608"/>
      <w:bookmarkStart w:id="73" w:name="_Toc25004"/>
      <w:bookmarkStart w:id="74" w:name="_Toc6011"/>
      <w:r>
        <w:rPr>
          <w:rFonts w:hint="eastAsia" w:ascii="宋体" w:hAnsi="宋体" w:cs="宋体"/>
          <w:b/>
          <w:color w:val="auto"/>
          <w:highlight w:val="none"/>
        </w:rPr>
        <w:t>3.</w:t>
      </w:r>
      <w:r>
        <w:rPr>
          <w:rFonts w:hint="eastAsia" w:ascii="宋体" w:hAnsi="宋体" w:cs="宋体"/>
          <w:b/>
          <w:color w:val="auto"/>
          <w:highlight w:val="none"/>
          <w:lang w:eastAsia="zh-CN"/>
        </w:rPr>
        <w:t>比选申请人</w:t>
      </w:r>
      <w:r>
        <w:rPr>
          <w:rFonts w:hint="eastAsia" w:ascii="宋体" w:hAnsi="宋体" w:cs="宋体"/>
          <w:b/>
          <w:color w:val="auto"/>
          <w:highlight w:val="none"/>
        </w:rPr>
        <w:t>资格要求</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45F5339">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w:t>
      </w:r>
      <w:r>
        <w:rPr>
          <w:rFonts w:hint="eastAsia" w:ascii="宋体" w:hAnsi="宋体" w:cs="宋体"/>
          <w:color w:val="auto"/>
          <w:highlight w:val="none"/>
          <w:lang w:eastAsia="zh-CN"/>
        </w:rPr>
        <w:t>比选申请人</w:t>
      </w:r>
      <w:r>
        <w:rPr>
          <w:rFonts w:hint="eastAsia" w:ascii="宋体" w:hAnsi="宋体" w:cs="宋体"/>
          <w:color w:val="auto"/>
          <w:highlight w:val="none"/>
        </w:rPr>
        <w:t>须为中华人民共和国境内登记注册的法人或非法人组织，具备有效的营业执照（或其他类型法人机构法定证明文件）。</w:t>
      </w:r>
    </w:p>
    <w:p w14:paraId="7233DC05">
      <w:pPr>
        <w:widowControl/>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3.2财务要求：提供202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任意一年</w:t>
      </w:r>
      <w:r>
        <w:rPr>
          <w:rFonts w:hint="eastAsia" w:ascii="宋体" w:hAnsi="宋体"/>
          <w:color w:val="auto"/>
          <w:kern w:val="0"/>
          <w:szCs w:val="21"/>
          <w:highlight w:val="none"/>
          <w:lang w:val="en-US" w:eastAsia="zh-CN"/>
        </w:rPr>
        <w:t>的</w:t>
      </w:r>
      <w:r>
        <w:rPr>
          <w:rFonts w:hint="eastAsia" w:ascii="宋体" w:hAnsi="宋体"/>
          <w:color w:val="auto"/>
          <w:kern w:val="0"/>
          <w:szCs w:val="21"/>
          <w:highlight w:val="none"/>
        </w:rPr>
        <w:t>财务报表。【成立不满3年的，提供成立至今的财务报表（包括资产负债表、现金流量表、利润表（或损益表或利润分配表））；若</w:t>
      </w:r>
      <w:r>
        <w:rPr>
          <w:rFonts w:hint="eastAsia" w:ascii="宋体" w:hAnsi="宋体"/>
          <w:color w:val="auto"/>
          <w:kern w:val="0"/>
          <w:szCs w:val="21"/>
          <w:highlight w:val="none"/>
          <w:lang w:val="en-US" w:eastAsia="zh-CN"/>
        </w:rPr>
        <w:t>为</w:t>
      </w:r>
      <w:r>
        <w:rPr>
          <w:rFonts w:hint="eastAsia" w:ascii="宋体" w:hAnsi="宋体"/>
          <w:color w:val="auto"/>
          <w:kern w:val="0"/>
          <w:szCs w:val="21"/>
          <w:highlight w:val="none"/>
        </w:rPr>
        <w:t>新成立</w:t>
      </w:r>
      <w:r>
        <w:rPr>
          <w:rFonts w:hint="eastAsia" w:ascii="宋体" w:hAnsi="宋体"/>
          <w:color w:val="auto"/>
          <w:kern w:val="0"/>
          <w:szCs w:val="21"/>
          <w:highlight w:val="none"/>
          <w:lang w:val="en-US" w:eastAsia="zh-CN"/>
        </w:rPr>
        <w:t>不满一年</w:t>
      </w:r>
      <w:r>
        <w:rPr>
          <w:rFonts w:hint="eastAsia" w:ascii="宋体" w:hAnsi="宋体"/>
          <w:color w:val="auto"/>
          <w:kern w:val="0"/>
          <w:szCs w:val="21"/>
          <w:highlight w:val="none"/>
        </w:rPr>
        <w:t>的公司，提供银行开具的资信证明文件或资金证明文件。】</w:t>
      </w:r>
    </w:p>
    <w:p w14:paraId="74BDDF33">
      <w:pPr>
        <w:pStyle w:val="2"/>
        <w:rPr>
          <w:rFonts w:hint="eastAsia" w:eastAsia="宋体"/>
          <w:color w:val="auto"/>
          <w:highlight w:val="none"/>
          <w:lang w:val="en-US" w:eastAsia="zh-CN"/>
        </w:rPr>
      </w:pPr>
      <w:r>
        <w:rPr>
          <w:rFonts w:hint="eastAsia" w:ascii="宋体" w:hAnsi="宋体"/>
          <w:color w:val="auto"/>
          <w:kern w:val="0"/>
          <w:szCs w:val="21"/>
          <w:highlight w:val="none"/>
          <w:lang w:val="en-US" w:eastAsia="zh-CN"/>
        </w:rPr>
        <w:t>3.3</w:t>
      </w:r>
      <w:r>
        <w:rPr>
          <w:rFonts w:hint="eastAsia" w:ascii="宋体" w:hAnsi="宋体" w:cs="宋体"/>
          <w:color w:val="auto"/>
          <w:szCs w:val="21"/>
          <w:highlight w:val="none"/>
          <w:lang w:eastAsia="zh-CN"/>
        </w:rPr>
        <w:t>比选申请人</w:t>
      </w:r>
      <w:r>
        <w:rPr>
          <w:rFonts w:hint="eastAsia" w:ascii="宋体" w:hAnsi="宋体" w:eastAsia="宋体" w:cs="宋体"/>
          <w:color w:val="auto"/>
          <w:szCs w:val="21"/>
          <w:highlight w:val="none"/>
        </w:rPr>
        <w:t>须具有履行合同所必需的设备和专业技术能力（提供说明承诺或其他证明材料）</w:t>
      </w:r>
      <w:r>
        <w:rPr>
          <w:rFonts w:hint="eastAsia" w:ascii="宋体" w:hAnsi="宋体" w:cs="宋体"/>
          <w:color w:val="auto"/>
          <w:szCs w:val="21"/>
          <w:highlight w:val="none"/>
          <w:lang w:eastAsia="zh-CN"/>
        </w:rPr>
        <w:t>。</w:t>
      </w:r>
    </w:p>
    <w:p w14:paraId="2707BE55">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信誉要求：</w:t>
      </w:r>
      <w:r>
        <w:rPr>
          <w:rFonts w:hint="eastAsia" w:ascii="宋体" w:hAnsi="宋体" w:cs="宋体"/>
          <w:color w:val="auto"/>
          <w:szCs w:val="21"/>
          <w:highlight w:val="none"/>
          <w:lang w:eastAsia="zh-CN"/>
        </w:rPr>
        <w:t>比选申请人需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具有良好的商业信誉</w:t>
      </w:r>
      <w:r>
        <w:rPr>
          <w:rFonts w:hint="eastAsia" w:ascii="宋体" w:hAnsi="宋体" w:eastAsia="宋体" w:cs="宋体"/>
          <w:color w:val="auto"/>
          <w:szCs w:val="21"/>
          <w:highlight w:val="none"/>
          <w:lang w:eastAsia="zh-CN"/>
        </w:rPr>
        <w:t>承诺书</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在本项目</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提交截止时间前，</w:t>
      </w:r>
      <w:r>
        <w:rPr>
          <w:rFonts w:hint="eastAsia" w:ascii="宋体" w:hAnsi="宋体" w:cs="宋体"/>
          <w:color w:val="auto"/>
          <w:szCs w:val="21"/>
          <w:highlight w:val="none"/>
          <w:lang w:eastAsia="zh-CN"/>
        </w:rPr>
        <w:t>确保</w:t>
      </w:r>
      <w:r>
        <w:rPr>
          <w:rFonts w:hint="eastAsia" w:ascii="宋体" w:hAnsi="宋体" w:eastAsia="宋体" w:cs="宋体"/>
          <w:color w:val="auto"/>
          <w:szCs w:val="21"/>
          <w:highlight w:val="none"/>
        </w:rPr>
        <w:t>在“中国政府采购网（http</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//www.ccgp.gov.cn/）”政府采购严重违法失信行为记录名单内无不良信息记录</w:t>
      </w:r>
      <w:r>
        <w:rPr>
          <w:rFonts w:hint="eastAsia" w:ascii="宋体" w:hAnsi="宋体" w:cs="宋体"/>
          <w:color w:val="auto"/>
          <w:szCs w:val="21"/>
          <w:highlight w:val="none"/>
          <w:lang w:eastAsia="zh-CN"/>
        </w:rPr>
        <w:t>；在</w:t>
      </w:r>
      <w:r>
        <w:rPr>
          <w:rFonts w:hint="eastAsia" w:ascii="宋体" w:hAnsi="宋体" w:eastAsia="宋体" w:cs="宋体"/>
          <w:color w:val="auto"/>
          <w:szCs w:val="21"/>
          <w:highlight w:val="none"/>
        </w:rPr>
        <w:t>“信用中国”网站（www.creditchina.gov.cn）专项查询栏查询的“失信被执行人（按网站要求链接到中国</w:t>
      </w:r>
      <w:bookmarkStart w:id="179" w:name="_GoBack"/>
      <w:bookmarkEnd w:id="179"/>
      <w:r>
        <w:rPr>
          <w:rFonts w:hint="eastAsia" w:ascii="宋体" w:hAnsi="宋体" w:eastAsia="宋体" w:cs="宋体"/>
          <w:color w:val="auto"/>
          <w:szCs w:val="21"/>
          <w:highlight w:val="none"/>
        </w:rPr>
        <w:t>执行信息网（http</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//zxgk.court.gov.cn/shixin/）查询）、重大税收违法失信主体</w:t>
      </w:r>
      <w:r>
        <w:rPr>
          <w:rFonts w:hint="eastAsia" w:ascii="宋体" w:hAnsi="宋体" w:eastAsia="宋体" w:cs="宋体"/>
          <w:color w:val="auto"/>
          <w:szCs w:val="21"/>
          <w:highlight w:val="none"/>
          <w:lang w:val="en-US" w:eastAsia="zh-CN"/>
        </w:rPr>
        <w:t>名单</w:t>
      </w:r>
      <w:r>
        <w:rPr>
          <w:rFonts w:hint="eastAsia" w:ascii="宋体" w:hAnsi="宋体" w:eastAsia="宋体" w:cs="宋体"/>
          <w:color w:val="auto"/>
          <w:szCs w:val="21"/>
          <w:highlight w:val="none"/>
        </w:rPr>
        <w:t>”未出现不良信用信息记录（查询结果以采购代理机构查询结果为准）</w:t>
      </w:r>
      <w:r>
        <w:rPr>
          <w:rFonts w:hint="eastAsia" w:ascii="宋体" w:hAnsi="宋体" w:cs="宋体"/>
          <w:color w:val="auto"/>
          <w:highlight w:val="none"/>
        </w:rPr>
        <w:t>。</w:t>
      </w:r>
    </w:p>
    <w:p w14:paraId="69C3E6D6">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5</w:t>
      </w:r>
      <w:r>
        <w:rPr>
          <w:rFonts w:hint="eastAsia" w:ascii="宋体" w:hAnsi="宋体" w:cs="宋体"/>
          <w:color w:val="auto"/>
          <w:highlight w:val="none"/>
        </w:rPr>
        <w:t>本次</w:t>
      </w:r>
      <w:r>
        <w:rPr>
          <w:rFonts w:hint="eastAsia" w:ascii="宋体" w:hAnsi="宋体" w:cs="宋体"/>
          <w:color w:val="auto"/>
          <w:highlight w:val="none"/>
          <w:lang w:val="en-US" w:eastAsia="zh-CN"/>
        </w:rPr>
        <w:t>比选</w:t>
      </w:r>
      <w:r>
        <w:rPr>
          <w:rFonts w:hint="eastAsia" w:ascii="宋体" w:hAnsi="宋体" w:cs="宋体"/>
          <w:color w:val="auto"/>
          <w:highlight w:val="none"/>
        </w:rPr>
        <w:t>不接受联合体参加。</w:t>
      </w:r>
    </w:p>
    <w:p w14:paraId="1500F00C">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注：①与</w:t>
      </w:r>
      <w:r>
        <w:rPr>
          <w:rFonts w:hint="eastAsia" w:ascii="宋体" w:hAnsi="宋体" w:cs="宋体"/>
          <w:color w:val="auto"/>
          <w:highlight w:val="none"/>
          <w:lang w:eastAsia="zh-CN"/>
        </w:rPr>
        <w:t>采购人</w:t>
      </w:r>
      <w:r>
        <w:rPr>
          <w:rFonts w:hint="eastAsia" w:ascii="宋体" w:hAnsi="宋体" w:cs="宋体"/>
          <w:color w:val="auto"/>
          <w:highlight w:val="none"/>
        </w:rPr>
        <w:t>存在利害关系可能影响招标公正性的法人、其他组织或者个人，不得参加投标；</w:t>
      </w:r>
    </w:p>
    <w:p w14:paraId="73220FBA">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②法定代表人（单位负责人）为同一人或者存在控股、管理关系的不同单位，不得参加同一招标项目（或同一标段）投标。</w:t>
      </w:r>
    </w:p>
    <w:p w14:paraId="02386CBA">
      <w:pPr>
        <w:spacing w:line="360" w:lineRule="auto"/>
        <w:outlineLvl w:val="0"/>
        <w:rPr>
          <w:rFonts w:hint="eastAsia" w:ascii="宋体" w:hAnsi="宋体" w:cs="宋体"/>
          <w:b/>
          <w:color w:val="auto"/>
          <w:highlight w:val="none"/>
        </w:rPr>
      </w:pPr>
      <w:bookmarkStart w:id="75" w:name="_Toc32353"/>
      <w:bookmarkStart w:id="76" w:name="_Toc78"/>
      <w:bookmarkStart w:id="77" w:name="_Toc20058"/>
      <w:bookmarkStart w:id="78" w:name="_Toc3780"/>
      <w:bookmarkStart w:id="79" w:name="_Toc17195"/>
      <w:bookmarkStart w:id="80" w:name="_Toc18143"/>
      <w:bookmarkStart w:id="81" w:name="_Toc17160"/>
      <w:bookmarkStart w:id="82" w:name="_Toc30465"/>
      <w:bookmarkStart w:id="83" w:name="_Toc25866"/>
      <w:bookmarkStart w:id="84" w:name="_Toc3336"/>
      <w:bookmarkStart w:id="85" w:name="_Toc4512"/>
      <w:bookmarkStart w:id="86" w:name="_Toc28551"/>
      <w:bookmarkStart w:id="87" w:name="_Toc14037"/>
      <w:bookmarkStart w:id="88" w:name="_Toc19379"/>
      <w:bookmarkStart w:id="89" w:name="_Toc23898"/>
      <w:bookmarkStart w:id="90" w:name="_Toc15350"/>
      <w:bookmarkStart w:id="91" w:name="_Toc85555609"/>
      <w:bookmarkStart w:id="92" w:name="_Toc30008"/>
      <w:bookmarkStart w:id="93" w:name="_Toc6783"/>
      <w:bookmarkStart w:id="94" w:name="_Toc16874"/>
      <w:bookmarkStart w:id="95" w:name="_Toc206"/>
      <w:bookmarkStart w:id="96" w:name="_Toc29627"/>
      <w:bookmarkStart w:id="97" w:name="_Toc20013"/>
      <w:bookmarkStart w:id="98" w:name="_Toc29581"/>
      <w:bookmarkStart w:id="99" w:name="_Toc18309"/>
      <w:bookmarkStart w:id="100" w:name="_Toc1523"/>
      <w:r>
        <w:rPr>
          <w:rFonts w:hint="eastAsia" w:ascii="宋体" w:hAnsi="宋体" w:cs="宋体"/>
          <w:b/>
          <w:color w:val="auto"/>
          <w:highlight w:val="none"/>
        </w:rPr>
        <w:t>4.</w:t>
      </w:r>
      <w:r>
        <w:rPr>
          <w:rFonts w:hint="eastAsia" w:ascii="宋体" w:hAnsi="宋体" w:cs="宋体"/>
          <w:b/>
          <w:color w:val="auto"/>
          <w:highlight w:val="none"/>
          <w:lang w:eastAsia="zh-CN"/>
        </w:rPr>
        <w:t>比选文件</w:t>
      </w:r>
      <w:r>
        <w:rPr>
          <w:rFonts w:hint="eastAsia" w:ascii="宋体" w:hAnsi="宋体" w:cs="宋体"/>
          <w:b/>
          <w:color w:val="auto"/>
          <w:highlight w:val="none"/>
        </w:rPr>
        <w:t>的获取</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8967931">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4.1</w:t>
      </w:r>
      <w:r>
        <w:rPr>
          <w:rFonts w:hint="eastAsia" w:ascii="宋体" w:hAnsi="宋体" w:cs="宋体"/>
          <w:color w:val="auto"/>
          <w:kern w:val="0"/>
          <w:szCs w:val="21"/>
          <w:highlight w:val="none"/>
          <w:lang w:eastAsia="zh-CN"/>
        </w:rPr>
        <w:t>比选文件</w:t>
      </w:r>
      <w:r>
        <w:rPr>
          <w:rFonts w:hint="eastAsia" w:ascii="宋体" w:hAnsi="宋体" w:cs="宋体"/>
          <w:color w:val="auto"/>
          <w:kern w:val="0"/>
          <w:szCs w:val="21"/>
          <w:highlight w:val="none"/>
        </w:rPr>
        <w:t>获取方式</w:t>
      </w:r>
      <w:r>
        <w:rPr>
          <w:rFonts w:hint="eastAsia" w:ascii="宋体" w:hAnsi="宋体" w:cs="宋体"/>
          <w:color w:val="auto"/>
          <w:kern w:val="0"/>
          <w:szCs w:val="21"/>
          <w:highlight w:val="none"/>
          <w:lang w:val="en-US" w:eastAsia="zh-CN"/>
        </w:rPr>
        <w:t>:</w:t>
      </w:r>
    </w:p>
    <w:p w14:paraId="2E77323B">
      <w:pPr>
        <w:spacing w:line="360" w:lineRule="auto"/>
        <w:ind w:firstLine="422" w:firstLineChars="200"/>
        <w:rPr>
          <w:rFonts w:hint="eastAsia" w:ascii="宋体" w:hAnsi="宋体" w:cs="宋体"/>
          <w:color w:val="auto"/>
          <w:kern w:val="0"/>
          <w:szCs w:val="21"/>
          <w:highlight w:val="none"/>
        </w:rPr>
      </w:pPr>
      <w:r>
        <w:rPr>
          <w:rFonts w:hint="eastAsia" w:ascii="宋体" w:hAnsi="宋体" w:cs="宋体"/>
          <w:b/>
          <w:bCs/>
          <w:color w:val="auto"/>
          <w:kern w:val="0"/>
          <w:szCs w:val="21"/>
          <w:highlight w:val="none"/>
          <w:lang w:val="en-US" w:eastAsia="zh-CN"/>
        </w:rPr>
        <w:t>线上获取：</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将以下资料加盖单位公章的扫描件①营业执照（或其他类型法人机构法定证明文件）；②法定代表人（或负责人）身份证明书；③法定代表人（或负责人）授权委托书；④委托代理人身份证复印件；⑤文件费汇款凭证（公对公转账）以及发票开票信息（注明开具普通发票/专用发票）、联系人姓名、联系电话发送（邮箱：30918505@qq.com）线上获取</w:t>
      </w:r>
      <w:r>
        <w:rPr>
          <w:rFonts w:hint="eastAsia" w:ascii="宋体" w:hAnsi="宋体" w:cs="宋体"/>
          <w:color w:val="auto"/>
          <w:kern w:val="0"/>
          <w:szCs w:val="21"/>
          <w:highlight w:val="none"/>
          <w:lang w:eastAsia="zh-CN"/>
        </w:rPr>
        <w:t>比选文件（</w:t>
      </w:r>
      <w:r>
        <w:rPr>
          <w:rFonts w:hint="eastAsia" w:ascii="宋体" w:hAnsi="宋体" w:cs="宋体"/>
          <w:color w:val="auto"/>
          <w:kern w:val="0"/>
          <w:szCs w:val="21"/>
          <w:highlight w:val="none"/>
          <w:lang w:val="en-US" w:eastAsia="zh-CN"/>
        </w:rPr>
        <w:t>电子版）</w:t>
      </w:r>
      <w:r>
        <w:rPr>
          <w:rFonts w:hint="eastAsia" w:ascii="宋体" w:hAnsi="宋体" w:cs="宋体"/>
          <w:color w:val="auto"/>
          <w:kern w:val="0"/>
          <w:szCs w:val="21"/>
          <w:highlight w:val="none"/>
        </w:rPr>
        <w:t>。</w:t>
      </w:r>
    </w:p>
    <w:p w14:paraId="3A3A7A22">
      <w:pPr>
        <w:spacing w:line="360" w:lineRule="auto"/>
        <w:ind w:firstLine="420" w:firstLineChars="200"/>
        <w:rPr>
          <w:rFonts w:hint="eastAsia" w:ascii="宋体" w:hAnsi="宋体" w:eastAsia="宋体" w:cs="宋体"/>
          <w:b/>
          <w:color w:val="auto"/>
          <w:szCs w:val="21"/>
          <w:highlight w:val="none"/>
          <w:lang w:eastAsia="zh-CN"/>
        </w:rPr>
      </w:pPr>
      <w:r>
        <w:rPr>
          <w:rFonts w:hint="eastAsia" w:ascii="宋体" w:hAnsi="宋体" w:cs="宋体"/>
          <w:color w:val="auto"/>
          <w:kern w:val="0"/>
          <w:szCs w:val="21"/>
          <w:highlight w:val="none"/>
          <w:lang w:val="en-US" w:eastAsia="zh-CN"/>
        </w:rPr>
        <w:t>4.2获取时间：</w:t>
      </w:r>
      <w:r>
        <w:rPr>
          <w:rFonts w:hint="eastAsia" w:ascii="宋体" w:hAnsi="宋体" w:cs="宋体"/>
          <w:color w:val="auto"/>
          <w:kern w:val="0"/>
          <w:szCs w:val="21"/>
          <w:highlight w:val="none"/>
        </w:rPr>
        <w:t>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22</w:t>
      </w:r>
      <w:r>
        <w:rPr>
          <w:rFonts w:hint="eastAsia" w:ascii="宋体" w:hAnsi="宋体" w:cs="宋体"/>
          <w:color w:val="auto"/>
          <w:kern w:val="0"/>
          <w:szCs w:val="21"/>
          <w:highlight w:val="none"/>
        </w:rPr>
        <w:t>日至202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日，每日上午9：00时至12：00时，下午13：30时至17：00时（北京时间）</w:t>
      </w:r>
      <w:r>
        <w:rPr>
          <w:rFonts w:hint="eastAsia" w:ascii="宋体" w:hAnsi="宋体" w:cs="宋体"/>
          <w:color w:val="auto"/>
          <w:kern w:val="0"/>
          <w:szCs w:val="21"/>
          <w:highlight w:val="none"/>
          <w:lang w:eastAsia="zh-CN"/>
        </w:rPr>
        <w:t>。</w:t>
      </w:r>
    </w:p>
    <w:p w14:paraId="0A63181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比选文件</w:t>
      </w:r>
      <w:r>
        <w:rPr>
          <w:rFonts w:hint="eastAsia" w:ascii="宋体" w:hAnsi="宋体" w:cs="宋体"/>
          <w:color w:val="auto"/>
          <w:kern w:val="0"/>
          <w:szCs w:val="21"/>
          <w:highlight w:val="none"/>
        </w:rPr>
        <w:t>售价：人民币</w:t>
      </w:r>
      <w:r>
        <w:rPr>
          <w:rFonts w:hint="eastAsia" w:ascii="宋体" w:hAnsi="宋体" w:cs="宋体"/>
          <w:color w:val="auto"/>
          <w:kern w:val="0"/>
          <w:szCs w:val="21"/>
          <w:highlight w:val="none"/>
          <w:lang w:val="en-US" w:eastAsia="zh-CN"/>
        </w:rPr>
        <w:t>300</w:t>
      </w:r>
      <w:r>
        <w:rPr>
          <w:rFonts w:hint="eastAsia" w:ascii="宋体" w:hAnsi="宋体" w:cs="宋体"/>
          <w:color w:val="auto"/>
          <w:kern w:val="0"/>
          <w:szCs w:val="21"/>
          <w:highlight w:val="none"/>
        </w:rPr>
        <w:t>.00元，售后不退。</w:t>
      </w:r>
    </w:p>
    <w:p w14:paraId="79908655">
      <w:pPr>
        <w:spacing w:line="360" w:lineRule="auto"/>
        <w:ind w:firstLine="420" w:firstLineChars="200"/>
        <w:rPr>
          <w:rFonts w:hint="eastAsia" w:ascii="宋体" w:hAnsi="宋体" w:cs="宋体"/>
          <w:color w:val="auto"/>
          <w:kern w:val="0"/>
          <w:szCs w:val="21"/>
          <w:highlight w:val="none"/>
        </w:rPr>
      </w:pPr>
      <w:bookmarkStart w:id="101" w:name="_Toc24474"/>
      <w:bookmarkStart w:id="102" w:name="_Toc10642"/>
      <w:bookmarkStart w:id="103" w:name="_Toc7425"/>
      <w:bookmarkStart w:id="104" w:name="_Toc85555610"/>
      <w:bookmarkStart w:id="105" w:name="_Toc14993"/>
      <w:bookmarkStart w:id="106" w:name="_Toc19541"/>
      <w:bookmarkStart w:id="107" w:name="_Toc13841"/>
      <w:bookmarkStart w:id="108" w:name="_Toc3591"/>
      <w:bookmarkStart w:id="109" w:name="_Toc1902"/>
      <w:bookmarkStart w:id="110" w:name="_Toc12259"/>
      <w:bookmarkStart w:id="111" w:name="_Toc30332"/>
      <w:bookmarkStart w:id="112" w:name="_Toc17893"/>
      <w:bookmarkStart w:id="113" w:name="_Toc19372"/>
      <w:bookmarkStart w:id="114" w:name="_Toc31494"/>
      <w:bookmarkStart w:id="115" w:name="_Toc4059"/>
      <w:bookmarkStart w:id="116" w:name="_Toc9762"/>
      <w:bookmarkStart w:id="117" w:name="_Toc29829"/>
      <w:bookmarkStart w:id="118" w:name="_Toc21081"/>
      <w:bookmarkStart w:id="119" w:name="_Toc6245"/>
      <w:bookmarkStart w:id="120" w:name="_Toc12639"/>
      <w:bookmarkStart w:id="121" w:name="_Toc9264"/>
      <w:bookmarkStart w:id="122" w:name="_Toc7698"/>
      <w:bookmarkStart w:id="123" w:name="_Toc29724"/>
      <w:bookmarkStart w:id="124" w:name="_Toc9540"/>
      <w:bookmarkStart w:id="125" w:name="_Toc17727"/>
      <w:bookmarkStart w:id="126" w:name="_Toc32554"/>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lang w:val="en-US" w:eastAsia="zh-CN"/>
        </w:rPr>
        <w:t>融科匠业工程咨询有限公司昆明分公司</w:t>
      </w:r>
      <w:r>
        <w:rPr>
          <w:rFonts w:hint="eastAsia" w:ascii="宋体" w:hAnsi="宋体" w:cs="宋体"/>
          <w:color w:val="auto"/>
          <w:kern w:val="0"/>
          <w:szCs w:val="21"/>
          <w:highlight w:val="none"/>
        </w:rPr>
        <w:t>；</w:t>
      </w:r>
    </w:p>
    <w:p w14:paraId="681CA63B">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银行：昆明市呈贡区农村信用合作联社</w:t>
      </w:r>
    </w:p>
    <w:p w14:paraId="2E5D2C5C">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账号：0600078562543012</w:t>
      </w:r>
    </w:p>
    <w:p w14:paraId="3C2D4B17">
      <w:pPr>
        <w:spacing w:line="360" w:lineRule="auto"/>
        <w:ind w:firstLine="420" w:firstLineChars="200"/>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lang w:val="en-US" w:eastAsia="zh-CN"/>
        </w:rPr>
        <w:t>087163513422</w:t>
      </w:r>
    </w:p>
    <w:p w14:paraId="4EFF62EE">
      <w:pPr>
        <w:spacing w:line="360" w:lineRule="auto"/>
        <w:outlineLvl w:val="0"/>
        <w:rPr>
          <w:rFonts w:hint="eastAsia" w:ascii="宋体" w:hAnsi="宋体" w:cs="宋体"/>
          <w:b/>
          <w:color w:val="auto"/>
          <w:highlight w:val="none"/>
        </w:rPr>
      </w:pPr>
      <w:r>
        <w:rPr>
          <w:rFonts w:hint="eastAsia" w:ascii="宋体" w:hAnsi="宋体" w:cs="宋体"/>
          <w:b/>
          <w:color w:val="auto"/>
          <w:highlight w:val="none"/>
        </w:rPr>
        <w:t>5.</w:t>
      </w:r>
      <w:r>
        <w:rPr>
          <w:rFonts w:hint="eastAsia" w:ascii="宋体" w:hAnsi="宋体" w:cs="宋体"/>
          <w:b/>
          <w:color w:val="auto"/>
          <w:highlight w:val="none"/>
          <w:lang w:eastAsia="zh-CN"/>
        </w:rPr>
        <w:t>响应文件</w:t>
      </w:r>
      <w:r>
        <w:rPr>
          <w:rFonts w:hint="eastAsia" w:ascii="宋体" w:hAnsi="宋体" w:cs="宋体"/>
          <w:b/>
          <w:color w:val="auto"/>
          <w:highlight w:val="none"/>
        </w:rPr>
        <w:t>的递交</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149CB0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5.1递交</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的截止时间（投标截止时间，下同）：202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w:t>
      </w:r>
    </w:p>
    <w:p w14:paraId="48D6FB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5.2递交</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的地点：</w:t>
      </w:r>
      <w:r>
        <w:rPr>
          <w:rFonts w:hint="eastAsia" w:ascii="宋体" w:hAnsi="宋体" w:cs="宋体"/>
          <w:color w:val="auto"/>
          <w:szCs w:val="21"/>
          <w:highlight w:val="none"/>
          <w:lang w:eastAsia="zh-CN"/>
        </w:rPr>
        <w:t>融科匠业工程咨询有限公司</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昆明市呈贡区惠景园20栋2单元101室）</w:t>
      </w:r>
      <w:r>
        <w:rPr>
          <w:rFonts w:hint="eastAsia" w:ascii="宋体" w:hAnsi="宋体" w:cs="宋体"/>
          <w:color w:val="auto"/>
          <w:szCs w:val="21"/>
          <w:highlight w:val="none"/>
        </w:rPr>
        <w:t>。</w:t>
      </w:r>
    </w:p>
    <w:p w14:paraId="5856D8ED">
      <w:pPr>
        <w:spacing w:line="360" w:lineRule="auto"/>
        <w:ind w:firstLine="420" w:firstLineChars="200"/>
        <w:rPr>
          <w:rFonts w:hint="eastAsia" w:ascii="宋体" w:hAnsi="宋体" w:cs="宋体"/>
          <w:b/>
          <w:color w:val="auto"/>
          <w:highlight w:val="none"/>
        </w:rPr>
      </w:pPr>
      <w:r>
        <w:rPr>
          <w:rFonts w:hint="eastAsia" w:ascii="宋体" w:hAnsi="宋体" w:cs="宋体"/>
          <w:color w:val="auto"/>
          <w:szCs w:val="21"/>
          <w:highlight w:val="none"/>
        </w:rPr>
        <w:t>5.3逾期送达或者未送达指定地点的，或不按</w:t>
      </w:r>
      <w:r>
        <w:rPr>
          <w:rFonts w:hint="eastAsia" w:ascii="宋体" w:hAnsi="宋体" w:cs="宋体"/>
          <w:color w:val="auto"/>
          <w:szCs w:val="21"/>
          <w:highlight w:val="none"/>
          <w:lang w:eastAsia="zh-CN"/>
        </w:rPr>
        <w:t>比选文件</w:t>
      </w:r>
      <w:r>
        <w:rPr>
          <w:rFonts w:hint="eastAsia" w:ascii="宋体" w:hAnsi="宋体" w:cs="宋体"/>
          <w:color w:val="auto"/>
          <w:szCs w:val="21"/>
          <w:highlight w:val="none"/>
        </w:rPr>
        <w:t>要求密封的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将不予受理。</w:t>
      </w:r>
    </w:p>
    <w:p w14:paraId="33C342FA">
      <w:pPr>
        <w:spacing w:line="360" w:lineRule="auto"/>
        <w:outlineLvl w:val="0"/>
        <w:rPr>
          <w:rFonts w:hint="eastAsia" w:ascii="宋体" w:hAnsi="宋体" w:cs="宋体"/>
          <w:b/>
          <w:color w:val="auto"/>
          <w:highlight w:val="none"/>
        </w:rPr>
      </w:pPr>
      <w:bookmarkStart w:id="127" w:name="_Toc14110"/>
      <w:bookmarkStart w:id="128" w:name="_Toc24351"/>
      <w:bookmarkStart w:id="129" w:name="_Toc21429"/>
      <w:bookmarkStart w:id="130" w:name="_Toc13243"/>
      <w:bookmarkStart w:id="131" w:name="_Toc26905"/>
      <w:bookmarkStart w:id="132" w:name="_Toc18080"/>
      <w:bookmarkStart w:id="133" w:name="_Toc5884"/>
      <w:bookmarkStart w:id="134" w:name="_Toc3173"/>
      <w:bookmarkStart w:id="135" w:name="_Toc17894"/>
      <w:bookmarkStart w:id="136" w:name="_Toc25391"/>
      <w:bookmarkStart w:id="137" w:name="_Toc868"/>
      <w:bookmarkStart w:id="138" w:name="_Toc12928"/>
      <w:bookmarkStart w:id="139" w:name="_Toc11505"/>
      <w:bookmarkStart w:id="140" w:name="_Toc3427"/>
      <w:bookmarkStart w:id="141" w:name="_Toc10653"/>
      <w:bookmarkStart w:id="142" w:name="_Toc1429"/>
      <w:bookmarkStart w:id="143" w:name="_Toc8626"/>
      <w:bookmarkStart w:id="144" w:name="_Toc85555611"/>
      <w:bookmarkStart w:id="145" w:name="_Toc14310"/>
      <w:bookmarkStart w:id="146" w:name="_Toc5196"/>
      <w:bookmarkStart w:id="147" w:name="_Toc20961"/>
      <w:bookmarkStart w:id="148" w:name="_Toc17350"/>
      <w:bookmarkStart w:id="149" w:name="_Toc484"/>
      <w:bookmarkStart w:id="150" w:name="_Toc25280"/>
      <w:bookmarkStart w:id="151" w:name="_Toc4723"/>
      <w:bookmarkStart w:id="152" w:name="_Toc25971"/>
      <w:r>
        <w:rPr>
          <w:rFonts w:hint="eastAsia" w:ascii="宋体" w:hAnsi="宋体" w:cs="宋体"/>
          <w:b/>
          <w:color w:val="auto"/>
          <w:highlight w:val="none"/>
        </w:rPr>
        <w:t>6.发布公告的媒介</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074D7535">
      <w:pPr>
        <w:wordWrap w:val="0"/>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本次</w:t>
      </w:r>
      <w:r>
        <w:rPr>
          <w:rFonts w:hint="eastAsia" w:ascii="宋体" w:hAnsi="宋体" w:cs="宋体"/>
          <w:color w:val="auto"/>
          <w:szCs w:val="21"/>
          <w:highlight w:val="none"/>
          <w:lang w:eastAsia="zh-CN"/>
        </w:rPr>
        <w:t>比选公告</w:t>
      </w:r>
      <w:r>
        <w:rPr>
          <w:rFonts w:hint="eastAsia" w:ascii="宋体" w:hAnsi="宋体" w:cs="宋体"/>
          <w:color w:val="auto"/>
          <w:szCs w:val="21"/>
          <w:highlight w:val="none"/>
        </w:rPr>
        <w:t>在中国招标投标公共服务平台（http://www.cebpubservice.com）</w:t>
      </w:r>
      <w:r>
        <w:rPr>
          <w:rFonts w:hint="eastAsia" w:ascii="宋体" w:hAnsi="宋体" w:cs="宋体"/>
          <w:color w:val="auto"/>
          <w:szCs w:val="21"/>
          <w:highlight w:val="none"/>
          <w:lang w:val="en-US" w:eastAsia="zh-CN"/>
        </w:rPr>
        <w:t>及呈贡区人民政府网站</w:t>
      </w:r>
      <w:r>
        <w:rPr>
          <w:rFonts w:hint="eastAsia" w:ascii="宋体" w:hAnsi="宋体" w:cs="宋体"/>
          <w:color w:val="auto"/>
          <w:szCs w:val="21"/>
          <w:highlight w:val="none"/>
        </w:rPr>
        <w:t>发布。</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及</w:t>
      </w:r>
      <w:r>
        <w:rPr>
          <w:rFonts w:hint="eastAsia" w:ascii="宋体" w:hAnsi="宋体" w:cs="宋体"/>
          <w:color w:val="auto"/>
          <w:szCs w:val="21"/>
          <w:highlight w:val="none"/>
          <w:lang w:eastAsia="zh-CN"/>
        </w:rPr>
        <w:t>采购代理机构</w:t>
      </w:r>
      <w:r>
        <w:rPr>
          <w:rFonts w:hint="eastAsia" w:ascii="宋体" w:hAnsi="宋体" w:cs="宋体"/>
          <w:color w:val="auto"/>
          <w:szCs w:val="21"/>
          <w:highlight w:val="none"/>
        </w:rPr>
        <w:t>对其他网站或媒体转载的公告及公告内容不承担任何责任。</w:t>
      </w:r>
    </w:p>
    <w:p w14:paraId="05B8EDA2">
      <w:pPr>
        <w:spacing w:line="360" w:lineRule="auto"/>
        <w:outlineLvl w:val="0"/>
        <w:rPr>
          <w:rFonts w:hint="eastAsia" w:ascii="宋体" w:hAnsi="宋体" w:cs="宋体"/>
          <w:color w:val="auto"/>
          <w:szCs w:val="21"/>
          <w:highlight w:val="none"/>
        </w:rPr>
      </w:pPr>
      <w:bookmarkStart w:id="153" w:name="_Toc8139"/>
      <w:bookmarkStart w:id="154" w:name="_Toc5868"/>
      <w:bookmarkStart w:id="155" w:name="_Toc15065"/>
      <w:bookmarkStart w:id="156" w:name="_Toc27862"/>
      <w:bookmarkStart w:id="157" w:name="_Toc21101"/>
      <w:bookmarkStart w:id="158" w:name="_Toc31384"/>
      <w:bookmarkStart w:id="159" w:name="_Toc24644"/>
      <w:bookmarkStart w:id="160" w:name="_Toc16783"/>
      <w:bookmarkStart w:id="161" w:name="_Toc17324"/>
      <w:bookmarkStart w:id="162" w:name="_Toc6605"/>
      <w:bookmarkStart w:id="163" w:name="_Toc85555612"/>
      <w:bookmarkStart w:id="164" w:name="_Toc19187"/>
      <w:bookmarkStart w:id="165" w:name="_Toc1879"/>
      <w:bookmarkStart w:id="166" w:name="_Toc9923"/>
      <w:bookmarkStart w:id="167" w:name="_Toc6523"/>
      <w:bookmarkStart w:id="168" w:name="_Toc30675"/>
      <w:bookmarkStart w:id="169" w:name="_Toc22851"/>
      <w:bookmarkStart w:id="170" w:name="_Toc2321"/>
      <w:bookmarkStart w:id="171" w:name="_Toc4524"/>
      <w:bookmarkStart w:id="172" w:name="_Toc5163"/>
      <w:bookmarkStart w:id="173" w:name="_Toc31753"/>
      <w:bookmarkStart w:id="174" w:name="_Toc7014"/>
      <w:bookmarkStart w:id="175" w:name="_Toc5959"/>
      <w:bookmarkStart w:id="176" w:name="_Toc29945"/>
      <w:bookmarkStart w:id="177" w:name="_Toc15817"/>
      <w:bookmarkStart w:id="178" w:name="_Toc3119"/>
      <w:r>
        <w:rPr>
          <w:rFonts w:hint="eastAsia" w:ascii="宋体" w:hAnsi="宋体" w:cs="宋体"/>
          <w:b/>
          <w:color w:val="auto"/>
          <w:highlight w:val="none"/>
        </w:rPr>
        <w:t>7.联系方式</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6BD66F9F">
      <w:pPr>
        <w:spacing w:line="360" w:lineRule="auto"/>
        <w:ind w:firstLine="315" w:firstLineChars="1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w:t>
      </w:r>
      <w:r>
        <w:rPr>
          <w:rFonts w:hint="eastAsia" w:ascii="宋体" w:hAnsi="宋体" w:cs="宋体"/>
          <w:color w:val="auto"/>
          <w:szCs w:val="21"/>
          <w:highlight w:val="none"/>
          <w:lang w:eastAsia="zh-CN"/>
        </w:rPr>
        <w:t>昆明市呈贡区市场监督管理局</w:t>
      </w:r>
    </w:p>
    <w:p w14:paraId="0BBAD0BC">
      <w:pPr>
        <w:spacing w:line="360" w:lineRule="auto"/>
        <w:ind w:firstLine="315" w:firstLineChars="150"/>
        <w:rPr>
          <w:rFonts w:hint="eastAsia" w:ascii="宋体" w:hAnsi="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0871</w:t>
      </w:r>
      <w:r>
        <w:rPr>
          <w:rFonts w:hint="eastAsia" w:ascii="宋体" w:hAnsi="宋体" w:cs="宋体"/>
          <w:color w:val="auto"/>
          <w:kern w:val="0"/>
          <w:szCs w:val="21"/>
          <w:highlight w:val="none"/>
          <w:lang w:val="en-US" w:eastAsia="zh-CN"/>
        </w:rPr>
        <w:t>-67476172</w:t>
      </w:r>
    </w:p>
    <w:p w14:paraId="1C9B389B">
      <w:pPr>
        <w:spacing w:line="360" w:lineRule="auto"/>
        <w:ind w:firstLine="315" w:firstLineChars="150"/>
        <w:rPr>
          <w:rFonts w:hint="default" w:ascii="宋体" w:hAnsi="宋体" w:eastAsia="宋体" w:cs="宋体"/>
          <w:color w:val="auto"/>
          <w:szCs w:val="21"/>
          <w:highlight w:val="yellow"/>
          <w:lang w:val="en-US" w:eastAsia="zh-CN"/>
        </w:rPr>
      </w:pPr>
      <w:r>
        <w:rPr>
          <w:rFonts w:hint="eastAsia" w:ascii="宋体" w:hAnsi="宋体" w:cs="宋体"/>
          <w:color w:val="auto"/>
          <w:szCs w:val="21"/>
          <w:highlight w:val="none"/>
        </w:rPr>
        <w:t>地址：</w:t>
      </w:r>
      <w:r>
        <w:rPr>
          <w:rFonts w:hint="eastAsia" w:ascii="宋体" w:hAnsi="宋体" w:cs="宋体"/>
          <w:color w:val="auto"/>
          <w:kern w:val="0"/>
          <w:szCs w:val="21"/>
          <w:highlight w:val="none"/>
          <w:lang w:val="en-US" w:eastAsia="zh-CN"/>
        </w:rPr>
        <w:t>云南省昆明市呈贡区春融西路498号</w:t>
      </w:r>
    </w:p>
    <w:p w14:paraId="0AE8FF39">
      <w:pPr>
        <w:spacing w:line="360" w:lineRule="auto"/>
        <w:ind w:firstLine="315" w:firstLineChars="150"/>
        <w:rPr>
          <w:rFonts w:hint="eastAsia" w:ascii="宋体" w:hAnsi="宋体" w:cs="宋体"/>
          <w:color w:val="auto"/>
          <w:szCs w:val="21"/>
          <w:highlight w:val="none"/>
        </w:rPr>
      </w:pPr>
    </w:p>
    <w:p w14:paraId="70DDEA37">
      <w:pPr>
        <w:spacing w:line="360" w:lineRule="auto"/>
        <w:ind w:firstLine="315" w:firstLineChars="1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采购代理机构</w:t>
      </w:r>
      <w:r>
        <w:rPr>
          <w:rFonts w:hint="eastAsia" w:ascii="宋体" w:hAnsi="宋体" w:cs="宋体"/>
          <w:color w:val="auto"/>
          <w:szCs w:val="21"/>
          <w:highlight w:val="none"/>
        </w:rPr>
        <w:t>：</w:t>
      </w:r>
      <w:r>
        <w:rPr>
          <w:rFonts w:hint="eastAsia" w:ascii="宋体" w:hAnsi="宋体" w:cs="宋体"/>
          <w:color w:val="auto"/>
          <w:szCs w:val="21"/>
          <w:highlight w:val="none"/>
          <w:lang w:eastAsia="zh-CN"/>
        </w:rPr>
        <w:t>融科匠业工程咨询有限公司</w:t>
      </w:r>
    </w:p>
    <w:p w14:paraId="0A28BC20">
      <w:pPr>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lang w:val="en-US" w:eastAsia="zh-CN"/>
        </w:rPr>
        <w:t>昆明市呈贡区惠景园20栋2单元101室</w:t>
      </w:r>
    </w:p>
    <w:p w14:paraId="6678D3D4">
      <w:pPr>
        <w:spacing w:line="360" w:lineRule="auto"/>
        <w:ind w:firstLine="315" w:firstLineChars="15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    系   人：陈</w:t>
      </w:r>
      <w:r>
        <w:rPr>
          <w:rFonts w:hint="eastAsia" w:ascii="宋体" w:hAnsi="宋体" w:cs="宋体"/>
          <w:color w:val="auto"/>
          <w:szCs w:val="21"/>
          <w:highlight w:val="none"/>
          <w:lang w:val="en-US" w:eastAsia="zh-CN"/>
        </w:rPr>
        <w:t>先生</w:t>
      </w:r>
    </w:p>
    <w:p w14:paraId="1BB22D7E">
      <w:pPr>
        <w:spacing w:line="360" w:lineRule="auto"/>
        <w:ind w:firstLine="315" w:firstLineChars="15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  系  电 话：0871-</w:t>
      </w:r>
      <w:r>
        <w:rPr>
          <w:rFonts w:hint="eastAsia" w:ascii="宋体" w:hAnsi="宋体" w:cs="宋体"/>
          <w:color w:val="auto"/>
          <w:szCs w:val="21"/>
          <w:highlight w:val="none"/>
          <w:lang w:val="en-US" w:eastAsia="zh-CN"/>
        </w:rPr>
        <w:t>63513422</w:t>
      </w:r>
    </w:p>
    <w:p w14:paraId="57F27BB2">
      <w:pPr>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邮         箱</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kern w:val="0"/>
          <w:szCs w:val="21"/>
          <w:highlight w:val="none"/>
        </w:rPr>
        <w:t>0918505@qq.com</w:t>
      </w:r>
    </w:p>
    <w:p w14:paraId="10D506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金山简黑体">
    <w:altName w:val="黑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F2CC8"/>
    <w:rsid w:val="08365E65"/>
    <w:rsid w:val="172264AD"/>
    <w:rsid w:val="18CD5483"/>
    <w:rsid w:val="1E307194"/>
    <w:rsid w:val="22D87767"/>
    <w:rsid w:val="26A149EF"/>
    <w:rsid w:val="31262BAF"/>
    <w:rsid w:val="32327393"/>
    <w:rsid w:val="4AE9030A"/>
    <w:rsid w:val="532A0A54"/>
    <w:rsid w:val="5B725319"/>
    <w:rsid w:val="65CF2CC8"/>
    <w:rsid w:val="69592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3">
    <w:name w:val="Normal (Web)"/>
    <w:basedOn w:val="1"/>
    <w:unhideWhenUsed/>
    <w:qFormat/>
    <w:uiPriority w:val="0"/>
    <w:pPr>
      <w:widowControl/>
      <w:spacing w:before="100" w:beforeAutospacing="1" w:after="100" w:afterAutospacing="1"/>
      <w:jc w:val="left"/>
    </w:pPr>
    <w:rPr>
      <w:kern w:val="0"/>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2237</Words>
  <Characters>2556</Characters>
  <Lines>0</Lines>
  <Paragraphs>0</Paragraphs>
  <TotalTime>1023</TotalTime>
  <ScaleCrop>false</ScaleCrop>
  <LinksUpToDate>false</LinksUpToDate>
  <CharactersWithSpaces>2586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2026-07-21T08:42:00Z</dcterms:created>
  <dc:creator>WPS_1717562416</dc:creator>
  <cp:lastModifiedBy>卟逸样滴生活</cp:lastModifiedBy>
  <dcterms:modified xsi:type="dcterms:W3CDTF">2026-07-22T06:07:01Z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38B744D56A674D55B16810AEFC1CE2AF_13</vt:lpwstr>
  </property>
  <property fmtid="{D5CDD505-2E9C-101B-9397-08002B2CF9AE}" pid="4" name="KSOTemplateDocerSaveRecord">
    <vt:lpwstr>eyJoZGlkIjoiNTA4OThjODI5ZThiMDFjMjcxNjgyMDhjMWFkNzJjYzIiLCJ1c2VySWQiOiI0MjM5NTgxMTMifQ==</vt:lpwstr>
  </property>
</Properties>
</file>