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6A3BA">
      <w:pPr>
        <w:snapToGrid w:val="0"/>
        <w:spacing w:line="570" w:lineRule="exact"/>
        <w:jc w:val="center"/>
        <w:rPr>
          <w:rFonts w:ascii="方正小标宋简体" w:hAnsi="华文中宋" w:eastAsia="方正小标宋简体"/>
          <w:spacing w:val="14"/>
          <w:sz w:val="44"/>
          <w:szCs w:val="44"/>
        </w:rPr>
      </w:pPr>
    </w:p>
    <w:p w14:paraId="58E9D162">
      <w:pPr>
        <w:snapToGrid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昆明呈贡信息产业园区管理委员会</w:t>
      </w:r>
    </w:p>
    <w:p w14:paraId="5684E00C">
      <w:pPr>
        <w:snapToGrid w:val="0"/>
        <w:spacing w:line="570" w:lineRule="exact"/>
        <w:jc w:val="center"/>
        <w:rPr>
          <w:rFonts w:ascii="方正小标宋简体" w:hAnsi="华文中宋" w:eastAsia="方正小标宋简体"/>
          <w:spacing w:val="14"/>
          <w:sz w:val="44"/>
          <w:szCs w:val="44"/>
        </w:rPr>
      </w:pPr>
      <w:r>
        <w:rPr>
          <w:rFonts w:hint="eastAsia" w:ascii="方正小标宋简体" w:eastAsia="方正小标宋简体"/>
          <w:sz w:val="44"/>
          <w:szCs w:val="44"/>
        </w:rPr>
        <w:t>2020年宝相大健康产业园启秀路（东段）、规划233号、规划234号、规划235号（东段、西段）、规划236号五条道路建设</w:t>
      </w:r>
      <w:r>
        <w:rPr>
          <w:rFonts w:hint="eastAsia" w:ascii="方正小标宋简体" w:hAnsi="华文中宋" w:eastAsia="方正小标宋简体"/>
          <w:spacing w:val="14"/>
          <w:sz w:val="44"/>
          <w:szCs w:val="44"/>
        </w:rPr>
        <w:t>项目</w:t>
      </w:r>
    </w:p>
    <w:p w14:paraId="0D646143">
      <w:pPr>
        <w:snapToGrid w:val="0"/>
        <w:spacing w:line="570" w:lineRule="exact"/>
        <w:jc w:val="center"/>
        <w:rPr>
          <w:rFonts w:ascii="方正小标宋简体" w:hAnsi="华文中宋" w:eastAsia="方正小标宋简体"/>
          <w:spacing w:val="14"/>
          <w:sz w:val="44"/>
          <w:szCs w:val="44"/>
        </w:rPr>
      </w:pPr>
    </w:p>
    <w:p w14:paraId="3D0F7421">
      <w:pPr>
        <w:widowControl/>
        <w:numPr>
          <w:ilvl w:val="0"/>
          <w:numId w:val="1"/>
        </w:numPr>
        <w:ind w:firstLine="640" w:firstLineChars="200"/>
        <w:jc w:val="left"/>
        <w:rPr>
          <w:rFonts w:ascii="黑体" w:hAnsi="黑体" w:eastAsia="黑体"/>
          <w:kern w:val="0"/>
          <w:sz w:val="32"/>
          <w:szCs w:val="32"/>
        </w:rPr>
      </w:pPr>
      <w:r>
        <w:rPr>
          <w:rFonts w:hint="eastAsia" w:ascii="黑体" w:hAnsi="黑体" w:eastAsia="黑体"/>
          <w:kern w:val="0"/>
          <w:sz w:val="32"/>
          <w:szCs w:val="32"/>
        </w:rPr>
        <w:t>项目名称</w:t>
      </w:r>
    </w:p>
    <w:p w14:paraId="7F860A0F">
      <w:pPr>
        <w:widowControl/>
        <w:ind w:firstLine="640" w:firstLineChars="200"/>
        <w:jc w:val="left"/>
        <w:rPr>
          <w:rFonts w:eastAsia="仿宋_GB2312"/>
          <w:kern w:val="0"/>
          <w:sz w:val="32"/>
          <w:szCs w:val="32"/>
        </w:rPr>
      </w:pPr>
      <w:r>
        <w:rPr>
          <w:rFonts w:hint="eastAsia" w:eastAsia="仿宋_GB2312"/>
          <w:kern w:val="0"/>
          <w:sz w:val="32"/>
          <w:szCs w:val="32"/>
        </w:rPr>
        <w:t>宝相大健康产业园启秀路（东段）、规划233号、规划234号、规划235号（东段、西段）、规划236号五条道路建设项目</w:t>
      </w:r>
    </w:p>
    <w:p w14:paraId="5CEFF631">
      <w:pPr>
        <w:widowControl/>
        <w:numPr>
          <w:ilvl w:val="0"/>
          <w:numId w:val="1"/>
        </w:numPr>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立项依据</w:t>
      </w:r>
    </w:p>
    <w:p w14:paraId="497D6B53">
      <w:pPr>
        <w:widowControl/>
        <w:ind w:firstLine="640" w:firstLineChars="200"/>
        <w:jc w:val="left"/>
        <w:rPr>
          <w:rFonts w:ascii="仿宋_GB2312" w:hAnsi="仿宋_GB2312" w:eastAsia="仿宋_GB2312" w:cs="仿宋_GB2312"/>
          <w:sz w:val="32"/>
          <w:szCs w:val="32"/>
        </w:rPr>
      </w:pPr>
      <w:r>
        <w:rPr>
          <w:rFonts w:hint="eastAsia" w:eastAsia="仿宋_GB2312"/>
          <w:kern w:val="0"/>
          <w:sz w:val="32"/>
          <w:szCs w:val="32"/>
        </w:rPr>
        <w:t>1.《关于同意宝相大健康产业园启秀路（东段）、规划233号、规划234号、规划235号（东段、西段）、规划236号五条道路建设项目开展前期工作的函》（呈发改函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号</w:t>
      </w:r>
      <w:r>
        <w:rPr>
          <w:rFonts w:hint="eastAsia" w:eastAsia="仿宋_GB2312"/>
          <w:kern w:val="0"/>
          <w:sz w:val="32"/>
          <w:szCs w:val="32"/>
        </w:rPr>
        <w:t>）</w:t>
      </w:r>
    </w:p>
    <w:p w14:paraId="0F892FE9">
      <w:pPr>
        <w:widowControl/>
        <w:ind w:firstLine="640" w:firstLineChars="200"/>
        <w:jc w:val="left"/>
        <w:rPr>
          <w:rFonts w:eastAsia="仿宋_GB2312"/>
          <w:kern w:val="0"/>
          <w:sz w:val="32"/>
          <w:szCs w:val="32"/>
        </w:rPr>
      </w:pPr>
      <w:r>
        <w:rPr>
          <w:rFonts w:hint="eastAsia" w:eastAsia="仿宋_GB2312"/>
          <w:kern w:val="0"/>
          <w:sz w:val="32"/>
          <w:szCs w:val="32"/>
        </w:rPr>
        <w:t>2.《关</w:t>
      </w:r>
      <w:r>
        <w:rPr>
          <w:rFonts w:eastAsia="仿宋_GB2312"/>
          <w:kern w:val="0"/>
          <w:sz w:val="32"/>
          <w:szCs w:val="32"/>
        </w:rPr>
        <w:t>于加快宝相大健康产业园道路及基础设施建设的通知</w:t>
      </w:r>
      <w:r>
        <w:rPr>
          <w:rFonts w:hint="eastAsia" w:eastAsia="仿宋_GB2312"/>
          <w:kern w:val="0"/>
          <w:sz w:val="32"/>
          <w:szCs w:val="32"/>
        </w:rPr>
        <w:t>》（</w:t>
      </w:r>
      <w:r>
        <w:rPr>
          <w:rFonts w:eastAsia="仿宋_GB2312"/>
          <w:kern w:val="0"/>
          <w:sz w:val="32"/>
          <w:szCs w:val="32"/>
        </w:rPr>
        <w:t>呈信产园管通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29</w:t>
      </w:r>
      <w:r>
        <w:rPr>
          <w:rFonts w:eastAsia="仿宋_GB2312"/>
          <w:kern w:val="0"/>
          <w:sz w:val="32"/>
          <w:szCs w:val="32"/>
        </w:rPr>
        <w:t>号</w:t>
      </w:r>
      <w:r>
        <w:rPr>
          <w:rFonts w:hint="eastAsia" w:eastAsia="仿宋_GB2312"/>
          <w:kern w:val="0"/>
          <w:sz w:val="32"/>
          <w:szCs w:val="32"/>
        </w:rPr>
        <w:t>）</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p>
    <w:p w14:paraId="53319A77">
      <w:pPr>
        <w:widowControl/>
        <w:ind w:firstLine="640" w:firstLineChars="200"/>
        <w:jc w:val="left"/>
        <w:rPr>
          <w:rFonts w:eastAsia="仿宋_GB2312"/>
          <w:kern w:val="0"/>
          <w:sz w:val="32"/>
          <w:szCs w:val="32"/>
        </w:rPr>
      </w:pPr>
      <w:r>
        <w:rPr>
          <w:rFonts w:hint="eastAsia" w:eastAsia="仿宋_GB2312"/>
          <w:kern w:val="0"/>
          <w:sz w:val="32"/>
          <w:szCs w:val="32"/>
        </w:rPr>
        <w:t>3.《关于尽快启动宝相大健康产业园855亩地块内五条道路建设工作的通知》（呈信产园管通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11</w:t>
      </w:r>
      <w:r>
        <w:rPr>
          <w:rFonts w:hint="eastAsia" w:eastAsia="仿宋_GB2312"/>
          <w:kern w:val="0"/>
          <w:sz w:val="32"/>
          <w:szCs w:val="32"/>
        </w:rPr>
        <w:t>号）</w:t>
      </w:r>
    </w:p>
    <w:p w14:paraId="69C6FACB">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三、项目实施单位</w:t>
      </w:r>
    </w:p>
    <w:p w14:paraId="462D2693">
      <w:pPr>
        <w:widowControl/>
        <w:ind w:firstLine="640" w:firstLineChars="200"/>
        <w:jc w:val="left"/>
        <w:rPr>
          <w:rFonts w:eastAsia="仿宋_GB2312"/>
          <w:kern w:val="0"/>
          <w:sz w:val="32"/>
          <w:szCs w:val="32"/>
        </w:rPr>
      </w:pPr>
      <w:r>
        <w:rPr>
          <w:rFonts w:hint="eastAsia" w:eastAsia="仿宋_GB2312"/>
          <w:kern w:val="0"/>
          <w:sz w:val="32"/>
          <w:szCs w:val="32"/>
        </w:rPr>
        <w:t>单位名称：昆明市智慧城市建设投资有限公司</w:t>
      </w:r>
    </w:p>
    <w:p w14:paraId="7659343E">
      <w:pPr>
        <w:widowControl/>
        <w:ind w:firstLine="640" w:firstLineChars="200"/>
        <w:jc w:val="left"/>
        <w:rPr>
          <w:rFonts w:eastAsia="仿宋_GB2312"/>
          <w:kern w:val="0"/>
          <w:sz w:val="32"/>
          <w:szCs w:val="32"/>
        </w:rPr>
      </w:pPr>
      <w:r>
        <w:rPr>
          <w:rFonts w:hint="eastAsia" w:eastAsia="仿宋_GB2312"/>
          <w:kern w:val="0"/>
          <w:sz w:val="32"/>
          <w:szCs w:val="32"/>
        </w:rPr>
        <w:t>组织机构代码：915301210546827135</w:t>
      </w:r>
    </w:p>
    <w:p w14:paraId="5CD78A55">
      <w:pPr>
        <w:widowControl/>
        <w:ind w:firstLine="640" w:firstLineChars="200"/>
        <w:jc w:val="left"/>
        <w:rPr>
          <w:rFonts w:eastAsia="仿宋_GB2312"/>
          <w:kern w:val="0"/>
          <w:sz w:val="32"/>
          <w:szCs w:val="32"/>
        </w:rPr>
      </w:pPr>
      <w:r>
        <w:rPr>
          <w:rFonts w:hint="eastAsia" w:eastAsia="仿宋_GB2312"/>
          <w:kern w:val="0"/>
          <w:sz w:val="32"/>
          <w:szCs w:val="32"/>
        </w:rPr>
        <w:t>地址：云南省昆明市呈贡区科技信息产业创新孵化中心研发</w:t>
      </w:r>
    </w:p>
    <w:p w14:paraId="72D6A898">
      <w:pPr>
        <w:widowControl/>
        <w:ind w:firstLine="640" w:firstLineChars="200"/>
        <w:jc w:val="left"/>
        <w:rPr>
          <w:rFonts w:eastAsia="仿宋_GB2312"/>
          <w:kern w:val="0"/>
          <w:sz w:val="32"/>
          <w:szCs w:val="32"/>
        </w:rPr>
      </w:pPr>
      <w:r>
        <w:rPr>
          <w:rFonts w:hint="eastAsia" w:eastAsia="仿宋_GB2312"/>
          <w:kern w:val="0"/>
          <w:sz w:val="32"/>
          <w:szCs w:val="32"/>
        </w:rPr>
        <w:t xml:space="preserve">办公A座 </w:t>
      </w:r>
    </w:p>
    <w:p w14:paraId="1A75B872">
      <w:pPr>
        <w:widowControl/>
        <w:ind w:firstLine="640" w:firstLineChars="200"/>
        <w:jc w:val="left"/>
        <w:rPr>
          <w:rFonts w:eastAsia="仿宋_GB2312"/>
          <w:kern w:val="0"/>
          <w:sz w:val="32"/>
          <w:szCs w:val="32"/>
        </w:rPr>
      </w:pPr>
      <w:r>
        <w:rPr>
          <w:rFonts w:hint="eastAsia" w:eastAsia="仿宋_GB2312"/>
          <w:kern w:val="0"/>
          <w:sz w:val="32"/>
          <w:szCs w:val="32"/>
        </w:rPr>
        <w:t>法人代表：马腾江</w:t>
      </w:r>
    </w:p>
    <w:p w14:paraId="7AC91164">
      <w:pPr>
        <w:widowControl/>
        <w:ind w:firstLine="640" w:firstLineChars="200"/>
        <w:jc w:val="left"/>
        <w:rPr>
          <w:rFonts w:eastAsia="仿宋_GB2312"/>
          <w:kern w:val="0"/>
          <w:sz w:val="32"/>
          <w:szCs w:val="32"/>
        </w:rPr>
      </w:pPr>
      <w:r>
        <w:rPr>
          <w:rFonts w:hint="eastAsia" w:eastAsia="仿宋_GB2312"/>
          <w:kern w:val="0"/>
          <w:sz w:val="32"/>
          <w:szCs w:val="32"/>
        </w:rPr>
        <w:t>经费来源：财政补助及企业自筹</w:t>
      </w:r>
    </w:p>
    <w:p w14:paraId="57EF109E">
      <w:pPr>
        <w:widowControl/>
        <w:ind w:firstLine="640" w:firstLineChars="200"/>
        <w:jc w:val="left"/>
        <w:rPr>
          <w:rFonts w:eastAsia="仿宋_GB2312"/>
          <w:kern w:val="0"/>
          <w:sz w:val="32"/>
          <w:szCs w:val="32"/>
        </w:rPr>
      </w:pPr>
      <w:r>
        <w:rPr>
          <w:rFonts w:hint="eastAsia" w:eastAsia="仿宋_GB2312"/>
          <w:kern w:val="0"/>
          <w:sz w:val="32"/>
          <w:szCs w:val="32"/>
        </w:rPr>
        <w:t>代为概况：昆明市智慧城市建设投资有限公司是昆明产业开发投资有限责任公司的下属控股公司，以昆明信息产业园区建设及昆明市智慧城市建设为目标，以促进我市科技成果转化、提升城市智能化水平为重点的国有全资公司，成立于2012年10月19日，注册资本金人民币165000万元。</w:t>
      </w:r>
    </w:p>
    <w:p w14:paraId="0CE7B033">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四、项目基本概况</w:t>
      </w:r>
    </w:p>
    <w:p w14:paraId="05E37226">
      <w:pPr>
        <w:widowControl/>
        <w:ind w:firstLine="640" w:firstLineChars="200"/>
        <w:jc w:val="left"/>
        <w:rPr>
          <w:rFonts w:eastAsia="仿宋_GB2312"/>
          <w:kern w:val="0"/>
          <w:sz w:val="32"/>
          <w:szCs w:val="32"/>
        </w:rPr>
      </w:pPr>
      <w:r>
        <w:rPr>
          <w:rFonts w:hint="eastAsia" w:eastAsia="仿宋_GB2312"/>
          <w:kern w:val="0"/>
          <w:sz w:val="32"/>
          <w:szCs w:val="32"/>
        </w:rPr>
        <w:t xml:space="preserve">宝相大健康产业园启秀路（东段）、规划233号、规划234号、规划235号（东段、西段）、规划236号五条道路、交安、照明、综合管线、绿化等工程项目。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p>
    <w:p w14:paraId="44B0C061">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五、项目实施内容</w:t>
      </w:r>
    </w:p>
    <w:p w14:paraId="44A89A5B">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一期开发范围为启秀路以南，云学路以西，关山路以东，博大路以北范围，开发范围约 </w:t>
      </w:r>
      <w:r>
        <w:rPr>
          <w:rFonts w:ascii="仿宋_GB2312" w:hAnsi="仿宋_GB2312" w:eastAsia="仿宋_GB2312" w:cs="仿宋_GB2312"/>
          <w:color w:val="000000"/>
          <w:kern w:val="0"/>
          <w:sz w:val="32"/>
          <w:szCs w:val="32"/>
        </w:rPr>
        <w:t>854</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73 </w:t>
      </w:r>
      <w:r>
        <w:rPr>
          <w:rFonts w:hint="eastAsia" w:ascii="仿宋_GB2312" w:hAnsi="仿宋_GB2312" w:eastAsia="仿宋_GB2312" w:cs="仿宋_GB2312"/>
          <w:color w:val="000000"/>
          <w:kern w:val="0"/>
          <w:sz w:val="32"/>
          <w:szCs w:val="32"/>
        </w:rPr>
        <w:t>亩，主要内容为市政道路基础设施建设及路网所包含的地块场地平整。</w:t>
      </w:r>
    </w:p>
    <w:p w14:paraId="4D44E1C1">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启秀路东段西起 236 号路，东至云学路，城市次干路，道路红线宽 40m，双向六车道，设计车速采用 40Km/h，设计全长 628.2m。 </w:t>
      </w:r>
    </w:p>
    <w:p w14:paraId="6E0B04E9">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233 号路北起启秀路东段，南至博大路，城市支路，道路红线宽 20m，双向两车道，设计车速采用 20Km/h，设计全长 425.6m。234 号路西起 233 号路，东至云学路，城市支路，道路红线宽 12m，双向两车道，设计车速采用 20Km/h，道路全长 390.8m。235 号路东段北起云学路，南至启秀路东段，城市支路，道路红线宽 12m，双向两车道，设计车速采用 20Km/h，设计全长 403.9m。235 号路西段西起关山路，东至 236 号路，城市支路，道路红线宽 20m，双向两车道，设计车速采用 20Km/h，设计全长382.9m。场平范围为 </w:t>
      </w:r>
      <w:r>
        <w:rPr>
          <w:rFonts w:ascii="仿宋_GB2312" w:hAnsi="仿宋_GB2312" w:eastAsia="仿宋_GB2312" w:cs="仿宋_GB2312"/>
          <w:color w:val="000000"/>
          <w:kern w:val="0"/>
          <w:sz w:val="32"/>
          <w:szCs w:val="32"/>
        </w:rPr>
        <w:t xml:space="preserve">5 </w:t>
      </w:r>
      <w:r>
        <w:rPr>
          <w:rFonts w:hint="eastAsia" w:ascii="仿宋_GB2312" w:hAnsi="仿宋_GB2312" w:eastAsia="仿宋_GB2312" w:cs="仿宋_GB2312"/>
          <w:color w:val="000000"/>
          <w:kern w:val="0"/>
          <w:sz w:val="32"/>
          <w:szCs w:val="32"/>
        </w:rPr>
        <w:t>条规划路网与现状云学路、关山路、博大路路网包含的地块范围，场平总面积约</w:t>
      </w:r>
      <w:r>
        <w:rPr>
          <w:rFonts w:ascii="仿宋_GB2312" w:hAnsi="仿宋_GB2312" w:eastAsia="仿宋_GB2312" w:cs="仿宋_GB2312"/>
          <w:color w:val="000000"/>
          <w:kern w:val="0"/>
          <w:sz w:val="32"/>
          <w:szCs w:val="32"/>
        </w:rPr>
        <w:t>669</w:t>
      </w:r>
      <w:r>
        <w:rPr>
          <w:rFonts w:hint="eastAsia" w:ascii="仿宋_GB2312" w:hAnsi="仿宋_GB2312" w:eastAsia="仿宋_GB2312" w:cs="仿宋_GB2312"/>
          <w:color w:val="000000"/>
          <w:kern w:val="0"/>
          <w:sz w:val="32"/>
          <w:szCs w:val="32"/>
        </w:rPr>
        <w:t>亩（不包含道路用地范围），共划分为</w:t>
      </w: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个地块。</w:t>
      </w:r>
    </w:p>
    <w:p w14:paraId="6E11C7B3">
      <w:pPr>
        <w:widowControl/>
        <w:numPr>
          <w:ilvl w:val="0"/>
          <w:numId w:val="2"/>
        </w:numPr>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资金安排情况</w:t>
      </w:r>
    </w:p>
    <w:p w14:paraId="3EAFF9C4">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2020年已获财政补助资金300万，后续会继续申请政府补助资金，并积极通过企业自筹或者银行贷款筹措资金，以确保</w:t>
      </w:r>
      <w:r>
        <w:rPr>
          <w:rFonts w:hint="eastAsia" w:eastAsia="仿宋_GB2312"/>
          <w:kern w:val="0"/>
          <w:sz w:val="32"/>
          <w:szCs w:val="32"/>
        </w:rPr>
        <w:t>宝相大健康产业园5条道路建设资金需求</w:t>
      </w:r>
      <w:r>
        <w:rPr>
          <w:rFonts w:hint="eastAsia" w:ascii="仿宋_GB2312" w:hAnsi="仿宋_GB2312" w:eastAsia="仿宋_GB2312" w:cs="仿宋_GB2312"/>
          <w:color w:val="000000"/>
          <w:kern w:val="0"/>
          <w:sz w:val="32"/>
          <w:szCs w:val="32"/>
        </w:rPr>
        <w:t>。</w:t>
      </w:r>
    </w:p>
    <w:p w14:paraId="54DADF66">
      <w:pPr>
        <w:widowControl/>
        <w:jc w:val="left"/>
        <w:rPr>
          <w:rFonts w:ascii="黑体" w:hAnsi="黑体" w:eastAsia="黑体" w:cs="黑体"/>
          <w:kern w:val="0"/>
          <w:sz w:val="32"/>
          <w:szCs w:val="32"/>
        </w:rPr>
      </w:pPr>
    </w:p>
    <w:p w14:paraId="41E844A2">
      <w:pPr>
        <w:widowControl/>
        <w:jc w:val="left"/>
        <w:rPr>
          <w:rFonts w:ascii="黑体" w:hAnsi="黑体" w:eastAsia="黑体" w:cs="黑体"/>
          <w:kern w:val="0"/>
          <w:sz w:val="32"/>
          <w:szCs w:val="32"/>
        </w:rPr>
      </w:pPr>
    </w:p>
    <w:p w14:paraId="1A685A3B">
      <w:pPr>
        <w:widowControl/>
        <w:jc w:val="left"/>
        <w:rPr>
          <w:rFonts w:ascii="黑体" w:hAnsi="黑体" w:eastAsia="黑体" w:cs="黑体"/>
          <w:kern w:val="0"/>
          <w:sz w:val="32"/>
          <w:szCs w:val="32"/>
        </w:rPr>
        <w:sectPr>
          <w:headerReference r:id="rId3" w:type="default"/>
          <w:headerReference r:id="rId4" w:type="even"/>
          <w:pgSz w:w="11906" w:h="16838"/>
          <w:pgMar w:top="1247" w:right="1797" w:bottom="1247" w:left="1797" w:header="851" w:footer="992" w:gutter="0"/>
          <w:cols w:space="720" w:num="1"/>
          <w:docGrid w:type="lines" w:linePitch="312" w:charSpace="0"/>
        </w:sectPr>
      </w:pPr>
      <w:r>
        <w:rPr>
          <w:rFonts w:hint="eastAsia" w:ascii="黑体" w:hAnsi="黑体" w:eastAsia="黑体" w:cs="黑体"/>
          <w:kern w:val="0"/>
          <w:sz w:val="32"/>
          <w:szCs w:val="32"/>
        </w:rPr>
        <w:t xml:space="preserve">                                                                  </w:t>
      </w:r>
    </w:p>
    <w:p w14:paraId="5CFCD24D">
      <w:pPr>
        <w:widowControl/>
        <w:jc w:val="left"/>
        <w:rPr>
          <w:rFonts w:ascii="黑体" w:hAnsi="黑体" w:eastAsia="黑体" w:cs="黑体"/>
          <w:kern w:val="0"/>
          <w:sz w:val="32"/>
          <w:szCs w:val="32"/>
        </w:rPr>
      </w:pPr>
      <w:r>
        <w:rPr>
          <w:rFonts w:hint="eastAsia" w:ascii="黑体" w:hAnsi="黑体" w:eastAsia="黑体" w:cs="黑体"/>
          <w:kern w:val="0"/>
          <w:sz w:val="32"/>
          <w:szCs w:val="32"/>
        </w:rPr>
        <w:t xml:space="preserve">      七、项目实施计划</w:t>
      </w:r>
    </w:p>
    <w:p w14:paraId="331A078B">
      <w:pPr>
        <w:widowControl/>
        <w:jc w:val="left"/>
        <w:rPr>
          <w:rFonts w:ascii="黑体" w:hAnsi="黑体" w:eastAsia="黑体" w:cs="黑体"/>
          <w:kern w:val="0"/>
          <w:sz w:val="30"/>
          <w:szCs w:val="30"/>
        </w:rPr>
        <w:sectPr>
          <w:pgSz w:w="16838" w:h="11906" w:orient="landscape"/>
          <w:pgMar w:top="1797" w:right="1247" w:bottom="1797" w:left="1247" w:header="851" w:footer="992" w:gutter="0"/>
          <w:cols w:space="720" w:num="1"/>
          <w:docGrid w:type="lines" w:linePitch="312" w:charSpace="0"/>
        </w:sectPr>
      </w:pPr>
      <w:r>
        <w:rPr>
          <w:rFonts w:hint="eastAsia" w:ascii="黑体" w:hAnsi="黑体" w:eastAsia="黑体" w:cs="黑体"/>
          <w:kern w:val="0"/>
          <w:sz w:val="30"/>
          <w:szCs w:val="30"/>
        </w:rPr>
        <w:t xml:space="preserve"> </w:t>
      </w:r>
      <w:r>
        <w:rPr>
          <w:rFonts w:hint="eastAsia" w:ascii="黑体" w:hAnsi="黑体" w:eastAsia="黑体" w:cs="黑体"/>
          <w:kern w:val="0"/>
          <w:sz w:val="30"/>
          <w:szCs w:val="30"/>
        </w:rPr>
        <w:drawing>
          <wp:inline distT="0" distB="0" distL="114300" distR="114300">
            <wp:extent cx="6689090" cy="3558540"/>
            <wp:effectExtent l="0" t="0" r="16510" b="3810"/>
            <wp:docPr id="1" name="图片 1" descr="1111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111111111"/>
                    <pic:cNvPicPr>
                      <a:picLocks noChangeAspect="1"/>
                    </pic:cNvPicPr>
                  </pic:nvPicPr>
                  <pic:blipFill>
                    <a:blip r:embed="rId6" cstate="print"/>
                    <a:stretch>
                      <a:fillRect/>
                    </a:stretch>
                  </pic:blipFill>
                  <pic:spPr>
                    <a:xfrm>
                      <a:off x="0" y="0"/>
                      <a:ext cx="6689090" cy="3558540"/>
                    </a:xfrm>
                    <a:prstGeom prst="rect">
                      <a:avLst/>
                    </a:prstGeom>
                    <a:noFill/>
                    <a:ln>
                      <a:noFill/>
                    </a:ln>
                  </pic:spPr>
                </pic:pic>
              </a:graphicData>
            </a:graphic>
          </wp:inline>
        </w:drawing>
      </w:r>
      <w:r>
        <w:rPr>
          <w:rFonts w:hint="eastAsia" w:ascii="黑体" w:hAnsi="黑体" w:eastAsia="黑体" w:cs="黑体"/>
          <w:kern w:val="0"/>
          <w:sz w:val="30"/>
          <w:szCs w:val="30"/>
        </w:rPr>
        <w:t xml:space="preserve"> </w:t>
      </w:r>
    </w:p>
    <w:p w14:paraId="10B79C1D">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八、项目实施成效</w:t>
      </w:r>
    </w:p>
    <w:p w14:paraId="7D03014E">
      <w:pPr>
        <w:widowControl/>
        <w:ind w:firstLine="640" w:firstLineChars="200"/>
        <w:jc w:val="left"/>
        <w:rPr>
          <w:rFonts w:ascii="黑体" w:hAnsi="黑体" w:eastAsia="黑体" w:cs="黑体"/>
          <w:kern w:val="0"/>
          <w:sz w:val="32"/>
          <w:szCs w:val="32"/>
        </w:rPr>
        <w:sectPr>
          <w:pgSz w:w="11906" w:h="16838"/>
          <w:pgMar w:top="1247" w:right="1797" w:bottom="1247" w:left="1797" w:header="851" w:footer="992" w:gutter="0"/>
          <w:cols w:space="720" w:num="1"/>
          <w:docGrid w:type="lines" w:linePitch="312" w:charSpace="0"/>
        </w:sectPr>
      </w:pPr>
      <w:r>
        <w:rPr>
          <w:rFonts w:hint="eastAsia" w:ascii="仿宋_GB2312" w:hAnsi="仿宋_GB2312" w:eastAsia="仿宋_GB2312" w:cs="仿宋_GB2312"/>
          <w:color w:val="000000"/>
          <w:kern w:val="0"/>
          <w:sz w:val="32"/>
          <w:szCs w:val="32"/>
        </w:rPr>
        <w:t>本项目的建设是完善园区路网结构、完善园区管线系统、推动园区开发与建设、促进园区可持续发展、进一步扩大园区规模建设的需要，将有效改善宝相大健康产业园的道路交通条件，为交通量的发展提供适宜的场所，对沿线土地开发创造了良好的契机，对提升沿线土地价值乃至规划区域土地价值、改善区域投资环境、拉动经济发展、发挥区域优势，具有较大的作用。有利于统筹城乡发展、协调呈贡新区及昆明市经济社会的跨越式发展，尽快形成一个经济繁荣的良好城市格局和发展态势。</w:t>
      </w:r>
      <w:r>
        <w:rPr>
          <w:rFonts w:hint="eastAsia" w:ascii="黑体" w:hAnsi="黑体" w:eastAsia="黑体" w:cs="黑体"/>
          <w:kern w:val="0"/>
          <w:sz w:val="32"/>
          <w:szCs w:val="32"/>
        </w:rPr>
        <w:t xml:space="preserve">                        </w:t>
      </w:r>
    </w:p>
    <w:p w14:paraId="5B9D7EA6">
      <w:pPr>
        <w:widowControl/>
        <w:numPr>
          <w:ilvl w:val="0"/>
          <w:numId w:val="3"/>
        </w:numPr>
        <w:ind w:firstLine="1280" w:firstLineChars="400"/>
        <w:jc w:val="left"/>
        <w:rPr>
          <w:rFonts w:ascii="黑体" w:hAnsi="黑体" w:eastAsia="黑体" w:cs="黑体"/>
          <w:kern w:val="0"/>
          <w:sz w:val="32"/>
          <w:szCs w:val="32"/>
        </w:rPr>
      </w:pPr>
      <w:r>
        <w:rPr>
          <w:rFonts w:hint="eastAsia" w:ascii="黑体" w:hAnsi="黑体" w:eastAsia="黑体" w:cs="黑体"/>
          <w:kern w:val="0"/>
          <w:sz w:val="32"/>
          <w:szCs w:val="32"/>
        </w:rPr>
        <w:t xml:space="preserve">项目绩效目标表 </w:t>
      </w:r>
      <w:r>
        <w:rPr>
          <w:rFonts w:ascii="黑体" w:hAnsi="黑体" w:eastAsia="黑体" w:cs="黑体"/>
          <w:kern w:val="0"/>
          <w:sz w:val="32"/>
          <w:szCs w:val="32"/>
        </w:rPr>
        <w:t xml:space="preserve"> </w:t>
      </w:r>
    </w:p>
    <w:tbl>
      <w:tblPr>
        <w:tblStyle w:val="8"/>
        <w:tblW w:w="14364" w:type="dxa"/>
        <w:tblInd w:w="0" w:type="dxa"/>
        <w:tblLayout w:type="fixed"/>
        <w:tblCellMar>
          <w:top w:w="0" w:type="dxa"/>
          <w:left w:w="0" w:type="dxa"/>
          <w:bottom w:w="0" w:type="dxa"/>
          <w:right w:w="0" w:type="dxa"/>
        </w:tblCellMar>
      </w:tblPr>
      <w:tblGrid>
        <w:gridCol w:w="940"/>
        <w:gridCol w:w="711"/>
        <w:gridCol w:w="982"/>
        <w:gridCol w:w="2008"/>
        <w:gridCol w:w="3038"/>
        <w:gridCol w:w="1335"/>
        <w:gridCol w:w="1253"/>
        <w:gridCol w:w="1992"/>
        <w:gridCol w:w="2105"/>
      </w:tblGrid>
      <w:tr w14:paraId="1F270046">
        <w:tblPrEx>
          <w:tblCellMar>
            <w:top w:w="0" w:type="dxa"/>
            <w:left w:w="0" w:type="dxa"/>
            <w:bottom w:w="0" w:type="dxa"/>
            <w:right w:w="0" w:type="dxa"/>
          </w:tblCellMar>
        </w:tblPrEx>
        <w:trPr>
          <w:trHeight w:val="680" w:hRule="atLeast"/>
        </w:trPr>
        <w:tc>
          <w:tcPr>
            <w:tcW w:w="14364" w:type="dxa"/>
            <w:gridSpan w:val="9"/>
            <w:tcBorders>
              <w:top w:val="nil"/>
              <w:left w:val="nil"/>
              <w:bottom w:val="nil"/>
              <w:right w:val="nil"/>
            </w:tcBorders>
            <w:shd w:val="clear" w:color="auto" w:fill="auto"/>
            <w:tcMar>
              <w:top w:w="10" w:type="dxa"/>
              <w:left w:w="10" w:type="dxa"/>
              <w:right w:w="10" w:type="dxa"/>
            </w:tcMar>
            <w:vAlign w:val="center"/>
          </w:tcPr>
          <w:p w14:paraId="7D480682">
            <w:pPr>
              <w:widowControl/>
              <w:jc w:val="center"/>
              <w:textAlignment w:val="center"/>
              <w:rPr>
                <w:rFonts w:ascii="方正小标宋简体" w:hAnsi="方正小标宋简体" w:eastAsia="方正小标宋简体" w:cs="方正小标宋简体"/>
                <w:color w:val="000000"/>
                <w:sz w:val="40"/>
                <w:szCs w:val="40"/>
              </w:rPr>
            </w:pPr>
            <w:r>
              <w:rPr>
                <w:rFonts w:hint="eastAsia" w:asciiTheme="minorEastAsia" w:hAnsiTheme="minorEastAsia" w:eastAsiaTheme="minorEastAsia" w:cstheme="minorEastAsia"/>
                <w:color w:val="000000"/>
                <w:kern w:val="0"/>
                <w:sz w:val="30"/>
                <w:szCs w:val="30"/>
              </w:rPr>
              <w:t>项目支出绩效目标</w:t>
            </w:r>
          </w:p>
        </w:tc>
      </w:tr>
      <w:tr w14:paraId="4CC72FC4">
        <w:tblPrEx>
          <w:tblCellMar>
            <w:top w:w="0" w:type="dxa"/>
            <w:left w:w="0" w:type="dxa"/>
            <w:bottom w:w="0" w:type="dxa"/>
            <w:right w:w="0" w:type="dxa"/>
          </w:tblCellMar>
        </w:tblPrEx>
        <w:trPr>
          <w:trHeight w:val="465" w:hRule="atLeast"/>
        </w:trPr>
        <w:tc>
          <w:tcPr>
            <w:tcW w:w="14364"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61A1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（2020年度）</w:t>
            </w:r>
          </w:p>
        </w:tc>
      </w:tr>
      <w:tr w14:paraId="253CE0EE">
        <w:tblPrEx>
          <w:tblCellMar>
            <w:top w:w="0" w:type="dxa"/>
            <w:left w:w="0" w:type="dxa"/>
            <w:bottom w:w="0" w:type="dxa"/>
            <w:right w:w="0" w:type="dxa"/>
          </w:tblCellMar>
        </w:tblPrEx>
        <w:trPr>
          <w:trHeight w:val="48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0405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11731"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D05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宝相大健康产业园启秀路（东段）、规划233号、规划234号、规划235号（东段、西段）、规划236号五条道路建设项目（1）</w:t>
            </w:r>
          </w:p>
        </w:tc>
      </w:tr>
      <w:tr w14:paraId="4149D789">
        <w:tblPrEx>
          <w:tblCellMar>
            <w:top w:w="0" w:type="dxa"/>
            <w:left w:w="0" w:type="dxa"/>
            <w:bottom w:w="0" w:type="dxa"/>
            <w:right w:w="0" w:type="dxa"/>
          </w:tblCellMar>
        </w:tblPrEx>
        <w:trPr>
          <w:trHeight w:val="54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27B7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主管部门及代码</w:t>
            </w:r>
          </w:p>
        </w:tc>
        <w:tc>
          <w:tcPr>
            <w:tcW w:w="504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B424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昆明呈贡信息产业园区管理委员会</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7337A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实施单位</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E7E1C">
            <w:pPr>
              <w:widowControl/>
              <w:jc w:val="left"/>
              <w:textAlignment w:val="bottom"/>
              <w:rPr>
                <w:rFonts w:ascii="宋体" w:hAnsi="宋体" w:cs="宋体"/>
                <w:color w:val="000000"/>
                <w:sz w:val="22"/>
                <w:szCs w:val="22"/>
              </w:rPr>
            </w:pPr>
            <w:r>
              <w:rPr>
                <w:rFonts w:hint="eastAsia" w:ascii="宋体" w:hAnsi="宋体" w:cs="宋体"/>
                <w:color w:val="000000"/>
                <w:sz w:val="22"/>
                <w:szCs w:val="22"/>
              </w:rPr>
              <w:t>昆明市智慧城市建设投资有限公司</w:t>
            </w:r>
          </w:p>
        </w:tc>
      </w:tr>
      <w:tr w14:paraId="37D35ED2">
        <w:tblPrEx>
          <w:tblCellMar>
            <w:top w:w="0" w:type="dxa"/>
            <w:left w:w="0" w:type="dxa"/>
            <w:bottom w:w="0" w:type="dxa"/>
            <w:right w:w="0" w:type="dxa"/>
          </w:tblCellMar>
        </w:tblPrEx>
        <w:trPr>
          <w:trHeight w:val="48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3E7B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项目属性</w:t>
            </w:r>
          </w:p>
        </w:tc>
        <w:tc>
          <w:tcPr>
            <w:tcW w:w="5046" w:type="dxa"/>
            <w:gridSpan w:val="2"/>
            <w:tcBorders>
              <w:top w:val="nil"/>
              <w:left w:val="nil"/>
              <w:bottom w:val="single" w:color="000000" w:sz="4" w:space="0"/>
              <w:right w:val="single" w:color="000000" w:sz="4" w:space="0"/>
            </w:tcBorders>
            <w:shd w:val="clear" w:color="auto" w:fill="auto"/>
            <w:tcMar>
              <w:top w:w="10" w:type="dxa"/>
              <w:left w:w="10" w:type="dxa"/>
              <w:right w:w="10" w:type="dxa"/>
            </w:tcMar>
            <w:vAlign w:val="bottom"/>
          </w:tcPr>
          <w:p w14:paraId="6A9BE92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001 新增项目</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61CF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项目期</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7693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跨年实施项目</w:t>
            </w:r>
          </w:p>
        </w:tc>
      </w:tr>
      <w:tr w14:paraId="23B38CCE">
        <w:tblPrEx>
          <w:tblCellMar>
            <w:top w:w="0" w:type="dxa"/>
            <w:left w:w="0" w:type="dxa"/>
            <w:bottom w:w="0" w:type="dxa"/>
            <w:right w:w="0" w:type="dxa"/>
          </w:tblCellMar>
        </w:tblPrEx>
        <w:trPr>
          <w:trHeight w:val="705"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BB1D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项目负责人</w:t>
            </w:r>
          </w:p>
        </w:tc>
        <w:tc>
          <w:tcPr>
            <w:tcW w:w="504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9E84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张丽</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8C58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联系电话</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185C2">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67487925</w:t>
            </w:r>
            <w:bookmarkStart w:id="0" w:name="_GoBack"/>
            <w:bookmarkEnd w:id="0"/>
          </w:p>
        </w:tc>
      </w:tr>
      <w:tr w14:paraId="7A21EB53">
        <w:tblPrEx>
          <w:tblCellMar>
            <w:top w:w="0" w:type="dxa"/>
            <w:left w:w="0" w:type="dxa"/>
            <w:bottom w:w="0" w:type="dxa"/>
            <w:right w:w="0" w:type="dxa"/>
          </w:tblCellMar>
        </w:tblPrEx>
        <w:trPr>
          <w:trHeight w:val="124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9B3C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项目概况</w:t>
            </w:r>
          </w:p>
        </w:tc>
        <w:tc>
          <w:tcPr>
            <w:tcW w:w="11731"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5A0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规划启秀路东段道路长628.28米，宽40米；规划233号路长425.6米，宽20米；规划234号路道路长390.8米，宽12米；规划235号路东段道路长403.9米，宽12米；规划235号路西段道路长382.9米，宽20米；规划236号路道路长528米，宽20米，项目总占地面积约163.3亩，主要建设内容为道路、交通、总排水、电力、电信、照明、绿化、燃气、管线综合等相关附属设施配套工程。</w:t>
            </w:r>
          </w:p>
        </w:tc>
      </w:tr>
      <w:tr w14:paraId="20867880">
        <w:tblPrEx>
          <w:tblCellMar>
            <w:top w:w="0" w:type="dxa"/>
            <w:left w:w="0" w:type="dxa"/>
            <w:bottom w:w="0" w:type="dxa"/>
            <w:right w:w="0" w:type="dxa"/>
          </w:tblCellMar>
        </w:tblPrEx>
        <w:trPr>
          <w:trHeight w:val="51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18B2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项目立项依据</w:t>
            </w:r>
          </w:p>
        </w:tc>
        <w:tc>
          <w:tcPr>
            <w:tcW w:w="11731"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297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区委或区政府发文</w:t>
            </w:r>
          </w:p>
        </w:tc>
      </w:tr>
      <w:tr w14:paraId="25627C5E">
        <w:tblPrEx>
          <w:tblCellMar>
            <w:top w:w="0" w:type="dxa"/>
            <w:left w:w="0" w:type="dxa"/>
            <w:bottom w:w="0" w:type="dxa"/>
            <w:right w:w="0" w:type="dxa"/>
          </w:tblCellMar>
        </w:tblPrEx>
        <w:trPr>
          <w:trHeight w:val="39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0268A3">
            <w:pPr>
              <w:jc w:val="center"/>
              <w:rPr>
                <w:rFonts w:ascii="宋体" w:hAnsi="宋体" w:cs="宋体"/>
                <w:color w:val="000000"/>
                <w:sz w:val="22"/>
                <w:szCs w:val="22"/>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37F42DCD">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总投入</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1FA07F9A">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中央财政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2CDA5EBB">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省级财政</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415D43FF">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市本级财政</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3AC5B661">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县（市）区级财政</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14:paraId="774C53AB">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rPr>
              <w:t>其他</w:t>
            </w:r>
          </w:p>
        </w:tc>
      </w:tr>
      <w:tr w14:paraId="10F9911A">
        <w:tblPrEx>
          <w:tblCellMar>
            <w:top w:w="0" w:type="dxa"/>
            <w:left w:w="0" w:type="dxa"/>
            <w:bottom w:w="0" w:type="dxa"/>
            <w:right w:w="0" w:type="dxa"/>
          </w:tblCellMar>
        </w:tblPrEx>
        <w:trPr>
          <w:trHeight w:val="39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34B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中期资金来源（元）</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C4AD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344,032,400.00 </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60995">
            <w:pPr>
              <w:jc w:val="right"/>
              <w:rPr>
                <w:rFonts w:ascii="宋体" w:hAnsi="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BEF4B">
            <w:pPr>
              <w:jc w:val="right"/>
              <w:rPr>
                <w:rFonts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7F375">
            <w:pPr>
              <w:jc w:val="right"/>
              <w:rPr>
                <w:rFonts w:ascii="宋体" w:hAnsi="宋体" w:cs="宋体"/>
                <w:color w:val="000000"/>
                <w:sz w:val="22"/>
                <w:szCs w:val="22"/>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25BD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344,032,400.00 </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755F4">
            <w:pPr>
              <w:jc w:val="right"/>
              <w:rPr>
                <w:rFonts w:ascii="宋体" w:hAnsi="宋体" w:cs="宋体"/>
                <w:color w:val="000000"/>
                <w:sz w:val="22"/>
                <w:szCs w:val="22"/>
              </w:rPr>
            </w:pPr>
          </w:p>
        </w:tc>
      </w:tr>
      <w:tr w14:paraId="52F1357C">
        <w:tblPrEx>
          <w:tblCellMar>
            <w:top w:w="0" w:type="dxa"/>
            <w:left w:w="0" w:type="dxa"/>
            <w:bottom w:w="0" w:type="dxa"/>
            <w:right w:w="0" w:type="dxa"/>
          </w:tblCellMar>
        </w:tblPrEx>
        <w:trPr>
          <w:trHeight w:val="39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FAEF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年度资金来源（元）</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D732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3,000,000.00 </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83978">
            <w:pPr>
              <w:jc w:val="right"/>
              <w:rPr>
                <w:rFonts w:ascii="宋体" w:hAnsi="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45206">
            <w:pPr>
              <w:jc w:val="right"/>
              <w:rPr>
                <w:rFonts w:ascii="宋体" w:hAnsi="宋体" w:cs="宋体"/>
                <w:color w:val="000000"/>
                <w:sz w:val="22"/>
                <w:szCs w:val="22"/>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44766">
            <w:pPr>
              <w:jc w:val="right"/>
              <w:rPr>
                <w:rFonts w:ascii="宋体" w:hAnsi="宋体" w:cs="宋体"/>
                <w:color w:val="000000"/>
                <w:sz w:val="22"/>
                <w:szCs w:val="22"/>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11CF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3,000,000.00 </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C49D6">
            <w:pPr>
              <w:jc w:val="right"/>
              <w:rPr>
                <w:rFonts w:ascii="宋体" w:hAnsi="宋体" w:cs="宋体"/>
                <w:color w:val="000000"/>
                <w:sz w:val="22"/>
                <w:szCs w:val="22"/>
              </w:rPr>
            </w:pPr>
          </w:p>
        </w:tc>
      </w:tr>
      <w:tr w14:paraId="44792F84">
        <w:tblPrEx>
          <w:tblCellMar>
            <w:top w:w="0" w:type="dxa"/>
            <w:left w:w="0" w:type="dxa"/>
            <w:bottom w:w="0" w:type="dxa"/>
            <w:right w:w="0" w:type="dxa"/>
          </w:tblCellMar>
        </w:tblPrEx>
        <w:trPr>
          <w:trHeight w:val="400" w:hRule="atLeast"/>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700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总  体   目  标</w:t>
            </w:r>
          </w:p>
        </w:tc>
        <w:tc>
          <w:tcPr>
            <w:tcW w:w="67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A1E9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中期目标</w:t>
            </w:r>
          </w:p>
        </w:tc>
        <w:tc>
          <w:tcPr>
            <w:tcW w:w="66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2ADC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4ECDABBB">
        <w:tblPrEx>
          <w:tblCellMar>
            <w:top w:w="0" w:type="dxa"/>
            <w:left w:w="0" w:type="dxa"/>
            <w:bottom w:w="0" w:type="dxa"/>
            <w:right w:w="0" w:type="dxa"/>
          </w:tblCellMar>
        </w:tblPrEx>
        <w:trPr>
          <w:trHeight w:val="56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8F4A1">
            <w:pPr>
              <w:jc w:val="left"/>
              <w:rPr>
                <w:rFonts w:ascii="宋体" w:hAnsi="宋体" w:cs="宋体"/>
                <w:color w:val="000000"/>
                <w:sz w:val="22"/>
                <w:szCs w:val="22"/>
              </w:rPr>
            </w:pPr>
          </w:p>
        </w:tc>
        <w:tc>
          <w:tcPr>
            <w:tcW w:w="673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0229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完成宝相大健康产业园启秀路（东段）、规划233号、规划234号、规划235号（东段、西段）、规划236号五条道路建设工作</w:t>
            </w:r>
          </w:p>
        </w:tc>
        <w:tc>
          <w:tcPr>
            <w:tcW w:w="66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FAD3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2020年计划完成投资约1亿元。</w:t>
            </w:r>
          </w:p>
        </w:tc>
      </w:tr>
      <w:tr w14:paraId="75DAEB12">
        <w:tblPrEx>
          <w:tblCellMar>
            <w:top w:w="0" w:type="dxa"/>
            <w:left w:w="0" w:type="dxa"/>
            <w:bottom w:w="0" w:type="dxa"/>
            <w:right w:w="0" w:type="dxa"/>
          </w:tblCellMar>
        </w:tblPrEx>
        <w:trPr>
          <w:trHeight w:val="56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CAEB">
            <w:pPr>
              <w:jc w:val="left"/>
              <w:rPr>
                <w:rFonts w:ascii="宋体" w:hAnsi="宋体" w:cs="宋体"/>
                <w:color w:val="000000"/>
                <w:sz w:val="22"/>
                <w:szCs w:val="22"/>
              </w:rPr>
            </w:pPr>
          </w:p>
        </w:tc>
        <w:tc>
          <w:tcPr>
            <w:tcW w:w="673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020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1.完善宝相大健康产业园路网建设工作2.减轻宝相大健康产业园道路交通压力；3.逐步改造宝相大健康产业园道路现状；</w:t>
            </w:r>
          </w:p>
        </w:tc>
        <w:tc>
          <w:tcPr>
            <w:tcW w:w="66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924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完成宝相大健康产业园启秀路（东段）、规划233号、规划234号、规划235号（东段、西段）、规划236号五条道路建设任务</w:t>
            </w:r>
          </w:p>
        </w:tc>
      </w:tr>
      <w:tr w14:paraId="627361EF">
        <w:tblPrEx>
          <w:tblCellMar>
            <w:top w:w="0" w:type="dxa"/>
            <w:left w:w="0" w:type="dxa"/>
            <w:bottom w:w="0" w:type="dxa"/>
            <w:right w:w="0" w:type="dxa"/>
          </w:tblCellMar>
        </w:tblPrEx>
        <w:trPr>
          <w:trHeight w:val="42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43118">
            <w:pPr>
              <w:jc w:val="left"/>
              <w:rPr>
                <w:rFonts w:ascii="宋体" w:hAnsi="宋体" w:cs="宋体"/>
                <w:color w:val="000000"/>
                <w:sz w:val="22"/>
                <w:szCs w:val="22"/>
              </w:rPr>
            </w:pPr>
          </w:p>
        </w:tc>
        <w:tc>
          <w:tcPr>
            <w:tcW w:w="673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B1300">
            <w:pPr>
              <w:jc w:val="left"/>
              <w:rPr>
                <w:rFonts w:ascii="宋体" w:hAnsi="宋体" w:cs="宋体"/>
                <w:color w:val="000000"/>
                <w:sz w:val="22"/>
                <w:szCs w:val="22"/>
              </w:rPr>
            </w:pPr>
          </w:p>
        </w:tc>
        <w:tc>
          <w:tcPr>
            <w:tcW w:w="66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223FD">
            <w:pPr>
              <w:jc w:val="left"/>
              <w:rPr>
                <w:rFonts w:ascii="宋体" w:hAnsi="宋体" w:cs="宋体"/>
                <w:color w:val="000000"/>
                <w:sz w:val="22"/>
                <w:szCs w:val="22"/>
              </w:rPr>
            </w:pPr>
          </w:p>
        </w:tc>
      </w:tr>
      <w:tr w14:paraId="7D62BDD7">
        <w:tblPrEx>
          <w:tblCellMar>
            <w:top w:w="0" w:type="dxa"/>
            <w:left w:w="0" w:type="dxa"/>
            <w:bottom w:w="0" w:type="dxa"/>
            <w:right w:w="0" w:type="dxa"/>
          </w:tblCellMar>
        </w:tblPrEx>
        <w:trPr>
          <w:trHeight w:val="43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5F3D2">
            <w:pPr>
              <w:jc w:val="left"/>
              <w:rPr>
                <w:rFonts w:ascii="宋体" w:hAnsi="宋体" w:cs="宋体"/>
                <w:color w:val="000000"/>
                <w:sz w:val="22"/>
                <w:szCs w:val="22"/>
              </w:rPr>
            </w:pPr>
          </w:p>
        </w:tc>
        <w:tc>
          <w:tcPr>
            <w:tcW w:w="673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06C7F">
            <w:pPr>
              <w:jc w:val="left"/>
              <w:rPr>
                <w:rFonts w:ascii="宋体" w:hAnsi="宋体" w:cs="宋体"/>
                <w:color w:val="000000"/>
                <w:sz w:val="22"/>
                <w:szCs w:val="22"/>
              </w:rPr>
            </w:pPr>
          </w:p>
        </w:tc>
        <w:tc>
          <w:tcPr>
            <w:tcW w:w="66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03CC9">
            <w:pPr>
              <w:jc w:val="left"/>
              <w:rPr>
                <w:rFonts w:ascii="宋体" w:hAnsi="宋体" w:cs="宋体"/>
                <w:color w:val="000000"/>
                <w:sz w:val="22"/>
                <w:szCs w:val="22"/>
              </w:rPr>
            </w:pPr>
          </w:p>
        </w:tc>
      </w:tr>
      <w:tr w14:paraId="5CF49188">
        <w:tblPrEx>
          <w:tblCellMar>
            <w:top w:w="0" w:type="dxa"/>
            <w:left w:w="0" w:type="dxa"/>
            <w:bottom w:w="0" w:type="dxa"/>
            <w:right w:w="0" w:type="dxa"/>
          </w:tblCellMar>
        </w:tblPrEx>
        <w:trPr>
          <w:trHeight w:val="540" w:hRule="atLeast"/>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442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绩  效  指  标</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22F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141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B55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3AB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CA7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01F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484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w:t>
            </w:r>
          </w:p>
        </w:tc>
      </w:tr>
      <w:tr w14:paraId="6900B293">
        <w:tblPrEx>
          <w:tblCellMar>
            <w:top w:w="0" w:type="dxa"/>
            <w:left w:w="0" w:type="dxa"/>
            <w:bottom w:w="0" w:type="dxa"/>
            <w:right w:w="0" w:type="dxa"/>
          </w:tblCellMar>
        </w:tblPrEx>
        <w:trPr>
          <w:trHeight w:val="42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0A795">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FEB04C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44BB1AB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数量指标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FC61FA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建设道路公里数</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703E1C5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2.76公里</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692EDCF6">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数量指标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28F24AA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建设道路公里数</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50D8F58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1.38公里</w:t>
            </w:r>
          </w:p>
        </w:tc>
      </w:tr>
      <w:tr w14:paraId="14E1677A">
        <w:tblPrEx>
          <w:tblCellMar>
            <w:top w:w="0" w:type="dxa"/>
            <w:left w:w="0" w:type="dxa"/>
            <w:bottom w:w="0" w:type="dxa"/>
            <w:right w:w="0" w:type="dxa"/>
          </w:tblCellMar>
        </w:tblPrEx>
        <w:trPr>
          <w:trHeight w:val="92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E91AA">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E24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24792F7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质量指标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88A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建设工程质量合格标准</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D9B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完成五条道路建设工作，符合国家政策相关质量要求，运营通车</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71858804">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质量指标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A963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建设工程质量合格标准</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5C1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道路建设工作符合国家政策相关质量要求</w:t>
            </w:r>
          </w:p>
        </w:tc>
      </w:tr>
      <w:tr w14:paraId="7D4E8A0A">
        <w:tblPrEx>
          <w:tblCellMar>
            <w:top w:w="0" w:type="dxa"/>
            <w:left w:w="0" w:type="dxa"/>
            <w:bottom w:w="0" w:type="dxa"/>
            <w:right w:w="0" w:type="dxa"/>
          </w:tblCellMar>
        </w:tblPrEx>
        <w:trPr>
          <w:trHeight w:val="37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B82F3">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14C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9B2834D">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时效指标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A25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完成工程建设任务时限</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E544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2022年底</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49F97C2E">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时效指标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FB1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完成工程建设任务时限</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047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2020年底</w:t>
            </w:r>
          </w:p>
        </w:tc>
      </w:tr>
      <w:tr w14:paraId="2905C421">
        <w:tblPrEx>
          <w:tblCellMar>
            <w:top w:w="0" w:type="dxa"/>
            <w:left w:w="0" w:type="dxa"/>
            <w:bottom w:w="0" w:type="dxa"/>
            <w:right w:w="0" w:type="dxa"/>
          </w:tblCellMar>
        </w:tblPrEx>
        <w:trPr>
          <w:trHeight w:val="37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F7DC8">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287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产出指标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64D22BC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成本指标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7867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三年项目预计投资总额</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11D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34403万元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08622ACA">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成本指标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927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2020年预计投资额</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F9B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10000万元</w:t>
            </w:r>
          </w:p>
        </w:tc>
      </w:tr>
      <w:tr w14:paraId="7327F5F3">
        <w:tblPrEx>
          <w:tblCellMar>
            <w:top w:w="0" w:type="dxa"/>
            <w:left w:w="0" w:type="dxa"/>
            <w:bottom w:w="0" w:type="dxa"/>
            <w:right w:w="0" w:type="dxa"/>
          </w:tblCellMar>
        </w:tblPrEx>
        <w:trPr>
          <w:trHeight w:val="54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275FA">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47F5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97A164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经济效益指标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19A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降低成本</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1B7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降低车辆出行运输成本</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7A71450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经济效益指标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76E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降低成本</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468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降低车辆出行运输成本</w:t>
            </w:r>
          </w:p>
        </w:tc>
      </w:tr>
      <w:tr w14:paraId="6ECAFC07">
        <w:tblPrEx>
          <w:tblCellMar>
            <w:top w:w="0" w:type="dxa"/>
            <w:left w:w="0" w:type="dxa"/>
            <w:bottom w:w="0" w:type="dxa"/>
            <w:right w:w="0" w:type="dxa"/>
          </w:tblCellMar>
        </w:tblPrEx>
        <w:trPr>
          <w:trHeight w:val="76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5AE81">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89B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4B33C689">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社会效益指标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780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通车率、路面完好率</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67B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6C2945E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社会效益指标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FF9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路面完好率</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71E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≥49%</w:t>
            </w:r>
          </w:p>
        </w:tc>
      </w:tr>
      <w:tr w14:paraId="4CB7D247">
        <w:tblPrEx>
          <w:tblCellMar>
            <w:top w:w="0" w:type="dxa"/>
            <w:left w:w="0" w:type="dxa"/>
            <w:bottom w:w="0" w:type="dxa"/>
            <w:right w:w="0" w:type="dxa"/>
          </w:tblCellMar>
        </w:tblPrEx>
        <w:trPr>
          <w:trHeight w:val="84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C2AEF">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154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0AC8235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生态效益指标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E25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水土保持</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E87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提高区域水土保持能力，保护植被</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1CE2AAAB">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生态效益指标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B96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水土保持</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B53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提高区域水土保持能力，保护植被</w:t>
            </w:r>
          </w:p>
        </w:tc>
      </w:tr>
      <w:tr w14:paraId="55240983">
        <w:tblPrEx>
          <w:tblCellMar>
            <w:top w:w="0" w:type="dxa"/>
            <w:left w:w="0" w:type="dxa"/>
            <w:bottom w:w="0" w:type="dxa"/>
            <w:right w:w="0" w:type="dxa"/>
          </w:tblCellMar>
        </w:tblPrEx>
        <w:trPr>
          <w:trHeight w:val="70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4759F">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316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793D2FC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486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对园区影响</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FED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完善园区路网、管网，促进可持续发展，推动园区开发建设，扩大园区规模建设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2E0D5C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C5D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对园区影响</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B6E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推动园区开发建设，扩大园区规模建设</w:t>
            </w:r>
          </w:p>
        </w:tc>
      </w:tr>
      <w:tr w14:paraId="799EA7BB">
        <w:tblPrEx>
          <w:tblCellMar>
            <w:top w:w="0" w:type="dxa"/>
            <w:left w:w="0" w:type="dxa"/>
            <w:bottom w:w="0" w:type="dxa"/>
            <w:right w:w="0" w:type="dxa"/>
          </w:tblCellMar>
        </w:tblPrEx>
        <w:trPr>
          <w:trHeight w:val="660"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D6709">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948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EC78555">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53A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群众对项目建成的满意度</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8A9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2D40797F">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服务对象满意度指标</w:t>
            </w: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CDF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群众对项目建成的满意度</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666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≥98%</w:t>
            </w:r>
          </w:p>
        </w:tc>
      </w:tr>
      <w:tr w14:paraId="2F39FD5C">
        <w:tblPrEx>
          <w:tblCellMar>
            <w:top w:w="0" w:type="dxa"/>
            <w:left w:w="0" w:type="dxa"/>
            <w:bottom w:w="0" w:type="dxa"/>
            <w:right w:w="0" w:type="dxa"/>
          </w:tblCellMar>
        </w:tblPrEx>
        <w:trPr>
          <w:trHeight w:val="37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FF5F6">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47511">
            <w:pPr>
              <w:jc w:val="left"/>
              <w:rPr>
                <w:rFonts w:ascii="宋体" w:hAnsi="宋体"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39D3B3A8">
            <w:pPr>
              <w:rPr>
                <w:rFonts w:ascii="宋体" w:hAnsi="宋体" w:cs="宋体"/>
                <w:color w:val="000000"/>
                <w:sz w:val="22"/>
                <w:szCs w:val="22"/>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83503">
            <w:pPr>
              <w:jc w:val="left"/>
              <w:rPr>
                <w:rFonts w:ascii="宋体" w:hAnsi="宋体" w:cs="宋体"/>
                <w:color w:val="000000"/>
                <w:sz w:val="22"/>
                <w:szCs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614FF">
            <w:pPr>
              <w:jc w:val="left"/>
              <w:rPr>
                <w:rFonts w:ascii="宋体" w:hAnsi="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659A3625">
            <w:pPr>
              <w:rPr>
                <w:rFonts w:ascii="宋体" w:hAnsi="宋体" w:cs="宋体"/>
                <w:color w:val="000000"/>
                <w:sz w:val="22"/>
                <w:szCs w:val="22"/>
              </w:rPr>
            </w:pP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A898A">
            <w:pPr>
              <w:jc w:val="left"/>
              <w:rPr>
                <w:rFonts w:ascii="宋体" w:hAnsi="宋体" w:cs="宋体"/>
                <w:color w:val="000000"/>
                <w:sz w:val="22"/>
                <w:szCs w:val="22"/>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F8E9D">
            <w:pPr>
              <w:jc w:val="left"/>
              <w:rPr>
                <w:rFonts w:ascii="宋体" w:hAnsi="宋体" w:cs="宋体"/>
                <w:color w:val="000000"/>
                <w:sz w:val="22"/>
                <w:szCs w:val="22"/>
              </w:rPr>
            </w:pPr>
          </w:p>
        </w:tc>
      </w:tr>
      <w:tr w14:paraId="68290167">
        <w:tblPrEx>
          <w:tblCellMar>
            <w:top w:w="0" w:type="dxa"/>
            <w:left w:w="0" w:type="dxa"/>
            <w:bottom w:w="0" w:type="dxa"/>
            <w:right w:w="0" w:type="dxa"/>
          </w:tblCellMar>
        </w:tblPrEx>
        <w:trPr>
          <w:trHeight w:val="37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95883">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EB7B5">
            <w:pPr>
              <w:jc w:val="left"/>
              <w:rPr>
                <w:rFonts w:ascii="宋体" w:hAnsi="宋体"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70E041B8">
            <w:pPr>
              <w:rPr>
                <w:rFonts w:ascii="宋体" w:hAnsi="宋体" w:cs="宋体"/>
                <w:color w:val="000000"/>
                <w:sz w:val="22"/>
                <w:szCs w:val="22"/>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F6DA3">
            <w:pPr>
              <w:jc w:val="left"/>
              <w:rPr>
                <w:rFonts w:ascii="宋体" w:hAnsi="宋体" w:cs="宋体"/>
                <w:color w:val="000000"/>
                <w:sz w:val="22"/>
                <w:szCs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8A6CA">
            <w:pPr>
              <w:jc w:val="left"/>
              <w:rPr>
                <w:rFonts w:ascii="宋体" w:hAnsi="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52C7B072">
            <w:pPr>
              <w:rPr>
                <w:rFonts w:ascii="宋体" w:hAnsi="宋体" w:cs="宋体"/>
                <w:color w:val="000000"/>
                <w:sz w:val="22"/>
                <w:szCs w:val="22"/>
              </w:rPr>
            </w:pP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2B7CD">
            <w:pPr>
              <w:jc w:val="left"/>
              <w:rPr>
                <w:rFonts w:ascii="宋体" w:hAnsi="宋体" w:cs="宋体"/>
                <w:color w:val="000000"/>
                <w:sz w:val="22"/>
                <w:szCs w:val="22"/>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680ED">
            <w:pPr>
              <w:jc w:val="left"/>
              <w:rPr>
                <w:rFonts w:ascii="宋体" w:hAnsi="宋体" w:cs="宋体"/>
                <w:color w:val="000000"/>
                <w:sz w:val="22"/>
                <w:szCs w:val="22"/>
              </w:rPr>
            </w:pPr>
          </w:p>
        </w:tc>
      </w:tr>
      <w:tr w14:paraId="4410179B">
        <w:tblPrEx>
          <w:tblCellMar>
            <w:top w:w="0" w:type="dxa"/>
            <w:left w:w="0" w:type="dxa"/>
            <w:bottom w:w="0" w:type="dxa"/>
            <w:right w:w="0" w:type="dxa"/>
          </w:tblCellMar>
        </w:tblPrEx>
        <w:trPr>
          <w:trHeight w:val="375" w:hRule="atLeast"/>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3099F">
            <w:pPr>
              <w:jc w:val="left"/>
              <w:rPr>
                <w:rFonts w:ascii="宋体" w:hAnsi="宋体" w:cs="宋体"/>
                <w:color w:val="000000"/>
                <w:sz w:val="22"/>
                <w:szCs w:val="22"/>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CA586">
            <w:pPr>
              <w:jc w:val="left"/>
              <w:rPr>
                <w:rFonts w:ascii="宋体" w:hAnsi="宋体" w:cs="宋体"/>
                <w:color w:val="000000"/>
                <w:sz w:val="22"/>
                <w:szCs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68FFA0C2">
            <w:pPr>
              <w:rPr>
                <w:rFonts w:ascii="宋体" w:hAnsi="宋体" w:cs="宋体"/>
                <w:color w:val="000000"/>
                <w:sz w:val="22"/>
                <w:szCs w:val="22"/>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26530">
            <w:pPr>
              <w:jc w:val="left"/>
              <w:rPr>
                <w:rFonts w:ascii="宋体" w:hAnsi="宋体" w:cs="宋体"/>
                <w:color w:val="000000"/>
                <w:sz w:val="22"/>
                <w:szCs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CE41C">
            <w:pPr>
              <w:jc w:val="left"/>
              <w:rPr>
                <w:rFonts w:ascii="宋体" w:hAnsi="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14:paraId="0F002B8D">
            <w:pPr>
              <w:rPr>
                <w:rFonts w:ascii="宋体" w:hAnsi="宋体" w:cs="宋体"/>
                <w:color w:val="000000"/>
                <w:sz w:val="22"/>
                <w:szCs w:val="22"/>
              </w:rPr>
            </w:pPr>
          </w:p>
        </w:tc>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C7FBC">
            <w:pPr>
              <w:jc w:val="left"/>
              <w:rPr>
                <w:rFonts w:ascii="宋体" w:hAnsi="宋体" w:cs="宋体"/>
                <w:color w:val="000000"/>
                <w:sz w:val="22"/>
                <w:szCs w:val="22"/>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3A3D3">
            <w:pPr>
              <w:jc w:val="left"/>
              <w:rPr>
                <w:rFonts w:ascii="宋体" w:hAnsi="宋体" w:cs="宋体"/>
                <w:color w:val="000000"/>
                <w:sz w:val="22"/>
                <w:szCs w:val="22"/>
              </w:rPr>
            </w:pPr>
          </w:p>
        </w:tc>
      </w:tr>
      <w:tr w14:paraId="6BD00A8F">
        <w:tblPrEx>
          <w:tblCellMar>
            <w:top w:w="0" w:type="dxa"/>
            <w:left w:w="0" w:type="dxa"/>
            <w:bottom w:w="0" w:type="dxa"/>
            <w:right w:w="0" w:type="dxa"/>
          </w:tblCellMar>
        </w:tblPrEx>
        <w:trPr>
          <w:trHeight w:val="915" w:hRule="atLeast"/>
        </w:trPr>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A24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单位已有的保障项目实施的制度措施</w:t>
            </w:r>
          </w:p>
        </w:tc>
        <w:tc>
          <w:tcPr>
            <w:tcW w:w="12713"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405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一是积极开展项目前期工作；                                                                   二是积极争取省、市资金扶持；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三是积极融资筹措部分资金。</w:t>
            </w:r>
          </w:p>
        </w:tc>
      </w:tr>
      <w:tr w14:paraId="506181B9">
        <w:tblPrEx>
          <w:tblCellMar>
            <w:top w:w="0" w:type="dxa"/>
            <w:left w:w="0" w:type="dxa"/>
            <w:bottom w:w="0" w:type="dxa"/>
            <w:right w:w="0" w:type="dxa"/>
          </w:tblCellMar>
        </w:tblPrEx>
        <w:trPr>
          <w:trHeight w:val="600" w:hRule="atLeast"/>
        </w:trPr>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8CF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预算绩效说明</w:t>
            </w:r>
          </w:p>
        </w:tc>
        <w:tc>
          <w:tcPr>
            <w:tcW w:w="12713"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6239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项目施工款</w:t>
            </w:r>
          </w:p>
        </w:tc>
      </w:tr>
      <w:tr w14:paraId="6A96BBDA">
        <w:tblPrEx>
          <w:tblCellMar>
            <w:top w:w="0" w:type="dxa"/>
            <w:left w:w="0" w:type="dxa"/>
            <w:bottom w:w="0" w:type="dxa"/>
            <w:right w:w="0" w:type="dxa"/>
          </w:tblCellMar>
        </w:tblPrEx>
        <w:trPr>
          <w:trHeight w:val="270" w:hRule="atLeast"/>
        </w:trPr>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D881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单位负责人：</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4AC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徐贵明</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80ED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填报人：</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2C8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史东霞</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477F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填报日期：</w:t>
            </w:r>
          </w:p>
        </w:tc>
        <w:tc>
          <w:tcPr>
            <w:tcW w:w="21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A74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2020-6-12</w:t>
            </w:r>
          </w:p>
        </w:tc>
      </w:tr>
    </w:tbl>
    <w:p w14:paraId="47C52BE6">
      <w:pPr>
        <w:widowControl/>
        <w:jc w:val="left"/>
        <w:rPr>
          <w:rFonts w:ascii="黑体" w:hAnsi="黑体" w:eastAsia="黑体" w:cs="黑体"/>
          <w:kern w:val="0"/>
          <w:sz w:val="30"/>
          <w:szCs w:val="30"/>
        </w:rPr>
      </w:pPr>
      <w:r>
        <w:rPr>
          <w:rFonts w:ascii="黑体" w:hAnsi="黑体" w:eastAsia="黑体" w:cs="黑体"/>
          <w:kern w:val="0"/>
          <w:sz w:val="30"/>
          <w:szCs w:val="30"/>
        </w:rPr>
        <w:t xml:space="preserve">      </w:t>
      </w:r>
      <w:r>
        <w:rPr>
          <w:rFonts w:hint="eastAsia" w:ascii="黑体" w:hAnsi="黑体" w:eastAsia="黑体" w:cs="黑体"/>
          <w:kern w:val="0"/>
          <w:sz w:val="30"/>
          <w:szCs w:val="30"/>
        </w:rPr>
        <w:t xml:space="preserve"> </w:t>
      </w:r>
    </w:p>
    <w:sectPr>
      <w:pgSz w:w="16838" w:h="11906" w:orient="landscape"/>
      <w:pgMar w:top="1797" w:right="1247" w:bottom="179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120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1D8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500FA"/>
    <w:multiLevelType w:val="singleLevel"/>
    <w:tmpl w:val="A54500FA"/>
    <w:lvl w:ilvl="0" w:tentative="0">
      <w:start w:val="6"/>
      <w:numFmt w:val="chineseCounting"/>
      <w:suff w:val="nothing"/>
      <w:lvlText w:val="%1、"/>
      <w:lvlJc w:val="left"/>
      <w:rPr>
        <w:rFonts w:hint="eastAsia"/>
      </w:rPr>
    </w:lvl>
  </w:abstractNum>
  <w:abstractNum w:abstractNumId="1">
    <w:nsid w:val="F23BCBC5"/>
    <w:multiLevelType w:val="singleLevel"/>
    <w:tmpl w:val="F23BCBC5"/>
    <w:lvl w:ilvl="0" w:tentative="0">
      <w:start w:val="9"/>
      <w:numFmt w:val="chineseCounting"/>
      <w:suff w:val="nothing"/>
      <w:lvlText w:val="%1、"/>
      <w:lvlJc w:val="left"/>
      <w:rPr>
        <w:rFonts w:hint="eastAsia"/>
      </w:rPr>
    </w:lvl>
  </w:abstractNum>
  <w:abstractNum w:abstractNumId="2">
    <w:nsid w:val="650CB686"/>
    <w:multiLevelType w:val="singleLevel"/>
    <w:tmpl w:val="650CB68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1AB3"/>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081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E5B73"/>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2409"/>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3DBC"/>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7932F5"/>
    <w:rsid w:val="03F0214E"/>
    <w:rsid w:val="04314F30"/>
    <w:rsid w:val="04341FD4"/>
    <w:rsid w:val="046F214C"/>
    <w:rsid w:val="053053ED"/>
    <w:rsid w:val="05842621"/>
    <w:rsid w:val="06325B44"/>
    <w:rsid w:val="09B72847"/>
    <w:rsid w:val="0A5A5DC4"/>
    <w:rsid w:val="0AB77A2F"/>
    <w:rsid w:val="0BFD28E4"/>
    <w:rsid w:val="0D0E0F2A"/>
    <w:rsid w:val="0D290D0B"/>
    <w:rsid w:val="0EC61038"/>
    <w:rsid w:val="0F635DF8"/>
    <w:rsid w:val="10881DF6"/>
    <w:rsid w:val="111D3473"/>
    <w:rsid w:val="13B61995"/>
    <w:rsid w:val="141E7899"/>
    <w:rsid w:val="153C0007"/>
    <w:rsid w:val="16120B81"/>
    <w:rsid w:val="165D6CAE"/>
    <w:rsid w:val="17E531F7"/>
    <w:rsid w:val="19F55BCD"/>
    <w:rsid w:val="1A0B3DDD"/>
    <w:rsid w:val="1A1B6230"/>
    <w:rsid w:val="1A751B4A"/>
    <w:rsid w:val="1B7457C9"/>
    <w:rsid w:val="1BD73E6F"/>
    <w:rsid w:val="1BE84FA8"/>
    <w:rsid w:val="1F8F6F61"/>
    <w:rsid w:val="203F2354"/>
    <w:rsid w:val="217C52A6"/>
    <w:rsid w:val="22EA3EDF"/>
    <w:rsid w:val="24192B24"/>
    <w:rsid w:val="249262B8"/>
    <w:rsid w:val="27C44B4F"/>
    <w:rsid w:val="29684A53"/>
    <w:rsid w:val="2A144E1E"/>
    <w:rsid w:val="2A2D00A9"/>
    <w:rsid w:val="2CFB241B"/>
    <w:rsid w:val="2D7258C6"/>
    <w:rsid w:val="2E343CBB"/>
    <w:rsid w:val="2E574E83"/>
    <w:rsid w:val="2E7A1926"/>
    <w:rsid w:val="2EA54668"/>
    <w:rsid w:val="304176DE"/>
    <w:rsid w:val="30837B23"/>
    <w:rsid w:val="316007AF"/>
    <w:rsid w:val="3227360A"/>
    <w:rsid w:val="33121B91"/>
    <w:rsid w:val="33B819CF"/>
    <w:rsid w:val="35397BA8"/>
    <w:rsid w:val="355E4D8E"/>
    <w:rsid w:val="357910E0"/>
    <w:rsid w:val="35D608D8"/>
    <w:rsid w:val="35E61D65"/>
    <w:rsid w:val="378770EA"/>
    <w:rsid w:val="38226957"/>
    <w:rsid w:val="38B43991"/>
    <w:rsid w:val="38B94E67"/>
    <w:rsid w:val="39466C4F"/>
    <w:rsid w:val="3957564F"/>
    <w:rsid w:val="396A13EA"/>
    <w:rsid w:val="39DD2E67"/>
    <w:rsid w:val="3A8A588E"/>
    <w:rsid w:val="3ACC2BC8"/>
    <w:rsid w:val="3B026B0F"/>
    <w:rsid w:val="3C1464F1"/>
    <w:rsid w:val="3C636D8C"/>
    <w:rsid w:val="3C8F2EF5"/>
    <w:rsid w:val="3DCC2998"/>
    <w:rsid w:val="3F5538EE"/>
    <w:rsid w:val="41134E62"/>
    <w:rsid w:val="45F568DE"/>
    <w:rsid w:val="46484338"/>
    <w:rsid w:val="488A54A4"/>
    <w:rsid w:val="4A8A424F"/>
    <w:rsid w:val="4AEC14AD"/>
    <w:rsid w:val="4C2A5753"/>
    <w:rsid w:val="504F13FE"/>
    <w:rsid w:val="508B3BDB"/>
    <w:rsid w:val="509025F8"/>
    <w:rsid w:val="51486F2A"/>
    <w:rsid w:val="51AD79F2"/>
    <w:rsid w:val="52F4603B"/>
    <w:rsid w:val="56EB22FB"/>
    <w:rsid w:val="56F77E4E"/>
    <w:rsid w:val="573E55E8"/>
    <w:rsid w:val="583D01F0"/>
    <w:rsid w:val="5A5F2402"/>
    <w:rsid w:val="5B6F544B"/>
    <w:rsid w:val="5C042792"/>
    <w:rsid w:val="5E8D610B"/>
    <w:rsid w:val="5F905CB6"/>
    <w:rsid w:val="606B6134"/>
    <w:rsid w:val="611236F1"/>
    <w:rsid w:val="61165BF2"/>
    <w:rsid w:val="646605FE"/>
    <w:rsid w:val="67137888"/>
    <w:rsid w:val="67247703"/>
    <w:rsid w:val="676E094C"/>
    <w:rsid w:val="67A644C4"/>
    <w:rsid w:val="69614B69"/>
    <w:rsid w:val="69B304BD"/>
    <w:rsid w:val="6A070C95"/>
    <w:rsid w:val="6A1F55B3"/>
    <w:rsid w:val="6A725C76"/>
    <w:rsid w:val="6CE00556"/>
    <w:rsid w:val="6CE34371"/>
    <w:rsid w:val="6CE4228C"/>
    <w:rsid w:val="6CF72CC7"/>
    <w:rsid w:val="6D6B720E"/>
    <w:rsid w:val="6D824E57"/>
    <w:rsid w:val="7005690A"/>
    <w:rsid w:val="706044C2"/>
    <w:rsid w:val="707217B7"/>
    <w:rsid w:val="70F826C0"/>
    <w:rsid w:val="72063E6D"/>
    <w:rsid w:val="72293730"/>
    <w:rsid w:val="724A4A01"/>
    <w:rsid w:val="73116912"/>
    <w:rsid w:val="73954482"/>
    <w:rsid w:val="75C07757"/>
    <w:rsid w:val="77DB1D54"/>
    <w:rsid w:val="785B03CB"/>
    <w:rsid w:val="7B5F42AD"/>
    <w:rsid w:val="7C1717A4"/>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2">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E8DAD0-3BB8-40A6-A90E-F55FC72A26C0}">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2387</Words>
  <Characters>2739</Characters>
  <Lines>23</Lines>
  <Paragraphs>6</Paragraphs>
  <TotalTime>13</TotalTime>
  <ScaleCrop>false</ScaleCrop>
  <LinksUpToDate>false</LinksUpToDate>
  <CharactersWithSpaces>3033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丹青</cp:lastModifiedBy>
  <cp:lastPrinted>2020-02-03T08:13:00Z</cp:lastPrinted>
  <dcterms:modified xsi:type="dcterms:W3CDTF">2026-06-12T02:52:26Z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2AA646BA7859459881258A8FFDCB2CC7_13</vt:lpwstr>
  </property>
  <property fmtid="{D5CDD505-2E9C-101B-9397-08002B2CF9AE}" pid="4" name="KSOTemplateDocerSaveRecord">
    <vt:lpwstr>eyJoZGlkIjoiZjcxOGM0OGE5Njc1MTgxMjlkY2VmYTY3M2NmYjUxYzkiLCJ1c2VySWQiOiIzMzQ0NDMyMjkifQ==</vt:lpwstr>
  </property>
</Properties>
</file>