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3E081">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昆明市网格化综合监督指挥中心呈贡分中心</w:t>
      </w:r>
    </w:p>
    <w:p w14:paraId="5D24F414">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华文中宋" w:eastAsia="方正小标宋简体"/>
          <w:spacing w:val="14"/>
          <w:sz w:val="44"/>
          <w:szCs w:val="44"/>
        </w:rPr>
      </w:pPr>
      <w:r>
        <w:rPr>
          <w:rFonts w:hint="eastAsia" w:ascii="方正小标宋简体" w:eastAsia="方正小标宋简体"/>
          <w:sz w:val="44"/>
          <w:szCs w:val="44"/>
          <w:lang w:eastAsia="zh-CN"/>
        </w:rPr>
        <w:t>城市网格化管理信息采集</w:t>
      </w:r>
      <w:r>
        <w:rPr>
          <w:rFonts w:hint="eastAsia" w:ascii="方正小标宋简体" w:hAnsi="华文中宋" w:eastAsia="方正小标宋简体"/>
          <w:spacing w:val="14"/>
          <w:sz w:val="44"/>
          <w:szCs w:val="44"/>
        </w:rPr>
        <w:t>项目</w:t>
      </w:r>
    </w:p>
    <w:p w14:paraId="69D1EFAF">
      <w:pPr>
        <w:keepNext w:val="0"/>
        <w:keepLines w:val="0"/>
        <w:pageBreakBefore w:val="0"/>
        <w:kinsoku/>
        <w:wordWrap/>
        <w:overflowPunct/>
        <w:topLinePunct w:val="0"/>
        <w:autoSpaceDE/>
        <w:autoSpaceDN/>
        <w:bidi w:val="0"/>
        <w:adjustRightInd w:val="0"/>
        <w:snapToGrid w:val="0"/>
        <w:spacing w:line="560" w:lineRule="exact"/>
        <w:ind w:firstLine="936" w:firstLineChars="200"/>
        <w:jc w:val="center"/>
        <w:textAlignment w:val="auto"/>
        <w:rPr>
          <w:rFonts w:hint="eastAsia" w:ascii="方正小标宋简体" w:hAnsi="华文中宋" w:eastAsia="方正小标宋简体"/>
          <w:spacing w:val="14"/>
          <w:sz w:val="44"/>
          <w:szCs w:val="44"/>
        </w:rPr>
      </w:pPr>
    </w:p>
    <w:p w14:paraId="168D6970">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项目名称</w:t>
      </w:r>
    </w:p>
    <w:p w14:paraId="156C85B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eastAsia="仿宋_GB2312"/>
          <w:kern w:val="0"/>
          <w:sz w:val="32"/>
          <w:szCs w:val="32"/>
        </w:rPr>
      </w:pPr>
      <w:r>
        <w:rPr>
          <w:rFonts w:hint="eastAsia" w:eastAsia="仿宋_GB2312"/>
          <w:kern w:val="0"/>
          <w:sz w:val="32"/>
          <w:szCs w:val="32"/>
          <w:lang w:eastAsia="zh-CN"/>
        </w:rPr>
        <w:t>城市网格化管理信息采集经费（延续性项目）</w:t>
      </w:r>
    </w:p>
    <w:p w14:paraId="7886E432">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立项依据</w:t>
      </w:r>
    </w:p>
    <w:p w14:paraId="23DEB6D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default" w:ascii="仿宋_GB2312" w:hAnsi="仿宋_GB2312" w:eastAsia="仿宋_GB2312" w:cs="仿宋_GB2312"/>
          <w:kern w:val="0"/>
          <w:sz w:val="32"/>
          <w:szCs w:val="32"/>
          <w:lang w:val="en-US" w:eastAsia="zh-CN"/>
        </w:rPr>
        <w:t>《昆明市人民政府办公厅关于印发昆明市智慧化城市管理综合运行工作模式实施方案的通知》</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昆</w:t>
      </w:r>
      <w:r>
        <w:rPr>
          <w:rFonts w:hint="eastAsia" w:ascii="仿宋_GB2312" w:hAnsi="仿宋_GB2312" w:eastAsia="仿宋_GB2312" w:cs="仿宋_GB2312"/>
          <w:kern w:val="0"/>
          <w:sz w:val="32"/>
          <w:szCs w:val="32"/>
          <w:lang w:val="en-US" w:eastAsia="zh-CN"/>
        </w:rPr>
        <w:t>政办</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2016</w:t>
      </w:r>
      <w:r>
        <w:rPr>
          <w:rFonts w:hint="default"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val="en-US" w:eastAsia="zh-CN"/>
        </w:rPr>
        <w:t>5</w:t>
      </w:r>
      <w:r>
        <w:rPr>
          <w:rFonts w:hint="default" w:ascii="仿宋_GB2312" w:hAnsi="仿宋_GB2312" w:eastAsia="仿宋_GB2312" w:cs="仿宋_GB2312"/>
          <w:kern w:val="0"/>
          <w:sz w:val="32"/>
          <w:szCs w:val="32"/>
          <w:lang w:val="en-US" w:eastAsia="zh-CN"/>
        </w:rPr>
        <w:t>号</w:t>
      </w:r>
      <w:r>
        <w:rPr>
          <w:rFonts w:hint="eastAsia" w:ascii="仿宋_GB2312" w:hAnsi="仿宋_GB2312" w:eastAsia="仿宋_GB2312" w:cs="仿宋_GB2312"/>
          <w:kern w:val="0"/>
          <w:sz w:val="32"/>
          <w:szCs w:val="32"/>
          <w:lang w:val="en-US" w:eastAsia="zh-CN"/>
        </w:rPr>
        <w:t>）</w:t>
      </w:r>
    </w:p>
    <w:p w14:paraId="09C3AC6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w:t>
      </w:r>
      <w:r>
        <w:rPr>
          <w:rFonts w:hint="default" w:ascii="仿宋_GB2312" w:hAnsi="仿宋_GB2312" w:eastAsia="仿宋_GB2312" w:cs="仿宋_GB2312"/>
          <w:kern w:val="0"/>
          <w:sz w:val="32"/>
          <w:szCs w:val="32"/>
          <w:lang w:val="en-US" w:eastAsia="zh-CN"/>
        </w:rPr>
        <w:t>中共昆明市呈贡区委办公室、昆明市呈贡区人民政府办公室印发《关于完善提升全区城乡网格化服务管理工作的实施方案的通知》（呈办发〔</w:t>
      </w:r>
      <w:r>
        <w:rPr>
          <w:rFonts w:hint="eastAsia" w:ascii="仿宋_GB2312" w:hAnsi="仿宋_GB2312" w:eastAsia="仿宋_GB2312" w:cs="仿宋_GB2312"/>
          <w:kern w:val="0"/>
          <w:sz w:val="32"/>
          <w:szCs w:val="32"/>
          <w:lang w:val="en-US" w:eastAsia="zh-CN"/>
        </w:rPr>
        <w:t>2024</w:t>
      </w:r>
      <w:r>
        <w:rPr>
          <w:rFonts w:hint="default" w:ascii="仿宋_GB2312" w:hAnsi="仿宋_GB2312" w:eastAsia="仿宋_GB2312" w:cs="仿宋_GB2312"/>
          <w:kern w:val="0"/>
          <w:sz w:val="32"/>
          <w:szCs w:val="32"/>
          <w:lang w:val="en-US" w:eastAsia="zh-CN"/>
        </w:rPr>
        <w:t>〕1号）</w:t>
      </w:r>
    </w:p>
    <w:p w14:paraId="02CA4788">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项目实施单位</w:t>
      </w:r>
    </w:p>
    <w:p w14:paraId="60E3D17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单位名称：昆明市网格化综合监督指挥中心呈贡分中心</w:t>
      </w:r>
    </w:p>
    <w:p w14:paraId="7D341D3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组织机构代码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12530121MB01852289</w:t>
      </w:r>
    </w:p>
    <w:p w14:paraId="6299BF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地址：云南省昆明市呈贡区惠景园</w:t>
      </w:r>
      <w:r>
        <w:rPr>
          <w:rFonts w:hint="eastAsia" w:ascii="仿宋_GB2312" w:hAnsi="仿宋_GB2312" w:eastAsia="仿宋_GB2312" w:cs="仿宋_GB2312"/>
          <w:kern w:val="0"/>
          <w:sz w:val="32"/>
          <w:szCs w:val="32"/>
          <w:lang w:val="en-US" w:eastAsia="zh-CN"/>
        </w:rPr>
        <w:t>D7栋裙楼</w:t>
      </w: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val="en-US" w:eastAsia="zh-CN"/>
        </w:rPr>
        <w:t>楼</w:t>
      </w:r>
    </w:p>
    <w:p w14:paraId="27D25D4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lang w:val="en-US" w:eastAsia="zh-CN"/>
        </w:rPr>
        <w:t>0871-65955633</w:t>
      </w:r>
    </w:p>
    <w:p w14:paraId="7D844F4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lang w:eastAsia="zh-CN"/>
        </w:rPr>
        <w:t>杨翰挺</w:t>
      </w:r>
    </w:p>
    <w:p w14:paraId="38AE6F5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经费来源：区级财政预算</w:t>
      </w:r>
    </w:p>
    <w:p w14:paraId="748C468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概况：</w:t>
      </w:r>
      <w:r>
        <w:rPr>
          <w:rFonts w:hint="eastAsia" w:ascii="仿宋_GB2312" w:hAnsi="仿宋_GB2312" w:eastAsia="仿宋_GB2312" w:cs="仿宋_GB2312"/>
          <w:color w:val="auto"/>
          <w:sz w:val="32"/>
          <w:szCs w:val="32"/>
          <w:lang w:eastAsia="zh-CN"/>
        </w:rPr>
        <w:t>昆明市网格化综合监督指挥中心呈贡分中心为正科级公益一类事业单位，内设机构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个，包括：办公室、智慧科、监督指挥科。</w:t>
      </w:r>
    </w:p>
    <w:p w14:paraId="02B7488F">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项目基本概况</w:t>
      </w:r>
    </w:p>
    <w:p w14:paraId="14EF9DE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项目以公开招投标方式</w:t>
      </w:r>
      <w:r>
        <w:rPr>
          <w:rFonts w:hint="eastAsia" w:ascii="仿宋_GB2312" w:hAnsi="仿宋_GB2312" w:eastAsia="仿宋_GB2312" w:cs="仿宋_GB2312"/>
          <w:kern w:val="0"/>
          <w:sz w:val="32"/>
          <w:szCs w:val="32"/>
          <w:lang w:val="en-US" w:eastAsia="zh-CN"/>
        </w:rPr>
        <w:t>开展政府采购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在成本可控的基础上，充分发挥资金效益，保障财政资金使用真实规范。</w:t>
      </w:r>
      <w:r>
        <w:rPr>
          <w:rFonts w:hint="eastAsia" w:ascii="仿宋_GB2312" w:hAnsi="仿宋_GB2312" w:eastAsia="仿宋_GB2312" w:cs="仿宋_GB2312"/>
          <w:kern w:val="0"/>
          <w:sz w:val="32"/>
          <w:szCs w:val="32"/>
          <w:lang w:val="en-US" w:eastAsia="zh-CN"/>
        </w:rPr>
        <w:t>按照城市网格化管理事部（事）件采集上报标准</w:t>
      </w:r>
      <w:r>
        <w:rPr>
          <w:rFonts w:hint="eastAsia" w:ascii="仿宋_GB2312" w:hAnsi="仿宋_GB2312" w:eastAsia="仿宋_GB2312" w:cs="仿宋_GB2312"/>
          <w:kern w:val="0"/>
          <w:sz w:val="32"/>
          <w:szCs w:val="32"/>
          <w:lang w:eastAsia="zh-CN"/>
        </w:rPr>
        <w:t>开展网格巡查，</w:t>
      </w:r>
      <w:r>
        <w:rPr>
          <w:rFonts w:hint="eastAsia" w:ascii="仿宋_GB2312" w:hAnsi="仿宋_GB2312" w:eastAsia="仿宋_GB2312" w:cs="仿宋_GB2312"/>
          <w:kern w:val="0"/>
          <w:sz w:val="32"/>
          <w:szCs w:val="32"/>
          <w:lang w:val="en-US" w:eastAsia="zh-CN"/>
        </w:rPr>
        <w:t>客观准确反映网格内的城市管理问题，</w:t>
      </w:r>
      <w:r>
        <w:rPr>
          <w:rFonts w:hint="eastAsia" w:ascii="仿宋_GB2312" w:hAnsi="仿宋_GB2312" w:eastAsia="仿宋_GB2312" w:cs="仿宋_GB2312"/>
          <w:kern w:val="0"/>
          <w:sz w:val="32"/>
          <w:szCs w:val="32"/>
          <w:lang w:eastAsia="zh-CN"/>
        </w:rPr>
        <w:t>提升城市精细化管理水平。</w:t>
      </w:r>
    </w:p>
    <w:p w14:paraId="000228A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kern w:val="0"/>
          <w:sz w:val="32"/>
          <w:szCs w:val="32"/>
          <w:lang w:eastAsia="zh-CN"/>
        </w:rPr>
        <w:t>五、</w:t>
      </w:r>
      <w:r>
        <w:rPr>
          <w:rFonts w:hint="eastAsia" w:ascii="黑体" w:hAnsi="黑体" w:eastAsia="黑体"/>
          <w:kern w:val="0"/>
          <w:sz w:val="32"/>
          <w:szCs w:val="32"/>
        </w:rPr>
        <w:t>项目实施内容</w:t>
      </w:r>
    </w:p>
    <w:p w14:paraId="01BC978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按照《昆明市智慧化城市管理综合运行工作模式实施方案》（昆政办〔2016〕125号）等文件要求，</w:t>
      </w:r>
      <w:r>
        <w:rPr>
          <w:rFonts w:hint="eastAsia" w:ascii="仿宋_GB2312" w:hAnsi="仿宋_GB2312" w:eastAsia="仿宋_GB2312" w:cs="仿宋_GB2312"/>
          <w:kern w:val="0"/>
          <w:sz w:val="32"/>
          <w:szCs w:val="32"/>
          <w:lang w:val="en-US" w:eastAsia="zh-CN"/>
        </w:rPr>
        <w:t>严格遵循部（事）件信息采集标准</w:t>
      </w:r>
      <w:r>
        <w:rPr>
          <w:rFonts w:hint="eastAsia" w:ascii="仿宋_GB2312" w:hAnsi="仿宋_GB2312" w:eastAsia="仿宋_GB2312" w:cs="仿宋_GB2312"/>
          <w:color w:val="auto"/>
          <w:sz w:val="32"/>
          <w:szCs w:val="32"/>
          <w:lang w:val="en-US" w:eastAsia="zh-CN"/>
        </w:rPr>
        <w:t>，围绕区委、区政府相关重点工作，持续强化城市网格化管理监督体系建设，发挥好网格化管理作用，</w:t>
      </w:r>
      <w:r>
        <w:rPr>
          <w:rFonts w:hint="eastAsia" w:ascii="仿宋_GB2312" w:hAnsi="仿宋_GB2312" w:eastAsia="仿宋_GB2312" w:cs="仿宋_GB2312"/>
          <w:kern w:val="0"/>
          <w:sz w:val="32"/>
          <w:szCs w:val="32"/>
          <w:lang w:val="en-US" w:eastAsia="zh-CN"/>
        </w:rPr>
        <w:t>确保监督巡查覆盖到位，采集数据高效精准、现场核查真实有效。</w:t>
      </w:r>
    </w:p>
    <w:p w14:paraId="17A8A2A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eastAsia="zh-CN"/>
        </w:rPr>
        <w:t>六、</w:t>
      </w:r>
      <w:r>
        <w:rPr>
          <w:rFonts w:hint="eastAsia" w:ascii="黑体" w:hAnsi="黑体" w:eastAsia="黑体"/>
          <w:kern w:val="0"/>
          <w:sz w:val="32"/>
          <w:szCs w:val="32"/>
        </w:rPr>
        <w:t>资金安排情况</w:t>
      </w:r>
    </w:p>
    <w:p w14:paraId="4C85C9A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项目资金全部由区财政年初预算批复安排</w:t>
      </w:r>
      <w:r>
        <w:rPr>
          <w:rFonts w:hint="eastAsia" w:ascii="仿宋_GB2312" w:hAnsi="仿宋_GB2312" w:eastAsia="仿宋_GB2312" w:cs="仿宋_GB2312"/>
          <w:kern w:val="0"/>
          <w:sz w:val="32"/>
          <w:szCs w:val="32"/>
          <w:lang w:eastAsia="zh-CN"/>
        </w:rPr>
        <w:t>，总额为</w:t>
      </w:r>
      <w:r>
        <w:rPr>
          <w:rFonts w:hint="eastAsia" w:ascii="仿宋_GB2312" w:hAnsi="仿宋_GB2312" w:eastAsia="仿宋_GB2312" w:cs="仿宋_GB2312"/>
          <w:kern w:val="0"/>
          <w:sz w:val="32"/>
          <w:szCs w:val="32"/>
          <w:lang w:val="en-US" w:eastAsia="zh-CN"/>
        </w:rPr>
        <w:t>1242000元</w:t>
      </w:r>
      <w:r>
        <w:rPr>
          <w:rFonts w:hint="eastAsia" w:ascii="仿宋_GB2312" w:hAnsi="仿宋_GB2312" w:eastAsia="仿宋_GB2312" w:cs="仿宋_GB2312"/>
          <w:kern w:val="0"/>
          <w:sz w:val="32"/>
          <w:szCs w:val="32"/>
        </w:rPr>
        <w:t>。</w:t>
      </w:r>
    </w:p>
    <w:p w14:paraId="2E4F30E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eastAsia="zh-CN"/>
        </w:rPr>
        <w:t>七、</w:t>
      </w:r>
      <w:r>
        <w:rPr>
          <w:rFonts w:hint="eastAsia" w:ascii="黑体" w:hAnsi="黑体" w:eastAsia="黑体"/>
          <w:kern w:val="0"/>
          <w:sz w:val="32"/>
          <w:szCs w:val="32"/>
        </w:rPr>
        <w:t>项目实施计划</w:t>
      </w:r>
    </w:p>
    <w:p w14:paraId="4F4E30A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按照昆明市城市网格化统一管理标准开展业务培训，确保人员具备“精准采集、规范上报”能力。</w:t>
      </w:r>
      <w:r>
        <w:rPr>
          <w:rFonts w:hint="eastAsia" w:ascii="仿宋_GB2312" w:hAnsi="仿宋_GB2312" w:eastAsia="仿宋_GB2312" w:cs="仿宋_GB2312"/>
          <w:kern w:val="0"/>
          <w:sz w:val="32"/>
          <w:szCs w:val="32"/>
          <w:lang w:val="en-US" w:eastAsia="zh-CN"/>
        </w:rPr>
        <w:t>开展日常网格巡查，对城市管理基础设施进行普查，根据上级重点工作部署，</w:t>
      </w:r>
      <w:r>
        <w:rPr>
          <w:rFonts w:hint="eastAsia" w:ascii="仿宋_GB2312" w:hAnsi="仿宋_GB2312" w:eastAsia="仿宋_GB2312" w:cs="仿宋_GB2312"/>
          <w:color w:val="auto"/>
          <w:sz w:val="32"/>
          <w:szCs w:val="32"/>
          <w:lang w:val="en-US" w:eastAsia="zh-CN"/>
        </w:rPr>
        <w:t>及时调整巡查和信息采集工作重心，进一步提升城市网格化管理监督业务综合能力和水平。</w:t>
      </w:r>
    </w:p>
    <w:p w14:paraId="1146077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eastAsia="zh-CN"/>
        </w:rPr>
        <w:t>八、</w:t>
      </w:r>
      <w:r>
        <w:rPr>
          <w:rFonts w:hint="eastAsia" w:ascii="黑体" w:hAnsi="黑体" w:eastAsia="黑体"/>
          <w:kern w:val="0"/>
          <w:sz w:val="32"/>
          <w:szCs w:val="32"/>
        </w:rPr>
        <w:t>项目实施成效</w:t>
      </w:r>
    </w:p>
    <w:p w14:paraId="725D6E1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kern w:val="0"/>
          <w:sz w:val="32"/>
          <w:szCs w:val="32"/>
        </w:rPr>
        <w:sectPr>
          <w:headerReference r:id="rId3" w:type="default"/>
          <w:footerReference r:id="rId5" w:type="default"/>
          <w:headerReference r:id="rId4" w:type="even"/>
          <w:pgSz w:w="11906" w:h="16838"/>
          <w:pgMar w:top="2098" w:right="1474" w:bottom="1984" w:left="1587" w:header="851" w:footer="992" w:gutter="0"/>
          <w:pgNumType w:fmt="decimal"/>
          <w:cols w:space="720" w:num="1"/>
          <w:docGrid w:type="lines" w:linePitch="312" w:charSpace="0"/>
        </w:sectPr>
      </w:pPr>
      <w:r>
        <w:rPr>
          <w:rFonts w:hint="eastAsia" w:eastAsia="仿宋_GB2312"/>
          <w:color w:val="auto"/>
          <w:kern w:val="0"/>
          <w:sz w:val="32"/>
          <w:szCs w:val="32"/>
          <w:lang w:val="en-US" w:eastAsia="zh-CN"/>
        </w:rPr>
        <w:t>通过开展常态化网格监督巡查，客观</w:t>
      </w:r>
      <w:r>
        <w:rPr>
          <w:rFonts w:hint="eastAsia" w:eastAsia="仿宋_GB2312"/>
          <w:kern w:val="0"/>
          <w:sz w:val="32"/>
          <w:szCs w:val="32"/>
        </w:rPr>
        <w:t>、公正、及时采集城市管理信息，保障问题</w:t>
      </w:r>
      <w:r>
        <w:rPr>
          <w:rFonts w:hint="eastAsia" w:eastAsia="仿宋_GB2312"/>
          <w:kern w:val="0"/>
          <w:sz w:val="32"/>
          <w:szCs w:val="32"/>
          <w:lang w:eastAsia="zh-CN"/>
        </w:rPr>
        <w:t>从</w:t>
      </w:r>
      <w:r>
        <w:rPr>
          <w:rFonts w:hint="eastAsia" w:eastAsia="仿宋_GB2312"/>
          <w:kern w:val="0"/>
          <w:sz w:val="32"/>
          <w:szCs w:val="32"/>
        </w:rPr>
        <w:t>发现</w:t>
      </w:r>
      <w:r>
        <w:rPr>
          <w:rFonts w:hint="eastAsia" w:eastAsia="仿宋_GB2312"/>
          <w:kern w:val="0"/>
          <w:sz w:val="32"/>
          <w:szCs w:val="32"/>
          <w:lang w:eastAsia="zh-CN"/>
        </w:rPr>
        <w:t>到处置反馈</w:t>
      </w:r>
      <w:r>
        <w:rPr>
          <w:rFonts w:hint="eastAsia" w:eastAsia="仿宋_GB2312"/>
          <w:kern w:val="0"/>
          <w:sz w:val="32"/>
          <w:szCs w:val="32"/>
        </w:rPr>
        <w:t>闭环</w:t>
      </w:r>
      <w:r>
        <w:rPr>
          <w:rFonts w:hint="eastAsia" w:eastAsia="仿宋_GB2312"/>
          <w:kern w:val="0"/>
          <w:sz w:val="32"/>
          <w:szCs w:val="32"/>
          <w:lang w:eastAsia="zh-CN"/>
        </w:rPr>
        <w:t>且</w:t>
      </w:r>
      <w:r>
        <w:rPr>
          <w:rFonts w:hint="eastAsia" w:eastAsia="仿宋_GB2312"/>
          <w:kern w:val="0"/>
          <w:sz w:val="32"/>
          <w:szCs w:val="32"/>
        </w:rPr>
        <w:t>高效运转，提升城市管理精细化水平</w:t>
      </w:r>
      <w:r>
        <w:rPr>
          <w:rFonts w:hint="eastAsia" w:eastAsia="仿宋_GB2312"/>
          <w:kern w:val="0"/>
          <w:sz w:val="32"/>
          <w:szCs w:val="32"/>
          <w:lang w:eastAsia="zh-CN"/>
        </w:rPr>
        <w:t>，</w:t>
      </w:r>
      <w:r>
        <w:rPr>
          <w:rFonts w:hint="eastAsia" w:eastAsia="仿宋_GB2312"/>
          <w:kern w:val="0"/>
          <w:sz w:val="32"/>
          <w:szCs w:val="32"/>
        </w:rPr>
        <w:t>助力呈贡区</w:t>
      </w:r>
      <w:r>
        <w:rPr>
          <w:rFonts w:hint="eastAsia" w:eastAsia="仿宋_GB2312"/>
          <w:kern w:val="0"/>
          <w:sz w:val="32"/>
          <w:szCs w:val="32"/>
          <w:lang w:eastAsia="zh-CN"/>
        </w:rPr>
        <w:t>城市</w:t>
      </w:r>
      <w:r>
        <w:rPr>
          <w:rFonts w:hint="eastAsia" w:eastAsia="仿宋_GB2312"/>
          <w:kern w:val="0"/>
          <w:sz w:val="32"/>
          <w:szCs w:val="32"/>
        </w:rPr>
        <w:t>网格化服务管理工作规范化、常态化、智能化发展</w:t>
      </w:r>
      <w:r>
        <w:rPr>
          <w:rFonts w:hint="eastAsia" w:eastAsia="仿宋_GB2312"/>
          <w:kern w:val="0"/>
          <w:sz w:val="32"/>
          <w:szCs w:val="32"/>
          <w:lang w:eastAsia="zh-CN"/>
        </w:rPr>
        <w:t>，</w:t>
      </w:r>
      <w:r>
        <w:rPr>
          <w:rFonts w:hint="eastAsia" w:eastAsia="仿宋_GB2312"/>
          <w:kern w:val="0"/>
          <w:sz w:val="32"/>
          <w:szCs w:val="32"/>
        </w:rPr>
        <w:t>动态更新城市管理基础数据，为</w:t>
      </w:r>
      <w:r>
        <w:rPr>
          <w:rFonts w:hint="eastAsia" w:eastAsia="仿宋_GB2312"/>
          <w:kern w:val="0"/>
          <w:sz w:val="32"/>
          <w:szCs w:val="32"/>
          <w:lang w:eastAsia="zh-CN"/>
        </w:rPr>
        <w:t>呈贡区</w:t>
      </w:r>
      <w:r>
        <w:rPr>
          <w:rFonts w:hint="eastAsia" w:eastAsia="仿宋_GB2312"/>
          <w:kern w:val="0"/>
          <w:sz w:val="32"/>
          <w:szCs w:val="32"/>
        </w:rPr>
        <w:t>决策提供可靠依据。</w:t>
      </w:r>
    </w:p>
    <w:tbl>
      <w:tblPr>
        <w:tblStyle w:val="8"/>
        <w:tblW w:w="15000" w:type="dxa"/>
        <w:tblInd w:w="0" w:type="dxa"/>
        <w:tblLayout w:type="fixed"/>
        <w:tblCellMar>
          <w:top w:w="0" w:type="dxa"/>
          <w:left w:w="0" w:type="dxa"/>
          <w:bottom w:w="0" w:type="dxa"/>
          <w:right w:w="0" w:type="dxa"/>
        </w:tblCellMar>
      </w:tblPr>
      <w:tblGrid>
        <w:gridCol w:w="2025"/>
        <w:gridCol w:w="1080"/>
        <w:gridCol w:w="1590"/>
        <w:gridCol w:w="2595"/>
        <w:gridCol w:w="1260"/>
        <w:gridCol w:w="1590"/>
        <w:gridCol w:w="1335"/>
        <w:gridCol w:w="2100"/>
        <w:gridCol w:w="1425"/>
      </w:tblGrid>
      <w:tr w14:paraId="07DAC263">
        <w:tblPrEx>
          <w:tblCellMar>
            <w:top w:w="0" w:type="dxa"/>
            <w:left w:w="0" w:type="dxa"/>
            <w:bottom w:w="0" w:type="dxa"/>
            <w:right w:w="0" w:type="dxa"/>
          </w:tblCellMar>
        </w:tblPrEx>
        <w:trPr>
          <w:trHeight w:val="540" w:hRule="atLeast"/>
        </w:trPr>
        <w:tc>
          <w:tcPr>
            <w:tcW w:w="15000" w:type="dxa"/>
            <w:gridSpan w:val="9"/>
            <w:tcBorders>
              <w:top w:val="nil"/>
              <w:left w:val="nil"/>
              <w:bottom w:val="nil"/>
              <w:right w:val="nil"/>
            </w:tcBorders>
            <w:noWrap w:val="0"/>
            <w:tcMar>
              <w:top w:w="15" w:type="dxa"/>
              <w:left w:w="15" w:type="dxa"/>
              <w:right w:w="15" w:type="dxa"/>
            </w:tcMar>
            <w:vAlign w:val="center"/>
          </w:tcPr>
          <w:p w14:paraId="27963167">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0"/>
                <w:szCs w:val="4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11.昆明市网格化监督指挥中心呈贡分中心</w:t>
            </w:r>
          </w:p>
        </w:tc>
      </w:tr>
      <w:tr w14:paraId="4179C919">
        <w:tblPrEx>
          <w:tblCellMar>
            <w:top w:w="0" w:type="dxa"/>
            <w:left w:w="0" w:type="dxa"/>
            <w:bottom w:w="0" w:type="dxa"/>
            <w:right w:w="0" w:type="dxa"/>
          </w:tblCellMar>
        </w:tblPrEx>
        <w:trPr>
          <w:trHeight w:val="540" w:hRule="atLeast"/>
        </w:trPr>
        <w:tc>
          <w:tcPr>
            <w:tcW w:w="15000" w:type="dxa"/>
            <w:gridSpan w:val="9"/>
            <w:tcBorders>
              <w:top w:val="nil"/>
              <w:left w:val="nil"/>
              <w:bottom w:val="nil"/>
              <w:right w:val="nil"/>
            </w:tcBorders>
            <w:noWrap w:val="0"/>
            <w:tcMar>
              <w:top w:w="15" w:type="dxa"/>
              <w:left w:w="15" w:type="dxa"/>
              <w:right w:w="15" w:type="dxa"/>
            </w:tcMar>
            <w:vAlign w:val="center"/>
          </w:tcPr>
          <w:p w14:paraId="76B30E27">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sz w:val="40"/>
                <w:szCs w:val="4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项目支出绩效目标申报表</w:t>
            </w:r>
          </w:p>
        </w:tc>
      </w:tr>
      <w:tr w14:paraId="5250D2DE">
        <w:tblPrEx>
          <w:tblCellMar>
            <w:top w:w="0" w:type="dxa"/>
            <w:left w:w="0" w:type="dxa"/>
            <w:bottom w:w="0" w:type="dxa"/>
            <w:right w:w="0" w:type="dxa"/>
          </w:tblCellMar>
        </w:tblPrEx>
        <w:trPr>
          <w:trHeight w:val="520" w:hRule="atLeast"/>
        </w:trPr>
        <w:tc>
          <w:tcPr>
            <w:tcW w:w="1500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57E9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r>
              <w:rPr>
                <w:rFonts w:hint="eastAsia" w:ascii="宋体" w:hAnsi="宋体" w:cs="宋体"/>
                <w:i w:val="0"/>
                <w:color w:val="auto"/>
                <w:kern w:val="0"/>
                <w:sz w:val="22"/>
                <w:szCs w:val="22"/>
                <w:u w:val="none"/>
                <w:lang w:val="en-US" w:eastAsia="zh-CN" w:bidi="ar"/>
              </w:rPr>
              <w:t>2026年</w:t>
            </w:r>
            <w:r>
              <w:rPr>
                <w:rFonts w:hint="eastAsia" w:ascii="宋体" w:hAnsi="宋体" w:eastAsia="宋体" w:cs="宋体"/>
                <w:i w:val="0"/>
                <w:color w:val="auto"/>
                <w:kern w:val="0"/>
                <w:sz w:val="22"/>
                <w:szCs w:val="22"/>
                <w:u w:val="none"/>
                <w:lang w:val="en-US" w:eastAsia="zh-CN" w:bidi="ar"/>
              </w:rPr>
              <w:t>度）</w:t>
            </w:r>
          </w:p>
        </w:tc>
      </w:tr>
      <w:tr w14:paraId="35F2277B">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A65B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项目名称</w:t>
            </w:r>
          </w:p>
        </w:tc>
        <w:tc>
          <w:tcPr>
            <w:tcW w:w="1030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4B42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kern w:val="0"/>
                <w:sz w:val="22"/>
                <w:szCs w:val="22"/>
                <w:lang w:eastAsia="zh-CN"/>
              </w:rPr>
              <w:t>城市网格化管理信息采集经费</w:t>
            </w:r>
          </w:p>
        </w:tc>
      </w:tr>
      <w:tr w14:paraId="73E5CA31">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898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主管部门及代码</w:t>
            </w:r>
          </w:p>
        </w:tc>
        <w:tc>
          <w:tcPr>
            <w:tcW w:w="38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C4EB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昆明市网格化综合监督指挥中心呈贡分中心</w:t>
            </w:r>
          </w:p>
        </w:tc>
        <w:tc>
          <w:tcPr>
            <w:tcW w:w="29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677D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实施单位</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2476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昆明市网格化综合监督指挥中心呈贡分中心</w:t>
            </w:r>
          </w:p>
        </w:tc>
      </w:tr>
      <w:tr w14:paraId="4E61C307">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30E4A">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项目属性</w:t>
            </w:r>
          </w:p>
        </w:tc>
        <w:tc>
          <w:tcPr>
            <w:tcW w:w="3855" w:type="dxa"/>
            <w:gridSpan w:val="2"/>
            <w:tcBorders>
              <w:top w:val="nil"/>
              <w:left w:val="nil"/>
              <w:bottom w:val="single" w:color="000000" w:sz="4" w:space="0"/>
              <w:right w:val="single" w:color="000000" w:sz="4" w:space="0"/>
            </w:tcBorders>
            <w:noWrap w:val="0"/>
            <w:tcMar>
              <w:top w:w="15" w:type="dxa"/>
              <w:left w:w="15" w:type="dxa"/>
              <w:right w:w="15" w:type="dxa"/>
            </w:tcMar>
            <w:vAlign w:val="bottom"/>
          </w:tcPr>
          <w:p w14:paraId="7C158DE1">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002 延续性项目</w:t>
            </w:r>
          </w:p>
        </w:tc>
        <w:tc>
          <w:tcPr>
            <w:tcW w:w="29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2CFE9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项目期</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DA267">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经常性项目</w:t>
            </w:r>
          </w:p>
        </w:tc>
      </w:tr>
      <w:tr w14:paraId="77C535D8">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44D7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项目负责人</w:t>
            </w:r>
          </w:p>
        </w:tc>
        <w:tc>
          <w:tcPr>
            <w:tcW w:w="38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CB4DC">
            <w:pPr>
              <w:keepNext w:val="0"/>
              <w:keepLines w:val="0"/>
              <w:widowControl/>
              <w:suppressLineNumbers w:val="0"/>
              <w:jc w:val="left"/>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赵伟鸿</w:t>
            </w:r>
          </w:p>
        </w:tc>
        <w:tc>
          <w:tcPr>
            <w:tcW w:w="29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E6272">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w:t>
            </w:r>
          </w:p>
        </w:tc>
        <w:tc>
          <w:tcPr>
            <w:tcW w:w="35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6EAC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0871-65955633</w:t>
            </w:r>
          </w:p>
        </w:tc>
      </w:tr>
      <w:tr w14:paraId="554D5AC1">
        <w:trPr>
          <w:trHeight w:val="134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E52BC">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项目概况</w:t>
            </w:r>
          </w:p>
        </w:tc>
        <w:tc>
          <w:tcPr>
            <w:tcW w:w="1030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1D35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根据城市网格化管理要求，需365天对呈贡区范围内管理网格进行部</w:t>
            </w:r>
            <w:r>
              <w:rPr>
                <w:rFonts w:hint="eastAsia" w:ascii="宋体" w:hAnsi="宋体" w:cs="宋体"/>
                <w:i w:val="0"/>
                <w:color w:val="auto"/>
                <w:kern w:val="0"/>
                <w:sz w:val="22"/>
                <w:szCs w:val="22"/>
                <w:u w:val="none"/>
                <w:lang w:val="en-US" w:eastAsia="zh-CN" w:bidi="ar"/>
              </w:rPr>
              <w:t>（事）</w:t>
            </w:r>
            <w:r>
              <w:rPr>
                <w:rFonts w:hint="eastAsia" w:ascii="宋体" w:hAnsi="宋体" w:eastAsia="宋体" w:cs="宋体"/>
                <w:i w:val="0"/>
                <w:color w:val="auto"/>
                <w:kern w:val="0"/>
                <w:sz w:val="22"/>
                <w:szCs w:val="22"/>
                <w:u w:val="none"/>
                <w:lang w:val="en-US" w:eastAsia="zh-CN" w:bidi="ar"/>
              </w:rPr>
              <w:t>件信息采集，</w:t>
            </w:r>
            <w:r>
              <w:rPr>
                <w:rFonts w:hint="eastAsia" w:ascii="宋体" w:hAnsi="宋体" w:cs="宋体"/>
                <w:i w:val="0"/>
                <w:color w:val="auto"/>
                <w:kern w:val="0"/>
                <w:sz w:val="22"/>
                <w:szCs w:val="22"/>
                <w:u w:val="none"/>
                <w:lang w:val="en-US" w:eastAsia="zh-CN" w:bidi="ar"/>
              </w:rPr>
              <w:t>2026年30</w:t>
            </w:r>
            <w:r>
              <w:rPr>
                <w:rFonts w:hint="eastAsia" w:ascii="宋体" w:hAnsi="宋体" w:eastAsia="宋体" w:cs="宋体"/>
                <w:i w:val="0"/>
                <w:color w:val="auto"/>
                <w:kern w:val="0"/>
                <w:sz w:val="22"/>
                <w:szCs w:val="22"/>
                <w:u w:val="none"/>
                <w:lang w:val="en-US" w:eastAsia="zh-CN" w:bidi="ar"/>
              </w:rPr>
              <w:t>名监督员进行网格巡查，发现问题，及时上报立案。</w:t>
            </w:r>
          </w:p>
        </w:tc>
      </w:tr>
      <w:tr w14:paraId="2985A235">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5B8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项目立项依据</w:t>
            </w:r>
          </w:p>
        </w:tc>
        <w:tc>
          <w:tcPr>
            <w:tcW w:w="1030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1CACE">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其他证明文件</w:t>
            </w:r>
          </w:p>
        </w:tc>
      </w:tr>
      <w:tr w14:paraId="2CB97BF6">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F2C35C">
            <w:pPr>
              <w:jc w:val="center"/>
              <w:rPr>
                <w:rFonts w:hint="eastAsia" w:ascii="宋体" w:hAnsi="宋体" w:eastAsia="宋体" w:cs="宋体"/>
                <w:i w:val="0"/>
                <w:color w:val="auto"/>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AE56B2">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总投入</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584C06">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中央财政</w:t>
            </w: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6DBECCE">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省级财政</w:t>
            </w:r>
          </w:p>
        </w:tc>
        <w:tc>
          <w:tcPr>
            <w:tcW w:w="13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1C4ED0">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市本级财政</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29EDD18">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县（市）区级财政</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59D400">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其他</w:t>
            </w:r>
          </w:p>
        </w:tc>
      </w:tr>
      <w:tr w14:paraId="1854A564">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6423E">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中期资金来源（元）</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C9DD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3726</w:t>
            </w:r>
            <w:r>
              <w:rPr>
                <w:rFonts w:hint="eastAsia" w:ascii="宋体" w:hAnsi="宋体" w:eastAsia="宋体" w:cs="宋体"/>
                <w:i w:val="0"/>
                <w:color w:val="auto"/>
                <w:kern w:val="0"/>
                <w:sz w:val="22"/>
                <w:szCs w:val="22"/>
                <w:u w:val="none"/>
                <w:lang w:val="en-US" w:eastAsia="zh-CN" w:bidi="ar"/>
              </w:rPr>
              <w:t xml:space="preserve">000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E1E7B">
            <w:pPr>
              <w:jc w:val="right"/>
              <w:rPr>
                <w:rFonts w:hint="eastAsia" w:ascii="宋体" w:hAnsi="宋体" w:eastAsia="宋体" w:cs="宋体"/>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F043F">
            <w:pPr>
              <w:jc w:val="right"/>
              <w:rPr>
                <w:rFonts w:hint="eastAsia" w:ascii="宋体" w:hAnsi="宋体" w:eastAsia="宋体" w:cs="宋体"/>
                <w:i w:val="0"/>
                <w:color w:val="auto"/>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40992">
            <w:pPr>
              <w:jc w:val="right"/>
              <w:rPr>
                <w:rFonts w:hint="eastAsia" w:ascii="宋体" w:hAnsi="宋体" w:eastAsia="宋体" w:cs="宋体"/>
                <w:i w:val="0"/>
                <w:color w:val="auto"/>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C80EF">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3726000</w:t>
            </w:r>
            <w:r>
              <w:rPr>
                <w:rFonts w:hint="eastAsia" w:ascii="宋体" w:hAnsi="宋体" w:eastAsia="宋体" w:cs="宋体"/>
                <w:i w:val="0"/>
                <w:color w:val="auto"/>
                <w:kern w:val="0"/>
                <w:sz w:val="22"/>
                <w:szCs w:val="22"/>
                <w:u w:val="none"/>
                <w:lang w:val="en-US" w:eastAsia="zh-CN" w:bidi="ar"/>
              </w:rPr>
              <w:t xml:space="preserve"> </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A3CF9">
            <w:pPr>
              <w:jc w:val="right"/>
              <w:rPr>
                <w:rFonts w:hint="eastAsia" w:ascii="宋体" w:hAnsi="宋体" w:eastAsia="宋体" w:cs="宋体"/>
                <w:i w:val="0"/>
                <w:color w:val="auto"/>
                <w:sz w:val="22"/>
                <w:szCs w:val="22"/>
                <w:u w:val="none"/>
              </w:rPr>
            </w:pPr>
          </w:p>
        </w:tc>
      </w:tr>
      <w:tr w14:paraId="1DB72446">
        <w:tblPrEx>
          <w:tblCellMar>
            <w:top w:w="0" w:type="dxa"/>
            <w:left w:w="0" w:type="dxa"/>
            <w:bottom w:w="0" w:type="dxa"/>
            <w:right w:w="0" w:type="dxa"/>
          </w:tblCellMar>
        </w:tblPrEx>
        <w:trPr>
          <w:trHeight w:val="520" w:hRule="atLeast"/>
        </w:trPr>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1242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年度资金来源（元）</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79942">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124200</w:t>
            </w:r>
            <w:r>
              <w:rPr>
                <w:rFonts w:hint="eastAsia" w:ascii="宋体" w:hAnsi="宋体" w:eastAsia="宋体" w:cs="宋体"/>
                <w:i w:val="0"/>
                <w:color w:val="auto"/>
                <w:kern w:val="0"/>
                <w:sz w:val="22"/>
                <w:szCs w:val="22"/>
                <w:u w:val="none"/>
                <w:lang w:val="en-US" w:eastAsia="zh-CN" w:bidi="ar"/>
              </w:rPr>
              <w:t xml:space="preserve">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3D0CA">
            <w:pPr>
              <w:jc w:val="right"/>
              <w:rPr>
                <w:rFonts w:hint="eastAsia" w:ascii="宋体" w:hAnsi="宋体" w:eastAsia="宋体" w:cs="宋体"/>
                <w:i w:val="0"/>
                <w:color w:val="auto"/>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0B557">
            <w:pPr>
              <w:jc w:val="right"/>
              <w:rPr>
                <w:rFonts w:hint="eastAsia" w:ascii="宋体" w:hAnsi="宋体" w:eastAsia="宋体" w:cs="宋体"/>
                <w:i w:val="0"/>
                <w:color w:val="auto"/>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7973A">
            <w:pPr>
              <w:jc w:val="right"/>
              <w:rPr>
                <w:rFonts w:hint="eastAsia" w:ascii="宋体" w:hAnsi="宋体" w:eastAsia="宋体" w:cs="宋体"/>
                <w:i w:val="0"/>
                <w:color w:val="auto"/>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23AC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1242</w:t>
            </w:r>
            <w:r>
              <w:rPr>
                <w:rFonts w:hint="eastAsia" w:ascii="宋体" w:hAnsi="宋体" w:eastAsia="宋体" w:cs="宋体"/>
                <w:i w:val="0"/>
                <w:color w:val="auto"/>
                <w:kern w:val="0"/>
                <w:sz w:val="22"/>
                <w:szCs w:val="22"/>
                <w:u w:val="none"/>
                <w:lang w:val="en-US" w:eastAsia="zh-CN" w:bidi="ar"/>
              </w:rPr>
              <w:t xml:space="preserve">000 </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288CE">
            <w:pPr>
              <w:jc w:val="right"/>
              <w:rPr>
                <w:rFonts w:hint="eastAsia" w:ascii="宋体" w:hAnsi="宋体" w:eastAsia="宋体" w:cs="宋体"/>
                <w:i w:val="0"/>
                <w:color w:val="auto"/>
                <w:sz w:val="22"/>
                <w:szCs w:val="22"/>
                <w:u w:val="none"/>
              </w:rPr>
            </w:pPr>
          </w:p>
        </w:tc>
      </w:tr>
      <w:tr w14:paraId="34082E85">
        <w:tblPrEx>
          <w:tblCellMar>
            <w:top w:w="0" w:type="dxa"/>
            <w:left w:w="0" w:type="dxa"/>
            <w:bottom w:w="0" w:type="dxa"/>
            <w:right w:w="0" w:type="dxa"/>
          </w:tblCellMar>
        </w:tblPrEx>
        <w:trPr>
          <w:trHeight w:val="402" w:hRule="atLeast"/>
        </w:trPr>
        <w:tc>
          <w:tcPr>
            <w:tcW w:w="20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FBAC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总  体   目  标</w:t>
            </w:r>
          </w:p>
        </w:tc>
        <w:tc>
          <w:tcPr>
            <w:tcW w:w="65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FEC0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中期目标</w:t>
            </w:r>
          </w:p>
        </w:tc>
        <w:tc>
          <w:tcPr>
            <w:tcW w:w="645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3E97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年度目标</w:t>
            </w:r>
          </w:p>
        </w:tc>
      </w:tr>
      <w:tr w14:paraId="3C7E0445">
        <w:tblPrEx>
          <w:tblCellMar>
            <w:top w:w="0" w:type="dxa"/>
            <w:left w:w="0" w:type="dxa"/>
            <w:bottom w:w="0" w:type="dxa"/>
            <w:right w:w="0" w:type="dxa"/>
          </w:tblCellMar>
        </w:tblPrEx>
        <w:trPr>
          <w:trHeight w:val="147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B388B">
            <w:pPr>
              <w:jc w:val="left"/>
              <w:rPr>
                <w:rFonts w:hint="eastAsia" w:ascii="宋体" w:hAnsi="宋体" w:eastAsia="宋体" w:cs="宋体"/>
                <w:i w:val="0"/>
                <w:color w:val="auto"/>
                <w:sz w:val="22"/>
                <w:szCs w:val="22"/>
                <w:u w:val="none"/>
              </w:rPr>
            </w:pPr>
          </w:p>
        </w:tc>
        <w:tc>
          <w:tcPr>
            <w:tcW w:w="65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570F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根据城市网格化管理要求，需365天对呈贡区范围内管理网格进行事部</w:t>
            </w:r>
            <w:r>
              <w:rPr>
                <w:rFonts w:hint="eastAsia" w:ascii="宋体" w:hAnsi="宋体" w:cs="宋体"/>
                <w:i w:val="0"/>
                <w:color w:val="auto"/>
                <w:kern w:val="0"/>
                <w:sz w:val="22"/>
                <w:szCs w:val="22"/>
                <w:u w:val="none"/>
                <w:lang w:val="en-US" w:eastAsia="zh-CN" w:bidi="ar"/>
              </w:rPr>
              <w:t>（事）</w:t>
            </w:r>
            <w:r>
              <w:rPr>
                <w:rFonts w:hint="eastAsia" w:ascii="宋体" w:hAnsi="宋体" w:eastAsia="宋体" w:cs="宋体"/>
                <w:i w:val="0"/>
                <w:color w:val="auto"/>
                <w:kern w:val="0"/>
                <w:sz w:val="22"/>
                <w:szCs w:val="22"/>
                <w:u w:val="none"/>
                <w:lang w:val="en-US" w:eastAsia="zh-CN" w:bidi="ar"/>
              </w:rPr>
              <w:t>件信息采集，监督员进行网格巡查，发现问题，及时上报立案，通过及时梳理、精</w:t>
            </w:r>
            <w:r>
              <w:rPr>
                <w:rFonts w:hint="eastAsia" w:ascii="宋体" w:hAnsi="宋体" w:cs="宋体"/>
                <w:i w:val="0"/>
                <w:color w:val="auto"/>
                <w:kern w:val="0"/>
                <w:sz w:val="22"/>
                <w:szCs w:val="22"/>
                <w:u w:val="none"/>
                <w:lang w:val="en-US" w:eastAsia="zh-CN" w:bidi="ar"/>
              </w:rPr>
              <w:t>准</w:t>
            </w:r>
            <w:r>
              <w:rPr>
                <w:rFonts w:hint="eastAsia" w:ascii="宋体" w:hAnsi="宋体" w:eastAsia="宋体" w:cs="宋体"/>
                <w:i w:val="0"/>
                <w:color w:val="auto"/>
                <w:kern w:val="0"/>
                <w:sz w:val="22"/>
                <w:szCs w:val="22"/>
                <w:u w:val="none"/>
                <w:lang w:val="en-US" w:eastAsia="zh-CN" w:bidi="ar"/>
              </w:rPr>
              <w:t>派遣、紧盯重点、跟踪提醒、先行处置等方式高效处置网格案件。</w:t>
            </w:r>
          </w:p>
        </w:tc>
        <w:tc>
          <w:tcPr>
            <w:tcW w:w="645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BC35D">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根据城市网格化管理要求，需365天对呈贡区范围内管理网格进行部</w:t>
            </w:r>
            <w:r>
              <w:rPr>
                <w:rFonts w:hint="eastAsia" w:ascii="宋体" w:hAnsi="宋体" w:cs="宋体"/>
                <w:i w:val="0"/>
                <w:color w:val="auto"/>
                <w:kern w:val="0"/>
                <w:sz w:val="22"/>
                <w:szCs w:val="22"/>
                <w:u w:val="none"/>
                <w:lang w:val="en-US" w:eastAsia="zh-CN" w:bidi="ar"/>
              </w:rPr>
              <w:t>（事）</w:t>
            </w:r>
            <w:r>
              <w:rPr>
                <w:rFonts w:hint="eastAsia" w:ascii="宋体" w:hAnsi="宋体" w:eastAsia="宋体" w:cs="宋体"/>
                <w:i w:val="0"/>
                <w:color w:val="auto"/>
                <w:kern w:val="0"/>
                <w:sz w:val="22"/>
                <w:szCs w:val="22"/>
                <w:u w:val="none"/>
                <w:lang w:val="en-US" w:eastAsia="zh-CN" w:bidi="ar"/>
              </w:rPr>
              <w:t>件信息采集，监</w:t>
            </w:r>
            <w:bookmarkStart w:id="0" w:name="_GoBack"/>
            <w:bookmarkEnd w:id="0"/>
            <w:r>
              <w:rPr>
                <w:rFonts w:hint="eastAsia" w:ascii="宋体" w:hAnsi="宋体" w:eastAsia="宋体" w:cs="宋体"/>
                <w:i w:val="0"/>
                <w:color w:val="auto"/>
                <w:kern w:val="0"/>
                <w:sz w:val="22"/>
                <w:szCs w:val="22"/>
                <w:u w:val="none"/>
                <w:lang w:val="en-US" w:eastAsia="zh-CN" w:bidi="ar"/>
              </w:rPr>
              <w:t>督员进行网格巡查，发现问题，及时上报立案，通过及时梳理、精</w:t>
            </w:r>
            <w:r>
              <w:rPr>
                <w:rFonts w:hint="eastAsia" w:ascii="宋体" w:hAnsi="宋体" w:cs="宋体"/>
                <w:i w:val="0"/>
                <w:color w:val="auto"/>
                <w:kern w:val="0"/>
                <w:sz w:val="22"/>
                <w:szCs w:val="22"/>
                <w:u w:val="none"/>
                <w:lang w:val="en-US" w:eastAsia="zh-CN" w:bidi="ar"/>
              </w:rPr>
              <w:t>准</w:t>
            </w:r>
            <w:r>
              <w:rPr>
                <w:rFonts w:hint="eastAsia" w:ascii="宋体" w:hAnsi="宋体" w:eastAsia="宋体" w:cs="宋体"/>
                <w:i w:val="0"/>
                <w:color w:val="auto"/>
                <w:kern w:val="0"/>
                <w:sz w:val="22"/>
                <w:szCs w:val="22"/>
                <w:u w:val="none"/>
                <w:lang w:val="en-US" w:eastAsia="zh-CN" w:bidi="ar"/>
              </w:rPr>
              <w:t>派遣、紧盯重点、跟踪提醒、先行处置等方式高效处置网格案件。</w:t>
            </w:r>
          </w:p>
        </w:tc>
      </w:tr>
      <w:tr w14:paraId="6E0151A5">
        <w:tblPrEx>
          <w:tblCellMar>
            <w:top w:w="0" w:type="dxa"/>
            <w:left w:w="0" w:type="dxa"/>
            <w:bottom w:w="0" w:type="dxa"/>
            <w:right w:w="0" w:type="dxa"/>
          </w:tblCellMar>
        </w:tblPrEx>
        <w:trPr>
          <w:trHeight w:val="303" w:hRule="atLeast"/>
        </w:trPr>
        <w:tc>
          <w:tcPr>
            <w:tcW w:w="20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0F246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绩  效  指  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9BC1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一级指标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BE434">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49AD6">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B20A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C9483">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二级指标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3C54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三级指标</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333E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指标值</w:t>
            </w:r>
          </w:p>
        </w:tc>
      </w:tr>
      <w:tr w14:paraId="774D0A52">
        <w:tblPrEx>
          <w:tblCellMar>
            <w:top w:w="0" w:type="dxa"/>
            <w:left w:w="0" w:type="dxa"/>
            <w:bottom w:w="0" w:type="dxa"/>
            <w:right w:w="0" w:type="dxa"/>
          </w:tblCellMar>
        </w:tblPrEx>
        <w:trPr>
          <w:trHeight w:val="78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D834C">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538F108">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9F31B41">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8D6C46D">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采集信息人数</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6643957">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90</w:t>
            </w:r>
            <w:r>
              <w:rPr>
                <w:rFonts w:hint="eastAsia" w:ascii="宋体" w:hAnsi="宋体" w:eastAsia="宋体" w:cs="宋体"/>
                <w:i w:val="0"/>
                <w:color w:val="auto"/>
                <w:kern w:val="0"/>
                <w:sz w:val="22"/>
                <w:szCs w:val="22"/>
                <w:u w:val="none"/>
                <w:lang w:val="en-US" w:eastAsia="zh-CN" w:bidi="ar"/>
              </w:rPr>
              <w:t>人次</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F45CDE1">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04D361F">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采集信息人数</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A304361">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30</w:t>
            </w:r>
            <w:r>
              <w:rPr>
                <w:rFonts w:hint="eastAsia" w:ascii="宋体" w:hAnsi="宋体" w:eastAsia="宋体" w:cs="宋体"/>
                <w:i w:val="0"/>
                <w:color w:val="auto"/>
                <w:kern w:val="0"/>
                <w:sz w:val="22"/>
                <w:szCs w:val="22"/>
                <w:u w:val="none"/>
                <w:lang w:val="en-US" w:eastAsia="zh-CN" w:bidi="ar"/>
              </w:rPr>
              <w:t>人</w:t>
            </w:r>
          </w:p>
        </w:tc>
      </w:tr>
      <w:tr w14:paraId="37CBD1E8">
        <w:tblPrEx>
          <w:tblCellMar>
            <w:top w:w="0" w:type="dxa"/>
            <w:left w:w="0" w:type="dxa"/>
            <w:bottom w:w="0" w:type="dxa"/>
            <w:right w:w="0" w:type="dxa"/>
          </w:tblCellMar>
        </w:tblPrEx>
        <w:trPr>
          <w:trHeight w:val="78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0B871">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30D9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FC12EA8">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7EF5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验收合格率</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1908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1FC2BA1">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质量指标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85FF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验收合格率</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4B9A9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r>
      <w:tr w14:paraId="5F3613EF">
        <w:tblPrEx>
          <w:tblCellMar>
            <w:top w:w="0" w:type="dxa"/>
            <w:left w:w="0" w:type="dxa"/>
            <w:bottom w:w="0" w:type="dxa"/>
            <w:right w:w="0" w:type="dxa"/>
          </w:tblCellMar>
        </w:tblPrEx>
        <w:trPr>
          <w:trHeight w:val="78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28E2C">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EBF1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4E63308">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BCB4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项目支出预算年末执行率</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CE42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E66C079">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时效指标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2680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项目支出预算年末执行率</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A0E9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r>
      <w:tr w14:paraId="17E06C1D">
        <w:tblPrEx>
          <w:tblCellMar>
            <w:top w:w="0" w:type="dxa"/>
            <w:left w:w="0" w:type="dxa"/>
            <w:bottom w:w="0" w:type="dxa"/>
            <w:right w:w="0" w:type="dxa"/>
          </w:tblCellMar>
        </w:tblPrEx>
        <w:trPr>
          <w:trHeight w:val="68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46C12">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5C5F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6E8B390">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1DC1A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监督员</w:t>
            </w:r>
            <w:r>
              <w:rPr>
                <w:rFonts w:hint="eastAsia" w:ascii="宋体" w:hAnsi="宋体" w:cs="宋体"/>
                <w:i w:val="0"/>
                <w:color w:val="auto"/>
                <w:kern w:val="0"/>
                <w:sz w:val="22"/>
                <w:szCs w:val="22"/>
                <w:u w:val="none"/>
                <w:lang w:val="en-US" w:eastAsia="zh-CN" w:bidi="ar"/>
              </w:rPr>
              <w:t>月</w:t>
            </w:r>
            <w:r>
              <w:rPr>
                <w:rFonts w:hint="eastAsia" w:ascii="宋体" w:hAnsi="宋体" w:eastAsia="宋体" w:cs="宋体"/>
                <w:i w:val="0"/>
                <w:color w:val="auto"/>
                <w:kern w:val="0"/>
                <w:sz w:val="22"/>
                <w:szCs w:val="22"/>
                <w:u w:val="none"/>
                <w:lang w:val="en-US" w:eastAsia="zh-CN" w:bidi="ar"/>
              </w:rPr>
              <w:t>外包成本</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F408">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310500</w:t>
            </w:r>
            <w:r>
              <w:rPr>
                <w:rFonts w:hint="eastAsia" w:ascii="宋体" w:hAnsi="宋体" w:eastAsia="宋体" w:cs="宋体"/>
                <w:i w:val="0"/>
                <w:color w:val="auto"/>
                <w:kern w:val="0"/>
                <w:sz w:val="22"/>
                <w:szCs w:val="22"/>
                <w:u w:val="none"/>
                <w:lang w:val="en-US" w:eastAsia="zh-CN" w:bidi="ar"/>
              </w:rPr>
              <w:t>元</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3046814">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15F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每月外包服务成本</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7880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103500</w:t>
            </w:r>
            <w:r>
              <w:rPr>
                <w:rFonts w:hint="eastAsia" w:ascii="宋体" w:hAnsi="宋体" w:eastAsia="宋体" w:cs="宋体"/>
                <w:i w:val="0"/>
                <w:color w:val="auto"/>
                <w:kern w:val="0"/>
                <w:sz w:val="22"/>
                <w:szCs w:val="22"/>
                <w:u w:val="none"/>
                <w:lang w:val="en-US" w:eastAsia="zh-CN" w:bidi="ar"/>
              </w:rPr>
              <w:t>元</w:t>
            </w:r>
          </w:p>
        </w:tc>
      </w:tr>
      <w:tr w14:paraId="61E944B1">
        <w:tblPrEx>
          <w:tblCellMar>
            <w:top w:w="0" w:type="dxa"/>
            <w:left w:w="0" w:type="dxa"/>
            <w:bottom w:w="0" w:type="dxa"/>
            <w:right w:w="0" w:type="dxa"/>
          </w:tblCellMar>
        </w:tblPrEx>
        <w:trPr>
          <w:trHeight w:val="68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3DEC1">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D6B8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效益指标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E810D9B">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BAA6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消除安全隐患事故率、市民出行安全率</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F2C70">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&gt;=95%</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6320CA0">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社会效益指标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0228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消除安全隐患事故率、市民出行安全率</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88F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&gt;=95%</w:t>
            </w:r>
          </w:p>
        </w:tc>
      </w:tr>
      <w:tr w14:paraId="19DF8619">
        <w:tblPrEx>
          <w:tblCellMar>
            <w:top w:w="0" w:type="dxa"/>
            <w:left w:w="0" w:type="dxa"/>
            <w:bottom w:w="0" w:type="dxa"/>
            <w:right w:w="0" w:type="dxa"/>
          </w:tblCellMar>
        </w:tblPrEx>
        <w:trPr>
          <w:trHeight w:val="68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77534">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84C1">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满意度指标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E3801EC">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61F2F">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案件派遣人员、处置单位、市民满意度</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AB279">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38FE0FE">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E44A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案件派遣人员、处置单位、市民满意度</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9C8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r>
      <w:tr w14:paraId="2BC0A0CC">
        <w:tblPrEx>
          <w:tblCellMar>
            <w:top w:w="0" w:type="dxa"/>
            <w:left w:w="0" w:type="dxa"/>
            <w:bottom w:w="0" w:type="dxa"/>
            <w:right w:w="0" w:type="dxa"/>
          </w:tblCellMar>
        </w:tblPrEx>
        <w:trPr>
          <w:trHeight w:val="680"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3FEFD">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C496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E38A0FD">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D0EA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外包月份</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D361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36个月</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121F7D9">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数量指标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B4D8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外包月份</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9BD72">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12个月</w:t>
            </w:r>
          </w:p>
        </w:tc>
      </w:tr>
      <w:tr w14:paraId="40345A83">
        <w:tblPrEx>
          <w:tblCellMar>
            <w:top w:w="0" w:type="dxa"/>
            <w:left w:w="0" w:type="dxa"/>
            <w:bottom w:w="0" w:type="dxa"/>
            <w:right w:w="0" w:type="dxa"/>
          </w:tblCellMar>
        </w:tblPrEx>
        <w:trPr>
          <w:trHeight w:val="795" w:hRule="atLeast"/>
        </w:trPr>
        <w:tc>
          <w:tcPr>
            <w:tcW w:w="20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00BA8">
            <w:pPr>
              <w:jc w:val="left"/>
              <w:rPr>
                <w:rFonts w:hint="eastAsia" w:ascii="宋体" w:hAnsi="宋体" w:eastAsia="宋体" w:cs="宋体"/>
                <w:i w:val="0"/>
                <w:color w:val="auto"/>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3F07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产出指标</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F8A8491">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00F23">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年外包成本</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5DB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3726000</w:t>
            </w:r>
            <w:r>
              <w:rPr>
                <w:rFonts w:hint="eastAsia" w:ascii="宋体" w:hAnsi="宋体" w:eastAsia="宋体" w:cs="宋体"/>
                <w:i w:val="0"/>
                <w:color w:val="auto"/>
                <w:kern w:val="0"/>
                <w:sz w:val="22"/>
                <w:szCs w:val="22"/>
                <w:u w:val="none"/>
                <w:lang w:val="en-US" w:eastAsia="zh-CN" w:bidi="ar"/>
              </w:rPr>
              <w:t>元</w:t>
            </w:r>
          </w:p>
        </w:tc>
        <w:tc>
          <w:tcPr>
            <w:tcW w:w="1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40C7FC2">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成本指标</w:t>
            </w:r>
          </w:p>
        </w:tc>
        <w:tc>
          <w:tcPr>
            <w:tcW w:w="34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71E2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监督员年外包成本</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3FC3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1242000</w:t>
            </w:r>
            <w:r>
              <w:rPr>
                <w:rFonts w:hint="eastAsia" w:ascii="宋体" w:hAnsi="宋体" w:eastAsia="宋体" w:cs="宋体"/>
                <w:i w:val="0"/>
                <w:color w:val="auto"/>
                <w:kern w:val="0"/>
                <w:sz w:val="22"/>
                <w:szCs w:val="22"/>
                <w:u w:val="none"/>
                <w:lang w:val="en-US" w:eastAsia="zh-CN" w:bidi="ar"/>
              </w:rPr>
              <w:t>元</w:t>
            </w:r>
          </w:p>
        </w:tc>
      </w:tr>
      <w:tr w14:paraId="5B37D350">
        <w:tblPrEx>
          <w:tblCellMar>
            <w:top w:w="0" w:type="dxa"/>
            <w:left w:w="0" w:type="dxa"/>
            <w:bottom w:w="0" w:type="dxa"/>
            <w:right w:w="0" w:type="dxa"/>
          </w:tblCellMar>
        </w:tblPrEx>
        <w:trPr>
          <w:trHeight w:val="800" w:hRule="atLeast"/>
        </w:trPr>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0692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单位已有的保障项目实施的制度措施</w:t>
            </w:r>
          </w:p>
        </w:tc>
        <w:tc>
          <w:tcPr>
            <w:tcW w:w="118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F735A">
            <w:pPr>
              <w:keepNext w:val="0"/>
              <w:keepLines w:val="0"/>
              <w:widowControl/>
              <w:suppressLineNumbers w:val="0"/>
              <w:jc w:val="left"/>
              <w:textAlignment w:val="center"/>
              <w:rPr>
                <w:rFonts w:hint="eastAsia"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1.《昆明市人民政府办公厅关于印发昆明市智慧化城市管理综合运行工作模式实施方案的通知》（昆政办〔2016〕125号）</w:t>
            </w:r>
          </w:p>
          <w:p w14:paraId="2B1826AE">
            <w:pPr>
              <w:keepNext w:val="0"/>
              <w:keepLines w:val="0"/>
              <w:widowControl/>
              <w:suppressLineNumbers w:val="0"/>
              <w:jc w:val="left"/>
              <w:textAlignment w:val="center"/>
              <w:rPr>
                <w:rFonts w:hint="default" w:ascii="宋体" w:hAnsi="宋体" w:eastAsia="仿宋_GB2312" w:cs="宋体"/>
                <w:i w:val="0"/>
                <w:color w:val="auto"/>
                <w:sz w:val="22"/>
                <w:szCs w:val="22"/>
                <w:u w:val="none"/>
                <w:lang w:val="en-US" w:eastAsia="zh-CN"/>
              </w:rPr>
            </w:pPr>
            <w:r>
              <w:rPr>
                <w:rFonts w:hint="eastAsia" w:ascii="宋体" w:hAnsi="宋体" w:cs="宋体"/>
                <w:i w:val="0"/>
                <w:color w:val="auto"/>
                <w:kern w:val="0"/>
                <w:sz w:val="22"/>
                <w:szCs w:val="22"/>
                <w:u w:val="none"/>
                <w:lang w:val="en-US" w:eastAsia="zh-CN" w:bidi="ar"/>
              </w:rPr>
              <w:t>2.中共昆明市呈贡区委办公室、昆明市呈贡区人民政府办公室印发《关于完善提升全区城乡网格化服务管理工作的实施方案的通知》（呈办发〔2024〕1号）</w:t>
            </w:r>
          </w:p>
        </w:tc>
      </w:tr>
      <w:tr w14:paraId="7E1A717A">
        <w:tblPrEx>
          <w:tblCellMar>
            <w:top w:w="0" w:type="dxa"/>
            <w:left w:w="0" w:type="dxa"/>
            <w:bottom w:w="0" w:type="dxa"/>
            <w:right w:w="0" w:type="dxa"/>
          </w:tblCellMar>
        </w:tblPrEx>
        <w:trPr>
          <w:trHeight w:val="545" w:hRule="atLeast"/>
        </w:trPr>
        <w:tc>
          <w:tcPr>
            <w:tcW w:w="31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1AFB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预算绩效说明</w:t>
            </w:r>
          </w:p>
        </w:tc>
        <w:tc>
          <w:tcPr>
            <w:tcW w:w="1189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83066">
            <w:pPr>
              <w:keepNext w:val="0"/>
              <w:keepLines w:val="0"/>
              <w:widowControl/>
              <w:suppressLineNumbers w:val="0"/>
              <w:jc w:val="left"/>
              <w:textAlignment w:val="center"/>
              <w:rPr>
                <w:rFonts w:hint="eastAsia" w:ascii="宋体" w:hAnsi="宋体" w:eastAsia="宋体" w:cs="宋体"/>
                <w:i w:val="0"/>
                <w:color w:val="auto"/>
                <w:sz w:val="22"/>
                <w:szCs w:val="22"/>
                <w:u w:val="none"/>
              </w:rPr>
            </w:pPr>
          </w:p>
        </w:tc>
      </w:tr>
      <w:tr w14:paraId="44C03EFF">
        <w:tblPrEx>
          <w:tblCellMar>
            <w:top w:w="0" w:type="dxa"/>
            <w:left w:w="0" w:type="dxa"/>
            <w:bottom w:w="0" w:type="dxa"/>
            <w:right w:w="0" w:type="dxa"/>
          </w:tblCellMar>
        </w:tblPrEx>
        <w:trPr>
          <w:trHeight w:val="980" w:hRule="atLeast"/>
        </w:trPr>
        <w:tc>
          <w:tcPr>
            <w:tcW w:w="4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E8250">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单位负责人：</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EC75F">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杨翰挺</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12CCD">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填报人：</w:t>
            </w:r>
          </w:p>
        </w:tc>
        <w:tc>
          <w:tcPr>
            <w:tcW w:w="2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F97EB">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赵伟鸿</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5AD99">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填报日期：</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614B1">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202</w:t>
            </w:r>
            <w:r>
              <w:rPr>
                <w:rFonts w:hint="eastAsia" w:ascii="宋体" w:hAnsi="宋体" w:cs="宋体"/>
                <w:i w:val="0"/>
                <w:color w:val="auto"/>
                <w:kern w:val="0"/>
                <w:sz w:val="22"/>
                <w:szCs w:val="22"/>
                <w:u w:val="none"/>
                <w:lang w:val="en-US" w:eastAsia="zh-CN" w:bidi="ar"/>
              </w:rPr>
              <w:t>5</w:t>
            </w: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7</w:t>
            </w:r>
          </w:p>
        </w:tc>
      </w:tr>
    </w:tbl>
    <w:p w14:paraId="10FA0573">
      <w:pPr>
        <w:widowControl/>
        <w:ind w:left="600"/>
        <w:jc w:val="left"/>
        <w:rPr>
          <w:rFonts w:hint="eastAsia" w:ascii="黑体" w:hAnsi="黑体" w:eastAsia="黑体" w:cs="黑体"/>
          <w:kern w:val="0"/>
          <w:sz w:val="30"/>
          <w:szCs w:val="30"/>
        </w:rPr>
      </w:pPr>
    </w:p>
    <w:sectPr>
      <w:pgSz w:w="16838" w:h="11906" w:orient="landscape"/>
      <w:pgMar w:top="1797" w:right="1247" w:bottom="1797" w:left="124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A4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5105400</wp:posOffset>
              </wp:positionH>
              <wp:positionV relativeFrom="paragraph">
                <wp:posOffset>-227965</wp:posOffset>
              </wp:positionV>
              <wp:extent cx="511175" cy="4229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1175" cy="422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119E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2pt;margin-top:-17.95pt;height:33.3pt;width:40.25pt;mso-position-horizontal-relative:margin;z-index:251659264;mso-width-relative:page;mso-height-relative:page;" filled="f" stroked="f" coordsize="21600,21600" o:gfxdata="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MubnvaAAAACgEAAA8AAAAAAAAAAQAgAAAAIgAAAGRycy9kb3du&#10;cmV2LnhtbFBLAQIUABQAAAAIAIdO4kCfb/3tNgIAAGEEAAAOAAAAAAAAAAEAIAAAACkBAABkcnMv&#10;ZTJvRG9jLnhtbFBLBQYAAAAABgAGAFkBAADRBQAAAAA=&#10;">
              <v:fill on="f" focussize="0,0"/>
              <v:stroke on="f" weight="0.5pt"/>
              <v:imagedata o:title=""/>
              <o:lock v:ext="edit" aspectratio="f"/>
              <v:textbox inset="0mm,0mm,0mm,0mm">
                <w:txbxContent>
                  <w:p w14:paraId="273119E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58C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5943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NDdlOWYyYTg4MWMxMTA2MDE1MzA4M2VjYmVjODE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1499"/>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2A07"/>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6FE"/>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7F4FC3"/>
    <w:rsid w:val="00803F6B"/>
    <w:rsid w:val="00805901"/>
    <w:rsid w:val="00811B53"/>
    <w:rsid w:val="00816BAB"/>
    <w:rsid w:val="00817514"/>
    <w:rsid w:val="008251B5"/>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7383C"/>
    <w:rsid w:val="00973F54"/>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B4CC6"/>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86417"/>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1B244E9"/>
    <w:rsid w:val="021047C3"/>
    <w:rsid w:val="03F0214E"/>
    <w:rsid w:val="04314F30"/>
    <w:rsid w:val="046F214C"/>
    <w:rsid w:val="05277080"/>
    <w:rsid w:val="0603792C"/>
    <w:rsid w:val="06325B44"/>
    <w:rsid w:val="09CD27F9"/>
    <w:rsid w:val="0A5A5DC4"/>
    <w:rsid w:val="0A742CCD"/>
    <w:rsid w:val="0AA8649D"/>
    <w:rsid w:val="0AB77A2F"/>
    <w:rsid w:val="0B536F29"/>
    <w:rsid w:val="0B627940"/>
    <w:rsid w:val="0BFD28E4"/>
    <w:rsid w:val="0C3C77C2"/>
    <w:rsid w:val="0D0E0F2A"/>
    <w:rsid w:val="0F635DF8"/>
    <w:rsid w:val="10881DF6"/>
    <w:rsid w:val="111D3473"/>
    <w:rsid w:val="114E4B81"/>
    <w:rsid w:val="124C1420"/>
    <w:rsid w:val="13B61995"/>
    <w:rsid w:val="141E7899"/>
    <w:rsid w:val="14212F4A"/>
    <w:rsid w:val="14C81465"/>
    <w:rsid w:val="153C0007"/>
    <w:rsid w:val="156E30E2"/>
    <w:rsid w:val="16120B81"/>
    <w:rsid w:val="165D6CAE"/>
    <w:rsid w:val="17E531F7"/>
    <w:rsid w:val="18FC6AB7"/>
    <w:rsid w:val="19F55BCD"/>
    <w:rsid w:val="1A0B3DDD"/>
    <w:rsid w:val="1A1B6230"/>
    <w:rsid w:val="1A751B4A"/>
    <w:rsid w:val="1B7457C9"/>
    <w:rsid w:val="1BD73E6F"/>
    <w:rsid w:val="1D244270"/>
    <w:rsid w:val="1F000590"/>
    <w:rsid w:val="1F866D5E"/>
    <w:rsid w:val="1F8F6F61"/>
    <w:rsid w:val="203F2354"/>
    <w:rsid w:val="20E37A02"/>
    <w:rsid w:val="217C52A6"/>
    <w:rsid w:val="22792CF7"/>
    <w:rsid w:val="24192B24"/>
    <w:rsid w:val="249262B8"/>
    <w:rsid w:val="252E06BC"/>
    <w:rsid w:val="26210C1E"/>
    <w:rsid w:val="26FA57B8"/>
    <w:rsid w:val="27156B93"/>
    <w:rsid w:val="273F63AE"/>
    <w:rsid w:val="27C44B4F"/>
    <w:rsid w:val="29684A53"/>
    <w:rsid w:val="2A2D00A9"/>
    <w:rsid w:val="2A385F86"/>
    <w:rsid w:val="2B6C0A6D"/>
    <w:rsid w:val="2B6D78D5"/>
    <w:rsid w:val="2CF8152D"/>
    <w:rsid w:val="2D5971CB"/>
    <w:rsid w:val="2D7258C6"/>
    <w:rsid w:val="2D7D708C"/>
    <w:rsid w:val="2E343CBB"/>
    <w:rsid w:val="2E574E83"/>
    <w:rsid w:val="2E7A1926"/>
    <w:rsid w:val="2ECE77CD"/>
    <w:rsid w:val="31164E6E"/>
    <w:rsid w:val="3227360A"/>
    <w:rsid w:val="331E0A23"/>
    <w:rsid w:val="348F1213"/>
    <w:rsid w:val="357910E0"/>
    <w:rsid w:val="35CB510E"/>
    <w:rsid w:val="35FC3ED1"/>
    <w:rsid w:val="36AA560A"/>
    <w:rsid w:val="37544218"/>
    <w:rsid w:val="38226957"/>
    <w:rsid w:val="38B94E67"/>
    <w:rsid w:val="38C30EA0"/>
    <w:rsid w:val="39466C4F"/>
    <w:rsid w:val="396A13EA"/>
    <w:rsid w:val="39DD2E67"/>
    <w:rsid w:val="3A8A588E"/>
    <w:rsid w:val="3B026B0F"/>
    <w:rsid w:val="3C1464F1"/>
    <w:rsid w:val="3CD04627"/>
    <w:rsid w:val="3CFD1A00"/>
    <w:rsid w:val="3DCC2998"/>
    <w:rsid w:val="3ECB397F"/>
    <w:rsid w:val="3F5538EE"/>
    <w:rsid w:val="3FA43BC9"/>
    <w:rsid w:val="41134E62"/>
    <w:rsid w:val="41D30975"/>
    <w:rsid w:val="4392593E"/>
    <w:rsid w:val="45C27588"/>
    <w:rsid w:val="45F568DE"/>
    <w:rsid w:val="4642276B"/>
    <w:rsid w:val="46491C84"/>
    <w:rsid w:val="468D0752"/>
    <w:rsid w:val="488A54A4"/>
    <w:rsid w:val="48B0050A"/>
    <w:rsid w:val="48C127C8"/>
    <w:rsid w:val="4A2B32B0"/>
    <w:rsid w:val="4A8A424F"/>
    <w:rsid w:val="4BC93EC7"/>
    <w:rsid w:val="4E8047FC"/>
    <w:rsid w:val="508B3BDB"/>
    <w:rsid w:val="51486F2A"/>
    <w:rsid w:val="52F4603B"/>
    <w:rsid w:val="56F77E4E"/>
    <w:rsid w:val="57194F71"/>
    <w:rsid w:val="586A0C56"/>
    <w:rsid w:val="59C7413C"/>
    <w:rsid w:val="5A5F2402"/>
    <w:rsid w:val="5B6F544B"/>
    <w:rsid w:val="5E393A11"/>
    <w:rsid w:val="5E8D610B"/>
    <w:rsid w:val="5FCF62BD"/>
    <w:rsid w:val="607D6FF0"/>
    <w:rsid w:val="611236F1"/>
    <w:rsid w:val="62022DBF"/>
    <w:rsid w:val="622D57D3"/>
    <w:rsid w:val="646605FE"/>
    <w:rsid w:val="659147FA"/>
    <w:rsid w:val="67137888"/>
    <w:rsid w:val="676E094C"/>
    <w:rsid w:val="67A644C4"/>
    <w:rsid w:val="67B31157"/>
    <w:rsid w:val="689E42BA"/>
    <w:rsid w:val="68EC1D04"/>
    <w:rsid w:val="69614B69"/>
    <w:rsid w:val="69B304BD"/>
    <w:rsid w:val="6A070C95"/>
    <w:rsid w:val="6B0611BE"/>
    <w:rsid w:val="6CDC7AA6"/>
    <w:rsid w:val="6CE00556"/>
    <w:rsid w:val="6CE34371"/>
    <w:rsid w:val="6D4E711D"/>
    <w:rsid w:val="7005690A"/>
    <w:rsid w:val="706044C2"/>
    <w:rsid w:val="707217B7"/>
    <w:rsid w:val="70F826C0"/>
    <w:rsid w:val="72063E6D"/>
    <w:rsid w:val="72293730"/>
    <w:rsid w:val="724A4A01"/>
    <w:rsid w:val="72FE1C3C"/>
    <w:rsid w:val="73116912"/>
    <w:rsid w:val="73954482"/>
    <w:rsid w:val="73FD663C"/>
    <w:rsid w:val="74546C93"/>
    <w:rsid w:val="78097269"/>
    <w:rsid w:val="785B03CB"/>
    <w:rsid w:val="79915775"/>
    <w:rsid w:val="7BBD9143"/>
    <w:rsid w:val="7BDF0509"/>
    <w:rsid w:val="7C446B9A"/>
    <w:rsid w:val="7D4F20E1"/>
    <w:rsid w:val="7D99752A"/>
    <w:rsid w:val="7DA0234D"/>
    <w:rsid w:val="7F024C4D"/>
    <w:rsid w:val="7F77078D"/>
    <w:rsid w:val="7F78C13F"/>
    <w:rsid w:val="9F6E7AA3"/>
    <w:rsid w:val="ABFDD2E0"/>
    <w:rsid w:val="B50D0210"/>
    <w:rsid w:val="E9DF4AB3"/>
    <w:rsid w:val="EF377584"/>
    <w:rsid w:val="EF6FE1F4"/>
    <w:rsid w:val="F3CFFEDA"/>
    <w:rsid w:val="FDF908DD"/>
    <w:rsid w:val="FFBE17DD"/>
    <w:rsid w:val="FFE1014F"/>
    <w:rsid w:val="FFF2DF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2">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4"/>
      <w:szCs w:val="24"/>
      <w:u w:val="none" w:color="auto"/>
      <w:shd w:val="clear" w:color="auto" w:fill="auto"/>
      <w:vertAlign w:val="baseline"/>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6</Pages>
  <Words>2042</Words>
  <Characters>2259</Characters>
  <Lines>23</Lines>
  <Paragraphs>6</Paragraphs>
  <TotalTime>1</TotalTime>
  <ScaleCrop>false</ScaleCrop>
  <LinksUpToDate>false</LinksUpToDate>
  <CharactersWithSpaces>2325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2012-01-10T11:13:00Z</dcterms:created>
  <dc:creator>lx</dc:creator>
  <dc:description>ZHGenApp().GetProperty("Certification")</dc:description>
  <cp:lastModifiedBy>kmcg</cp:lastModifiedBy>
  <cp:lastPrinted>2026-04-02T21:43:00Z</cp:lastPrinted>
  <dcterms:modified xsi:type="dcterms:W3CDTF">2026-04-03T14:19:33Z</dcterms:modified>
  <dc:title>年部门预算编制说明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8E72A820DDF54C4B8A8D1D804BA19A48</vt:lpwstr>
  </property>
  <property fmtid="{D5CDD505-2E9C-101B-9397-08002B2CF9AE}" pid="4" name="KSOTemplateDocerSaveRecord">
    <vt:lpwstr>eyJoZGlkIjoiM2Q1NDdlOWYyYTg4MWMxMTA2MDE1MzA4M2VjYmVjODEiLCJ1c2VySWQiOiIzMjE1ODI2NDgifQ==</vt:lpwstr>
  </property>
</Properties>
</file>