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E512">
      <w:pPr>
        <w:snapToGrid w:val="0"/>
        <w:spacing w:line="570" w:lineRule="exact"/>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昆明市呈贡区供销合作社联合社</w:t>
      </w:r>
    </w:p>
    <w:p w14:paraId="69A0A5A0">
      <w:pPr>
        <w:snapToGrid w:val="0"/>
        <w:spacing w:line="570" w:lineRule="exact"/>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2026年事业发展类项目</w:t>
      </w:r>
    </w:p>
    <w:p w14:paraId="6CD1F8B7">
      <w:pPr>
        <w:rPr>
          <w:rFonts w:hint="eastAsia"/>
        </w:rPr>
      </w:pPr>
    </w:p>
    <w:p w14:paraId="1CEE596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kern w:val="0"/>
          <w:sz w:val="30"/>
          <w:szCs w:val="30"/>
        </w:rPr>
      </w:pPr>
      <w:r>
        <w:rPr>
          <w:rFonts w:hint="eastAsia" w:ascii="黑体" w:hAnsi="黑体" w:eastAsia="黑体"/>
          <w:kern w:val="0"/>
          <w:sz w:val="30"/>
          <w:szCs w:val="30"/>
        </w:rPr>
        <w:t xml:space="preserve">一、项目名称 </w:t>
      </w:r>
    </w:p>
    <w:p w14:paraId="7521F69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离退休干部党组织工作经费。</w:t>
      </w:r>
    </w:p>
    <w:p w14:paraId="3FA959E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kern w:val="0"/>
          <w:sz w:val="30"/>
          <w:szCs w:val="30"/>
        </w:rPr>
      </w:pPr>
      <w:r>
        <w:rPr>
          <w:rFonts w:hint="eastAsia" w:ascii="黑体" w:hAnsi="黑体" w:eastAsia="黑体"/>
          <w:kern w:val="0"/>
          <w:sz w:val="30"/>
          <w:szCs w:val="30"/>
        </w:rPr>
        <w:t>二、立项依据</w:t>
      </w:r>
    </w:p>
    <w:p w14:paraId="619B229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《关于做好2026年离退休干部党组织工作经费预算工作的温馨提示》。</w:t>
      </w:r>
    </w:p>
    <w:p w14:paraId="1776617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kern w:val="0"/>
          <w:sz w:val="30"/>
          <w:szCs w:val="30"/>
        </w:rPr>
      </w:pPr>
      <w:r>
        <w:rPr>
          <w:rFonts w:hint="eastAsia" w:ascii="黑体" w:hAnsi="黑体" w:eastAsia="黑体"/>
          <w:kern w:val="0"/>
          <w:sz w:val="30"/>
          <w:szCs w:val="30"/>
        </w:rPr>
        <w:t>三、项目实施单位</w:t>
      </w:r>
    </w:p>
    <w:p w14:paraId="394F47F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单位名称：昆明市呈贡区供销合作社联合社</w:t>
      </w:r>
    </w:p>
    <w:p w14:paraId="162E4A3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组织机构代码：12530121216782646E</w:t>
      </w:r>
    </w:p>
    <w:p w14:paraId="4E67985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地址：昆明市呈贡区惠景园D7栋15楼</w:t>
      </w:r>
    </w:p>
    <w:p w14:paraId="1527ABC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联系电话：0871-67483096</w:t>
      </w:r>
    </w:p>
    <w:p w14:paraId="6BA3E62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法人代表：苏丕发</w:t>
      </w:r>
    </w:p>
    <w:p w14:paraId="74CA763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经费来源：2026年年初预算，呈贡区财政全额拨款</w:t>
      </w:r>
    </w:p>
    <w:p w14:paraId="64D358D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单位概况：昆明市呈贡区供销合作社联合社是参公管理事业单位，财政全额拨款，共设置4个内设机构，包括：办公室、审计财务科、经济发展科、人事教育科。在职人员编制8人，其中：行政编制7人，工勤人员编制1人，事业编制0人。单位主要职责如下：</w:t>
      </w:r>
    </w:p>
    <w:p w14:paraId="1EC51E3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1.制定全区供销合作社的发展战略和发展规划，指导全区供销合作社的改革和发展，建立和完善为农业社会化服务的体系，强化为农服务功能。</w:t>
      </w:r>
    </w:p>
    <w:p w14:paraId="75D92A9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2.贯彻宣传党中央、国务院，省委、省政府，区委、区人民政府有关农村经济工作和社会发展的方针、政策，提出有关发展合作事业的政策建议，促进合作经济发展。</w:t>
      </w:r>
    </w:p>
    <w:p w14:paraId="6993182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3.向区委、区人民政府及有关部门反映供销合作社的意见，指导农村合作经济组织的发展，协调农村合作经济组织与政府部门及其他社会组织的关系，维护其合法权益。</w:t>
      </w:r>
    </w:p>
    <w:p w14:paraId="75C9974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4.开放办社，指导吸纳各类合作经济组织、个私经济加入呈贡区供销合作社联合作，促进农村综合服务体系建设。开拓城乡市场，加快乡村流通工程建设，发展龙头企业，促进城乡一体化、农业产业化进程，加快农产品经纪人培训，引导农民有组织进入市场。</w:t>
      </w:r>
    </w:p>
    <w:p w14:paraId="6843B0A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5.负责对区属各基层供销社和直属公司的生产经营活动进行指导、协调、服务、监督。指导全区供销合作社及社有企业的改革和发展，负责区供销合作社资产的保值增值。</w:t>
      </w:r>
    </w:p>
    <w:p w14:paraId="1690CD4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6.负责对所属企业主要负责人的聘任和解聘，监督企业的经营管理。</w:t>
      </w:r>
    </w:p>
    <w:p w14:paraId="04E4AFF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7.负责直属单位的党群工作，组织开展对社员和职工的教育培训。</w:t>
      </w:r>
    </w:p>
    <w:p w14:paraId="719DF37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8.代表呈贡区合作经济组织，参与国际合作联盟活动，与国内外经济组织、社会团体、院校等开展经济、贸易、技术、人才、交流，签订合资合作协议，接受捐赠、资助。</w:t>
      </w:r>
    </w:p>
    <w:p w14:paraId="7329B77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9.负责供销合作社组织、队伍建设，指导本系统人才资源开发，断提高农民社员和职工队伍素质，贯彻民主办社原则，加强系统的组织联合与合作。</w:t>
      </w:r>
    </w:p>
    <w:p w14:paraId="516A947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10.完成上级交办的其他工作。</w:t>
      </w:r>
    </w:p>
    <w:p w14:paraId="7EC6F05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四、项目基本概况</w:t>
      </w:r>
    </w:p>
    <w:p w14:paraId="27E797B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党支部工作经费8400元，书记补贴2*300*12=7200元，副书记、委员补贴6*200*12=14400元，合计30000元。</w:t>
      </w:r>
    </w:p>
    <w:p w14:paraId="749E83C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五、项目实施内容</w:t>
      </w:r>
    </w:p>
    <w:p w14:paraId="43E7301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党支部工作经费8400元，书记补贴2*300*12=7200元，副书记、委员补贴6*200*12=14400元，合计30000元。</w:t>
      </w:r>
    </w:p>
    <w:p w14:paraId="69052B5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六、资金安排情况</w:t>
      </w:r>
    </w:p>
    <w:p w14:paraId="2AE06D8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2026年预算资金由财政全额拨款。</w:t>
      </w:r>
    </w:p>
    <w:p w14:paraId="5EE6CAA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0"/>
          <w:sz w:val="30"/>
          <w:szCs w:val="30"/>
          <w:lang w:eastAsia="zh-CN"/>
        </w:rPr>
      </w:pPr>
      <w:r>
        <w:rPr>
          <w:rFonts w:hint="eastAsia" w:ascii="黑体" w:hAnsi="黑体" w:eastAsia="黑体" w:cs="黑体"/>
          <w:kern w:val="0"/>
          <w:sz w:val="30"/>
          <w:szCs w:val="30"/>
          <w:lang w:eastAsia="zh-CN"/>
        </w:rPr>
        <w:t>七、</w:t>
      </w:r>
      <w:r>
        <w:rPr>
          <w:rFonts w:hint="eastAsia" w:ascii="黑体" w:hAnsi="黑体" w:eastAsia="黑体" w:cs="黑体"/>
          <w:kern w:val="0"/>
          <w:sz w:val="30"/>
          <w:szCs w:val="30"/>
        </w:rPr>
        <w:t>项目实施</w:t>
      </w:r>
      <w:r>
        <w:rPr>
          <w:rFonts w:hint="eastAsia" w:ascii="黑体" w:hAnsi="黑体" w:eastAsia="黑体" w:cs="黑体"/>
          <w:kern w:val="0"/>
          <w:sz w:val="30"/>
          <w:szCs w:val="30"/>
          <w:lang w:eastAsia="zh-CN"/>
        </w:rPr>
        <w:t>计划</w:t>
      </w:r>
    </w:p>
    <w:p w14:paraId="4DD23B3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30"/>
          <w:szCs w:val="30"/>
        </w:rPr>
      </w:pPr>
      <w:r>
        <w:rPr>
          <w:rFonts w:hint="eastAsia" w:eastAsia="仿宋_GB2312"/>
          <w:kern w:val="0"/>
          <w:sz w:val="30"/>
          <w:szCs w:val="30"/>
          <w:lang w:eastAsia="zh-CN"/>
        </w:rPr>
        <w:t>按时间进度，细化项目，由党办牵头，逐步进行。</w:t>
      </w:r>
    </w:p>
    <w:p w14:paraId="0A59E52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lang w:eastAsia="zh-CN"/>
        </w:rPr>
        <w:t>八、</w:t>
      </w:r>
      <w:r>
        <w:rPr>
          <w:rFonts w:hint="eastAsia" w:ascii="黑体" w:hAnsi="黑体" w:eastAsia="黑体" w:cs="黑体"/>
          <w:kern w:val="0"/>
          <w:sz w:val="30"/>
          <w:szCs w:val="30"/>
        </w:rPr>
        <w:t>项目实施成效</w:t>
      </w:r>
    </w:p>
    <w:p w14:paraId="08F8F86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完成2026年</w:t>
      </w:r>
      <w:r>
        <w:rPr>
          <w:rFonts w:hint="eastAsia" w:eastAsia="仿宋_GB2312"/>
          <w:kern w:val="0"/>
          <w:sz w:val="30"/>
          <w:szCs w:val="30"/>
          <w:lang w:eastAsia="zh-CN"/>
        </w:rPr>
        <w:t>昆明市呈贡区供销合作社联合社</w:t>
      </w:r>
      <w:r>
        <w:rPr>
          <w:rFonts w:hint="eastAsia" w:ascii="Times New Roman" w:hAnsi="Times New Roman" w:eastAsia="仿宋_GB2312" w:cs="Times New Roman"/>
          <w:kern w:val="0"/>
          <w:sz w:val="30"/>
          <w:szCs w:val="30"/>
          <w:lang w:val="en-US" w:eastAsia="zh-CN"/>
        </w:rPr>
        <w:t>离退休党员联合第一支部和第二支部党支部工作经费和工作补贴支出。</w:t>
      </w:r>
    </w:p>
    <w:p w14:paraId="77DD2BF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lang w:val="en-US" w:eastAsia="zh-CN"/>
        </w:rPr>
        <w:t>九、</w:t>
      </w:r>
      <w:r>
        <w:rPr>
          <w:rFonts w:hint="eastAsia" w:ascii="黑体" w:hAnsi="黑体" w:eastAsia="黑体" w:cs="黑体"/>
          <w:kern w:val="0"/>
          <w:sz w:val="30"/>
          <w:szCs w:val="30"/>
        </w:rPr>
        <w:t>项目绩效目标表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25"/>
        <w:gridCol w:w="1200"/>
        <w:gridCol w:w="1725"/>
        <w:gridCol w:w="2010"/>
        <w:gridCol w:w="825"/>
        <w:gridCol w:w="900"/>
        <w:gridCol w:w="870"/>
        <w:gridCol w:w="1020"/>
        <w:gridCol w:w="4147"/>
      </w:tblGrid>
      <w:tr w14:paraId="6D88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EE2C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tc>
        <w:tc>
          <w:tcPr>
            <w:tcW w:w="1125" w:type="dxa"/>
          </w:tcPr>
          <w:p w14:paraId="7846C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项目年度绩效目标</w:t>
            </w:r>
          </w:p>
        </w:tc>
        <w:tc>
          <w:tcPr>
            <w:tcW w:w="1200" w:type="dxa"/>
          </w:tcPr>
          <w:p w14:paraId="20BDF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一级指标</w:t>
            </w:r>
          </w:p>
        </w:tc>
        <w:tc>
          <w:tcPr>
            <w:tcW w:w="1725" w:type="dxa"/>
          </w:tcPr>
          <w:p w14:paraId="5B6028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二级指标</w:t>
            </w:r>
          </w:p>
        </w:tc>
        <w:tc>
          <w:tcPr>
            <w:tcW w:w="2010" w:type="dxa"/>
          </w:tcPr>
          <w:p w14:paraId="3945FA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三级指标</w:t>
            </w:r>
          </w:p>
        </w:tc>
        <w:tc>
          <w:tcPr>
            <w:tcW w:w="825" w:type="dxa"/>
          </w:tcPr>
          <w:p w14:paraId="02813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指标性质</w:t>
            </w:r>
          </w:p>
        </w:tc>
        <w:tc>
          <w:tcPr>
            <w:tcW w:w="900" w:type="dxa"/>
          </w:tcPr>
          <w:p w14:paraId="1774D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指标值</w:t>
            </w:r>
          </w:p>
        </w:tc>
        <w:tc>
          <w:tcPr>
            <w:tcW w:w="870" w:type="dxa"/>
          </w:tcPr>
          <w:p w14:paraId="0BB55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度量单位</w:t>
            </w:r>
          </w:p>
        </w:tc>
        <w:tc>
          <w:tcPr>
            <w:tcW w:w="1020" w:type="dxa"/>
          </w:tcPr>
          <w:p w14:paraId="1A26EF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指标属性</w:t>
            </w:r>
          </w:p>
        </w:tc>
        <w:tc>
          <w:tcPr>
            <w:tcW w:w="4147" w:type="dxa"/>
          </w:tcPr>
          <w:p w14:paraId="10C5A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指标内容</w:t>
            </w:r>
          </w:p>
        </w:tc>
      </w:tr>
      <w:tr w14:paraId="112B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restart"/>
          </w:tcPr>
          <w:p w14:paraId="154A69B4">
            <w:pPr>
              <w:keepNext w:val="0"/>
              <w:keepLines w:val="0"/>
              <w:widowControl/>
              <w:suppressLineNumbers w:val="0"/>
              <w:jc w:val="center"/>
              <w:textAlignment w:val="center"/>
              <w:rPr>
                <w:rFonts w:hint="eastAsia"/>
                <w:lang w:val="en-US" w:eastAsia="zh-CN"/>
              </w:rPr>
            </w:pPr>
          </w:p>
          <w:p w14:paraId="5D9400F6">
            <w:pPr>
              <w:bidi w:val="0"/>
              <w:rPr>
                <w:rFonts w:hint="eastAsia"/>
                <w:lang w:val="en-US" w:eastAsia="zh-CN"/>
              </w:rPr>
            </w:pPr>
          </w:p>
          <w:p w14:paraId="48B6AE1A">
            <w:pPr>
              <w:bidi w:val="0"/>
              <w:rPr>
                <w:rFonts w:hint="eastAsia"/>
                <w:lang w:val="en-US" w:eastAsia="zh-CN"/>
              </w:rPr>
            </w:pPr>
          </w:p>
          <w:p w14:paraId="3E8CB948">
            <w:pPr>
              <w:bidi w:val="0"/>
              <w:rPr>
                <w:rFonts w:hint="eastAsia"/>
                <w:lang w:val="en-US" w:eastAsia="zh-CN"/>
              </w:rPr>
            </w:pPr>
          </w:p>
          <w:p w14:paraId="54BED868">
            <w:pPr>
              <w:bidi w:val="0"/>
              <w:rPr>
                <w:rFonts w:hint="eastAsia"/>
                <w:lang w:val="en-US" w:eastAsia="zh-CN"/>
              </w:rPr>
            </w:pPr>
          </w:p>
          <w:p w14:paraId="400567F6">
            <w:pPr>
              <w:bidi w:val="0"/>
              <w:jc w:val="left"/>
              <w:rPr>
                <w:rFonts w:hint="eastAsia"/>
                <w:lang w:val="en-US" w:eastAsia="zh-CN"/>
              </w:rPr>
            </w:pPr>
            <w:r>
              <w:rPr>
                <w:rFonts w:hint="eastAsia"/>
                <w:lang w:val="en-US" w:eastAsia="zh-CN"/>
              </w:rPr>
              <w:t>离退休干部党组织工作经费</w:t>
            </w:r>
          </w:p>
        </w:tc>
        <w:tc>
          <w:tcPr>
            <w:tcW w:w="1125" w:type="dxa"/>
            <w:vMerge w:val="restart"/>
          </w:tcPr>
          <w:p w14:paraId="20E50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党支部工作经费8400元，书记补贴2*300*12=7200元，副书记、委员补贴6*200*12=14400元，合计30000元。</w:t>
            </w:r>
          </w:p>
        </w:tc>
        <w:tc>
          <w:tcPr>
            <w:tcW w:w="1200" w:type="dxa"/>
          </w:tcPr>
          <w:p w14:paraId="20A57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产出指标</w:t>
            </w:r>
          </w:p>
        </w:tc>
        <w:tc>
          <w:tcPr>
            <w:tcW w:w="1725" w:type="dxa"/>
          </w:tcPr>
          <w:p w14:paraId="7994A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数量指标</w:t>
            </w:r>
          </w:p>
        </w:tc>
        <w:tc>
          <w:tcPr>
            <w:tcW w:w="2010" w:type="dxa"/>
          </w:tcPr>
          <w:p w14:paraId="45982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退休支部</w:t>
            </w:r>
          </w:p>
        </w:tc>
        <w:tc>
          <w:tcPr>
            <w:tcW w:w="825" w:type="dxa"/>
          </w:tcPr>
          <w:p w14:paraId="0BCF0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w:t>
            </w:r>
          </w:p>
        </w:tc>
        <w:tc>
          <w:tcPr>
            <w:tcW w:w="900" w:type="dxa"/>
          </w:tcPr>
          <w:p w14:paraId="756DA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70" w:type="dxa"/>
          </w:tcPr>
          <w:p w14:paraId="66DDEA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bookmarkStart w:id="0" w:name="_GoBack"/>
            <w:bookmarkEnd w:id="0"/>
          </w:p>
        </w:tc>
        <w:tc>
          <w:tcPr>
            <w:tcW w:w="1020" w:type="dxa"/>
          </w:tcPr>
          <w:p w14:paraId="33E62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定量指标</w:t>
            </w:r>
          </w:p>
        </w:tc>
        <w:tc>
          <w:tcPr>
            <w:tcW w:w="4147" w:type="dxa"/>
          </w:tcPr>
          <w:p w14:paraId="217AF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70DE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33840D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22647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71D03C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产出指标</w:t>
            </w:r>
          </w:p>
        </w:tc>
        <w:tc>
          <w:tcPr>
            <w:tcW w:w="1725" w:type="dxa"/>
          </w:tcPr>
          <w:p w14:paraId="3A895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数量指标</w:t>
            </w:r>
          </w:p>
        </w:tc>
        <w:tc>
          <w:tcPr>
            <w:tcW w:w="2010" w:type="dxa"/>
          </w:tcPr>
          <w:p w14:paraId="210F7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书记</w:t>
            </w:r>
          </w:p>
        </w:tc>
        <w:tc>
          <w:tcPr>
            <w:tcW w:w="825" w:type="dxa"/>
          </w:tcPr>
          <w:p w14:paraId="561F4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w:t>
            </w:r>
          </w:p>
        </w:tc>
        <w:tc>
          <w:tcPr>
            <w:tcW w:w="900" w:type="dxa"/>
          </w:tcPr>
          <w:p w14:paraId="02EE92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70" w:type="dxa"/>
          </w:tcPr>
          <w:p w14:paraId="64261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人</w:t>
            </w:r>
          </w:p>
        </w:tc>
        <w:tc>
          <w:tcPr>
            <w:tcW w:w="1020" w:type="dxa"/>
          </w:tcPr>
          <w:p w14:paraId="5F619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定量指标</w:t>
            </w:r>
          </w:p>
        </w:tc>
        <w:tc>
          <w:tcPr>
            <w:tcW w:w="4147" w:type="dxa"/>
          </w:tcPr>
          <w:p w14:paraId="69FAB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08D8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71B75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1E7DB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21D52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产出指标</w:t>
            </w:r>
          </w:p>
        </w:tc>
        <w:tc>
          <w:tcPr>
            <w:tcW w:w="1725" w:type="dxa"/>
          </w:tcPr>
          <w:p w14:paraId="7C565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数量指标</w:t>
            </w:r>
          </w:p>
        </w:tc>
        <w:tc>
          <w:tcPr>
            <w:tcW w:w="2010" w:type="dxa"/>
          </w:tcPr>
          <w:p w14:paraId="1E905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副书记、委员</w:t>
            </w:r>
          </w:p>
        </w:tc>
        <w:tc>
          <w:tcPr>
            <w:tcW w:w="825" w:type="dxa"/>
          </w:tcPr>
          <w:p w14:paraId="0F1B1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w:t>
            </w:r>
          </w:p>
        </w:tc>
        <w:tc>
          <w:tcPr>
            <w:tcW w:w="900" w:type="dxa"/>
          </w:tcPr>
          <w:p w14:paraId="7B412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70" w:type="dxa"/>
          </w:tcPr>
          <w:p w14:paraId="2CD14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人</w:t>
            </w:r>
          </w:p>
        </w:tc>
        <w:tc>
          <w:tcPr>
            <w:tcW w:w="1020" w:type="dxa"/>
          </w:tcPr>
          <w:p w14:paraId="277F0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定量指标</w:t>
            </w:r>
          </w:p>
        </w:tc>
        <w:tc>
          <w:tcPr>
            <w:tcW w:w="4147" w:type="dxa"/>
          </w:tcPr>
          <w:p w14:paraId="1BBB6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683A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3EF5D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7CDA1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5CDEE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产出指标</w:t>
            </w:r>
          </w:p>
        </w:tc>
        <w:tc>
          <w:tcPr>
            <w:tcW w:w="1725" w:type="dxa"/>
          </w:tcPr>
          <w:p w14:paraId="3536D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010" w:type="dxa"/>
          </w:tcPr>
          <w:p w14:paraId="57532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2026年</w:t>
            </w:r>
          </w:p>
        </w:tc>
        <w:tc>
          <w:tcPr>
            <w:tcW w:w="825" w:type="dxa"/>
          </w:tcPr>
          <w:p w14:paraId="017DCB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w:t>
            </w:r>
          </w:p>
        </w:tc>
        <w:tc>
          <w:tcPr>
            <w:tcW w:w="900" w:type="dxa"/>
          </w:tcPr>
          <w:p w14:paraId="74ACA3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70" w:type="dxa"/>
          </w:tcPr>
          <w:p w14:paraId="74F67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w:t>
            </w:r>
          </w:p>
        </w:tc>
        <w:tc>
          <w:tcPr>
            <w:tcW w:w="1020" w:type="dxa"/>
          </w:tcPr>
          <w:p w14:paraId="2608F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定量指标</w:t>
            </w:r>
          </w:p>
        </w:tc>
        <w:tc>
          <w:tcPr>
            <w:tcW w:w="4147" w:type="dxa"/>
          </w:tcPr>
          <w:p w14:paraId="27DB9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2FB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46915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3F9C6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644CB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效益指标</w:t>
            </w:r>
          </w:p>
        </w:tc>
        <w:tc>
          <w:tcPr>
            <w:tcW w:w="1725" w:type="dxa"/>
          </w:tcPr>
          <w:p w14:paraId="39BF39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w:t>
            </w:r>
          </w:p>
        </w:tc>
        <w:tc>
          <w:tcPr>
            <w:tcW w:w="2010" w:type="dxa"/>
          </w:tcPr>
          <w:p w14:paraId="6C986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离退休干部党组织工作的开展</w:t>
            </w:r>
          </w:p>
        </w:tc>
        <w:tc>
          <w:tcPr>
            <w:tcW w:w="825" w:type="dxa"/>
          </w:tcPr>
          <w:p w14:paraId="56864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00" w:type="dxa"/>
          </w:tcPr>
          <w:p w14:paraId="2EE30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70" w:type="dxa"/>
          </w:tcPr>
          <w:p w14:paraId="10AF7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20" w:type="dxa"/>
          </w:tcPr>
          <w:p w14:paraId="23E49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定量指标</w:t>
            </w:r>
          </w:p>
        </w:tc>
        <w:tc>
          <w:tcPr>
            <w:tcW w:w="4147" w:type="dxa"/>
          </w:tcPr>
          <w:p w14:paraId="1CBE1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5C00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2D7CD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5435A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38C76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满意度指标</w:t>
            </w:r>
          </w:p>
        </w:tc>
        <w:tc>
          <w:tcPr>
            <w:tcW w:w="1725" w:type="dxa"/>
          </w:tcPr>
          <w:p w14:paraId="050E3A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w:t>
            </w:r>
          </w:p>
        </w:tc>
        <w:tc>
          <w:tcPr>
            <w:tcW w:w="2010" w:type="dxa"/>
          </w:tcPr>
          <w:p w14:paraId="32B47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离退休党员干部满意度</w:t>
            </w:r>
          </w:p>
        </w:tc>
        <w:tc>
          <w:tcPr>
            <w:tcW w:w="825" w:type="dxa"/>
          </w:tcPr>
          <w:p w14:paraId="36719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00" w:type="dxa"/>
          </w:tcPr>
          <w:p w14:paraId="628C0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70" w:type="dxa"/>
          </w:tcPr>
          <w:p w14:paraId="0C6E7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20" w:type="dxa"/>
          </w:tcPr>
          <w:p w14:paraId="262DC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定量指标</w:t>
            </w:r>
          </w:p>
        </w:tc>
        <w:tc>
          <w:tcPr>
            <w:tcW w:w="4147" w:type="dxa"/>
          </w:tcPr>
          <w:p w14:paraId="79D375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0D71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773D5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29ED8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7BD82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成本指标</w:t>
            </w:r>
          </w:p>
        </w:tc>
        <w:tc>
          <w:tcPr>
            <w:tcW w:w="1725" w:type="dxa"/>
          </w:tcPr>
          <w:p w14:paraId="5B550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010" w:type="dxa"/>
          </w:tcPr>
          <w:p w14:paraId="5BE63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党支部工作经费</w:t>
            </w:r>
          </w:p>
        </w:tc>
        <w:tc>
          <w:tcPr>
            <w:tcW w:w="825" w:type="dxa"/>
          </w:tcPr>
          <w:p w14:paraId="0A253E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w:t>
            </w:r>
          </w:p>
        </w:tc>
        <w:tc>
          <w:tcPr>
            <w:tcW w:w="900" w:type="dxa"/>
          </w:tcPr>
          <w:p w14:paraId="0C706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8400</w:t>
            </w:r>
          </w:p>
        </w:tc>
        <w:tc>
          <w:tcPr>
            <w:tcW w:w="870" w:type="dxa"/>
          </w:tcPr>
          <w:p w14:paraId="299DE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020" w:type="dxa"/>
          </w:tcPr>
          <w:p w14:paraId="646A2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定量指标</w:t>
            </w:r>
          </w:p>
        </w:tc>
        <w:tc>
          <w:tcPr>
            <w:tcW w:w="4147" w:type="dxa"/>
          </w:tcPr>
          <w:p w14:paraId="539EAB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6724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38DA2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16662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304DE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成本指标</w:t>
            </w:r>
          </w:p>
        </w:tc>
        <w:tc>
          <w:tcPr>
            <w:tcW w:w="1725" w:type="dxa"/>
          </w:tcPr>
          <w:p w14:paraId="6D1CA9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010" w:type="dxa"/>
          </w:tcPr>
          <w:p w14:paraId="74226A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书记工作补贴</w:t>
            </w:r>
          </w:p>
        </w:tc>
        <w:tc>
          <w:tcPr>
            <w:tcW w:w="825" w:type="dxa"/>
          </w:tcPr>
          <w:p w14:paraId="524F8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w:t>
            </w:r>
          </w:p>
        </w:tc>
        <w:tc>
          <w:tcPr>
            <w:tcW w:w="900" w:type="dxa"/>
          </w:tcPr>
          <w:p w14:paraId="2C5B83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2*300*12=7200</w:t>
            </w:r>
          </w:p>
        </w:tc>
        <w:tc>
          <w:tcPr>
            <w:tcW w:w="870" w:type="dxa"/>
          </w:tcPr>
          <w:p w14:paraId="17B5A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020" w:type="dxa"/>
          </w:tcPr>
          <w:p w14:paraId="3DB5C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定量指标</w:t>
            </w:r>
          </w:p>
        </w:tc>
        <w:tc>
          <w:tcPr>
            <w:tcW w:w="4147" w:type="dxa"/>
          </w:tcPr>
          <w:p w14:paraId="150D3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r w14:paraId="054F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Merge w:val="continue"/>
          </w:tcPr>
          <w:p w14:paraId="65057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vMerge w:val="continue"/>
          </w:tcPr>
          <w:p w14:paraId="0B50A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Pr>
          <w:p w14:paraId="427D1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成本指标</w:t>
            </w:r>
          </w:p>
        </w:tc>
        <w:tc>
          <w:tcPr>
            <w:tcW w:w="1725" w:type="dxa"/>
          </w:tcPr>
          <w:p w14:paraId="56C55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2010" w:type="dxa"/>
          </w:tcPr>
          <w:p w14:paraId="5440C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副书记、委员工作补贴</w:t>
            </w:r>
          </w:p>
        </w:tc>
        <w:tc>
          <w:tcPr>
            <w:tcW w:w="825" w:type="dxa"/>
          </w:tcPr>
          <w:p w14:paraId="3A454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w:t>
            </w:r>
          </w:p>
        </w:tc>
        <w:tc>
          <w:tcPr>
            <w:tcW w:w="900" w:type="dxa"/>
          </w:tcPr>
          <w:p w14:paraId="489BE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6*200*12=14400</w:t>
            </w:r>
          </w:p>
        </w:tc>
        <w:tc>
          <w:tcPr>
            <w:tcW w:w="870" w:type="dxa"/>
          </w:tcPr>
          <w:p w14:paraId="453A5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020" w:type="dxa"/>
          </w:tcPr>
          <w:p w14:paraId="3D8AC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定量指标</w:t>
            </w:r>
          </w:p>
        </w:tc>
        <w:tc>
          <w:tcPr>
            <w:tcW w:w="4147" w:type="dxa"/>
          </w:tcPr>
          <w:p w14:paraId="41DD1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2026年离退休干部党组织工作经费预算</w:t>
            </w:r>
          </w:p>
        </w:tc>
      </w:tr>
    </w:tbl>
    <w:p w14:paraId="7EC0B0D3">
      <w:pPr>
        <w:pStyle w:val="2"/>
        <w:numPr>
          <w:ilvl w:val="0"/>
          <w:numId w:val="0"/>
        </w:numPr>
        <w:rPr>
          <w:rFonts w:hint="eastAsia"/>
          <w:lang w:eastAsia="zh-CN"/>
        </w:rPr>
      </w:pPr>
    </w:p>
    <w:sectPr>
      <w:headerReference r:id="rId3" w:type="default"/>
      <w:pgSz w:w="16838" w:h="11906" w:orient="landscape"/>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8E9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168A0"/>
    <w:rsid w:val="5206055C"/>
    <w:rsid w:val="5B445628"/>
    <w:rsid w:val="6141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4</Pages>
  <Words>1527</Words>
  <Characters>1745</Characters>
  <Lines>0</Lines>
  <Paragraphs>0</Paragraphs>
  <TotalTime>1</TotalTime>
  <ScaleCrop>false</ScaleCrop>
  <LinksUpToDate>false</LinksUpToDate>
  <CharactersWithSpaces>1746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2026-04-01T07:28:00Z</dcterms:created>
  <dc:creator>LTH</dc:creator>
  <cp:lastModifiedBy>钱多多</cp:lastModifiedBy>
  <dcterms:modified xsi:type="dcterms:W3CDTF">2026-04-01T09:36:46Z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eyJoZGlkIjoiYjc2OTg5ZWEwNTk4MGZjNTIxNjE0Yzc5YmJhY2NhZjgiLCJ1c2VySWQiOiI0NjQ0MTc2NTkifQ==</vt:lpwstr>
  </property>
  <property fmtid="{D5CDD505-2E9C-101B-9397-08002B2CF9AE}" pid="4" name="ICV">
    <vt:lpwstr>53372A9490A54BE3AAA6E0E8DD7A2AB5_12</vt:lpwstr>
  </property>
</Properties>
</file>