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华文中宋" w:eastAsia="方正小标宋简体"/>
          <w:spacing w:val="14"/>
          <w:sz w:val="44"/>
          <w:szCs w:val="44"/>
        </w:rPr>
      </w:pPr>
    </w:p>
    <w:p>
      <w:pPr>
        <w:widowControl/>
        <w:numPr>
          <w:ilvl w:val="0"/>
          <w:numId w:val="0"/>
        </w:numPr>
        <w:jc w:val="center"/>
        <w:rPr>
          <w:rFonts w:hint="eastAsia" w:ascii="方正小标宋简体" w:hAnsi="华文中宋" w:eastAsia="方正小标宋简体"/>
          <w:spacing w:val="14"/>
          <w:sz w:val="36"/>
          <w:szCs w:val="36"/>
        </w:rPr>
      </w:pPr>
      <w:r>
        <w:rPr>
          <w:rFonts w:hint="eastAsia" w:ascii="方正小标宋简体" w:eastAsia="方正小标宋简体"/>
          <w:sz w:val="36"/>
          <w:szCs w:val="36"/>
        </w:rPr>
        <w:t>昆明市呈贡区第四幼儿园202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w:t>
      </w:r>
      <w:r>
        <w:rPr>
          <w:rFonts w:hint="eastAsia" w:ascii="Times New Roman" w:hAnsi="Times New Roman" w:eastAsia="仿宋_GB2312" w:cs="Times New Roman"/>
          <w:kern w:val="0"/>
          <w:sz w:val="30"/>
          <w:szCs w:val="30"/>
          <w:lang w:val="en-US" w:eastAsia="zh-CN"/>
        </w:rPr>
        <w:t>（</w:t>
      </w:r>
      <w:r>
        <w:rPr>
          <w:rFonts w:hint="eastAsia" w:ascii="方正小标宋简体" w:hAnsi="Times New Roman" w:eastAsia="方正小标宋简体" w:cs="Times New Roman"/>
          <w:sz w:val="36"/>
          <w:szCs w:val="36"/>
          <w:lang w:val="en-US" w:eastAsia="zh-CN"/>
        </w:rPr>
        <w:t>结转）2025年学前教育发展（漫城都荟幼儿园）中央资金</w:t>
      </w:r>
      <w:r>
        <w:rPr>
          <w:rFonts w:hint="eastAsia" w:ascii="方正小标宋简体" w:hAnsi="华文中宋" w:eastAsia="方正小标宋简体"/>
          <w:spacing w:val="14"/>
          <w:sz w:val="36"/>
          <w:szCs w:val="36"/>
        </w:rPr>
        <w:t>项目</w:t>
      </w:r>
    </w:p>
    <w:p>
      <w:pPr>
        <w:snapToGrid w:val="0"/>
        <w:spacing w:line="570" w:lineRule="exact"/>
        <w:jc w:val="center"/>
        <w:rPr>
          <w:rFonts w:hint="eastAsia" w:ascii="方正小标宋简体" w:hAnsi="华文中宋" w:eastAsia="方正小标宋简体"/>
          <w:spacing w:val="14"/>
          <w:sz w:val="44"/>
          <w:szCs w:val="44"/>
        </w:rPr>
      </w:pP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numPr>
          <w:ilvl w:val="0"/>
          <w:numId w:val="0"/>
        </w:numPr>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（结转）2025年学前教育发展（漫城都荟幼儿园）中央资金</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widowControl/>
        <w:numPr>
          <w:ilvl w:val="0"/>
          <w:numId w:val="0"/>
        </w:numPr>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根据《云南省财政厅云南省教育厅关于提前下达2025年支持学前教育发展中央资金的通知》（云财教〔2024〕325号），经市人民政府批准，现下达你县（市）区2025年支持学前教育发展中央资金万元（详见附件1）。此款2025年功能分类科目收入列入“1100245教育共同财政事权转移支付收入”，支出功能分类科目列入“2050201学前教育”；县（市）区政府经济分类科目列入“51301上下级政府间转移性支出”，市直属学校根据项目性质据实列支。具体事项通知如下：</w:t>
      </w:r>
    </w:p>
    <w:p>
      <w:pPr>
        <w:widowControl/>
        <w:numPr>
          <w:ilvl w:val="0"/>
          <w:numId w:val="0"/>
        </w:numPr>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一、本次下达资金主要用于支持地方补足普惠性资源短板，新建改扩建、改造提升公办幼儿园、学前教育普及普惠县创建和基地园的奖补。引导和支持各州（市）、县（市）区扩充学前教育资源，提高学前教育办园质量和水平。</w:t>
      </w:r>
    </w:p>
    <w:p>
      <w:pPr>
        <w:widowControl/>
        <w:numPr>
          <w:ilvl w:val="0"/>
          <w:numId w:val="0"/>
        </w:numPr>
        <w:ind w:firstLine="600" w:firstLineChars="200"/>
        <w:jc w:val="left"/>
        <w:rPr>
          <w:rFonts w:hint="eastAsia" w:ascii="黑体" w:hAnsi="黑体" w:eastAsia="黑体" w:cs="黑体"/>
          <w:kern w:val="0"/>
          <w:sz w:val="30"/>
          <w:szCs w:val="30"/>
        </w:rPr>
      </w:pPr>
      <w:r>
        <w:rPr>
          <w:rFonts w:hint="eastAsia" w:ascii="Times New Roman" w:hAnsi="Times New Roman" w:eastAsia="仿宋_GB2312" w:cs="Times New Roman"/>
          <w:kern w:val="0"/>
          <w:sz w:val="30"/>
          <w:szCs w:val="30"/>
          <w:lang w:val="en-US" w:eastAsia="zh-CN"/>
        </w:rPr>
        <w:t>二、各县（市）区要结合区域内学前教育资源布局和适龄儿童情况，坚持全面规划、合理布局、分期实施的原则，科学合理确定年度具体支持项目，优先支持成熟度高、具备开工条件的项目。同时，要统筹盘活基础教育资源支持乡村幼儿园建设，加大县城、城乡结合部、城区幼儿园的建设力度，切实扩大普惠性学前教育资源。</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hint="eastAsia" w:eastAsia="仿宋_GB2312"/>
          <w:kern w:val="0"/>
          <w:sz w:val="30"/>
          <w:szCs w:val="30"/>
        </w:rPr>
      </w:pPr>
      <w:r>
        <w:rPr>
          <w:rFonts w:hint="eastAsia" w:eastAsia="仿宋_GB2312"/>
          <w:kern w:val="0"/>
          <w:sz w:val="30"/>
          <w:szCs w:val="30"/>
        </w:rPr>
        <w:t>单位名称：昆明市呈贡区第四幼儿园</w:t>
      </w:r>
    </w:p>
    <w:p>
      <w:pPr>
        <w:widowControl/>
        <w:ind w:firstLine="600" w:firstLineChars="200"/>
        <w:jc w:val="left"/>
        <w:rPr>
          <w:rFonts w:hint="eastAsia" w:eastAsia="仿宋_GB2312"/>
          <w:kern w:val="0"/>
          <w:sz w:val="30"/>
          <w:szCs w:val="30"/>
        </w:rPr>
      </w:pPr>
      <w:r>
        <w:rPr>
          <w:rFonts w:hint="eastAsia" w:eastAsia="仿宋_GB2312"/>
          <w:kern w:val="0"/>
          <w:sz w:val="30"/>
          <w:szCs w:val="30"/>
        </w:rPr>
        <w:t>组织机构代码：MB0W4141-8</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rPr>
        <w:t>地址：云南省昆明市呈贡区雨花街道</w:t>
      </w:r>
      <w:r>
        <w:rPr>
          <w:rFonts w:hint="eastAsia" w:eastAsia="仿宋_GB2312"/>
          <w:kern w:val="0"/>
          <w:sz w:val="30"/>
          <w:szCs w:val="30"/>
          <w:lang w:eastAsia="zh-CN"/>
        </w:rPr>
        <w:t>鹏欣漫城都荟小区内</w:t>
      </w:r>
    </w:p>
    <w:p>
      <w:pPr>
        <w:widowControl/>
        <w:ind w:firstLine="600" w:firstLineChars="200"/>
        <w:jc w:val="left"/>
        <w:rPr>
          <w:rFonts w:hint="eastAsia" w:eastAsia="仿宋_GB2312"/>
          <w:kern w:val="0"/>
          <w:sz w:val="32"/>
          <w:szCs w:val="32"/>
        </w:rPr>
      </w:pPr>
      <w:r>
        <w:rPr>
          <w:rFonts w:hint="eastAsia" w:eastAsia="仿宋_GB2312"/>
          <w:kern w:val="0"/>
          <w:sz w:val="30"/>
          <w:szCs w:val="30"/>
        </w:rPr>
        <w:t>联系电话：</w:t>
      </w:r>
      <w:r>
        <w:rPr>
          <w:rFonts w:eastAsia="仿宋_GB2312"/>
          <w:kern w:val="0"/>
          <w:sz w:val="32"/>
          <w:szCs w:val="32"/>
        </w:rPr>
        <w:t>0871</w:t>
      </w:r>
      <w:r>
        <w:rPr>
          <w:rFonts w:hint="eastAsia" w:eastAsia="仿宋_GB2312"/>
          <w:kern w:val="0"/>
          <w:sz w:val="32"/>
          <w:szCs w:val="32"/>
        </w:rPr>
        <w:t>-67435078</w:t>
      </w:r>
    </w:p>
    <w:p>
      <w:pPr>
        <w:widowControl/>
        <w:ind w:firstLine="600" w:firstLineChars="200"/>
        <w:jc w:val="left"/>
        <w:rPr>
          <w:rFonts w:hint="eastAsia" w:eastAsia="仿宋_GB2312"/>
          <w:kern w:val="0"/>
          <w:sz w:val="30"/>
          <w:szCs w:val="30"/>
        </w:rPr>
      </w:pPr>
      <w:r>
        <w:rPr>
          <w:rFonts w:hint="eastAsia" w:eastAsia="仿宋_GB2312"/>
          <w:kern w:val="0"/>
          <w:sz w:val="30"/>
          <w:szCs w:val="30"/>
        </w:rPr>
        <w:t>法人代表：卓蓉霞</w:t>
      </w:r>
    </w:p>
    <w:p>
      <w:pPr>
        <w:widowControl/>
        <w:ind w:firstLine="600" w:firstLineChars="200"/>
        <w:jc w:val="left"/>
        <w:rPr>
          <w:rFonts w:hint="eastAsia" w:eastAsia="仿宋_GB2312"/>
          <w:kern w:val="0"/>
          <w:sz w:val="30"/>
          <w:szCs w:val="30"/>
        </w:rPr>
      </w:pPr>
      <w:r>
        <w:rPr>
          <w:rFonts w:hint="eastAsia" w:eastAsia="仿宋_GB2312"/>
          <w:kern w:val="0"/>
          <w:sz w:val="30"/>
          <w:szCs w:val="30"/>
        </w:rPr>
        <w:t>经费来源：全额财政补助</w:t>
      </w:r>
    </w:p>
    <w:p>
      <w:pPr>
        <w:widowControl/>
        <w:ind w:firstLine="600" w:firstLineChars="200"/>
        <w:jc w:val="left"/>
        <w:rPr>
          <w:rFonts w:hint="eastAsia" w:eastAsia="仿宋_GB2312"/>
          <w:kern w:val="0"/>
          <w:sz w:val="30"/>
          <w:szCs w:val="30"/>
        </w:rPr>
      </w:pPr>
      <w:r>
        <w:rPr>
          <w:rFonts w:hint="eastAsia" w:eastAsia="仿宋_GB2312"/>
          <w:kern w:val="0"/>
          <w:sz w:val="30"/>
          <w:szCs w:val="30"/>
        </w:rPr>
        <w:t>单位概况：</w:t>
      </w:r>
      <w:r>
        <w:rPr>
          <w:rFonts w:hint="eastAsia" w:ascii="仿宋_GB2312" w:hAnsi="仿宋_GB2312" w:eastAsia="仿宋_GB2312" w:cs="仿宋_GB2312"/>
          <w:sz w:val="32"/>
          <w:szCs w:val="32"/>
        </w:rPr>
        <w:t>昆明市呈贡区第四幼儿园政府会计制度，单位基本性质为财政补助事业单位，单位属于学前教育。</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rPr>
        <w:t>昆财教[2025]87号文 昆明市财政局 昆明市教体局 关于下达2025年支持学前教育发展中央资金。2025年学前教育发展（漫城都荟幼儿园）中央资金，含物质环境创设、功能室（区）建设、制度文化建设，含教学游戏设备、生活护理设备、户外运动设备、安全防护设备、办公后勤设备等。</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pPr>
        <w:widowControl/>
        <w:spacing w:line="560" w:lineRule="exact"/>
        <w:ind w:firstLine="600" w:firstLineChars="200"/>
        <w:jc w:val="left"/>
        <w:rPr>
          <w:rFonts w:hint="eastAsia" w:eastAsia="仿宋_GB2312"/>
          <w:kern w:val="0"/>
          <w:sz w:val="32"/>
          <w:szCs w:val="32"/>
          <w:lang w:eastAsia="zh-CN"/>
        </w:rPr>
      </w:pPr>
      <w:r>
        <w:rPr>
          <w:rFonts w:hint="eastAsia" w:eastAsia="仿宋_GB2312"/>
          <w:kern w:val="0"/>
          <w:sz w:val="30"/>
          <w:szCs w:val="30"/>
        </w:rPr>
        <w:t>我园</w:t>
      </w: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年预算</w:t>
      </w:r>
      <w:r>
        <w:rPr>
          <w:rFonts w:hint="eastAsia" w:eastAsia="仿宋_GB2312"/>
          <w:kern w:val="0"/>
          <w:sz w:val="32"/>
          <w:szCs w:val="32"/>
          <w:lang w:eastAsia="zh-CN"/>
        </w:rPr>
        <w:t>增加</w:t>
      </w:r>
      <w:r>
        <w:rPr>
          <w:rFonts w:hint="eastAsia" w:eastAsia="仿宋_GB2312"/>
          <w:kern w:val="0"/>
          <w:sz w:val="32"/>
          <w:szCs w:val="32"/>
        </w:rPr>
        <w:t>设施设备</w:t>
      </w:r>
      <w:r>
        <w:rPr>
          <w:rFonts w:hint="eastAsia" w:eastAsia="仿宋_GB2312"/>
          <w:kern w:val="0"/>
          <w:sz w:val="32"/>
          <w:szCs w:val="32"/>
          <w:lang w:eastAsia="zh-CN"/>
        </w:rPr>
        <w:t>及家具用具。</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40" w:firstLineChars="200"/>
        <w:jc w:val="left"/>
        <w:rPr>
          <w:rFonts w:hint="eastAsia" w:ascii="黑体" w:hAnsi="黑体" w:eastAsia="仿宋_GB2312" w:cs="黑体"/>
          <w:kern w:val="0"/>
          <w:sz w:val="30"/>
          <w:szCs w:val="30"/>
        </w:rPr>
      </w:pPr>
      <w:r>
        <w:rPr>
          <w:rFonts w:hint="eastAsia" w:eastAsia="仿宋_GB2312"/>
          <w:kern w:val="0"/>
          <w:sz w:val="32"/>
          <w:szCs w:val="32"/>
        </w:rPr>
        <w:t>资金足额到位，专款专用，学校教学良性发展</w:t>
      </w:r>
      <w:r>
        <w:rPr>
          <w:rFonts w:hint="eastAsia" w:eastAsia="仿宋_GB2312"/>
          <w:kern w:val="0"/>
          <w:sz w:val="30"/>
          <w:szCs w:val="30"/>
        </w:rPr>
        <w:t>。</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numPr>
          <w:ilvl w:val="0"/>
          <w:numId w:val="0"/>
        </w:numPr>
        <w:ind w:firstLine="640" w:firstLineChars="200"/>
        <w:jc w:val="left"/>
        <w:rPr>
          <w:rFonts w:hint="default" w:ascii="黑体" w:hAnsi="黑体" w:eastAsia="仿宋_GB2312" w:cs="黑体"/>
          <w:kern w:val="0"/>
          <w:sz w:val="30"/>
          <w:szCs w:val="30"/>
          <w:lang w:val="en-US" w:eastAsia="zh-CN"/>
        </w:rPr>
      </w:pPr>
      <w:r>
        <w:rPr>
          <w:rFonts w:hint="eastAsia" w:ascii="Times New Roman" w:hAnsi="Times New Roman" w:eastAsia="仿宋_GB2312" w:cs="Times New Roman"/>
          <w:kern w:val="0"/>
          <w:sz w:val="32"/>
          <w:szCs w:val="32"/>
          <w:lang w:eastAsia="zh-CN"/>
        </w:rPr>
        <w:t>（结转）</w:t>
      </w:r>
      <w:r>
        <w:rPr>
          <w:rFonts w:hint="eastAsia" w:ascii="Times New Roman" w:hAnsi="Times New Roman" w:eastAsia="仿宋_GB2312" w:cs="Times New Roman"/>
          <w:kern w:val="0"/>
          <w:sz w:val="32"/>
          <w:szCs w:val="32"/>
        </w:rPr>
        <w:t>2025年学前教育发展（漫城都荟幼儿园）中央资金，含物质环境创设、功能室（区）建设、制度文化建设，含教学游戏设备、生活护理设备、户外运动设备、安全防护设备、办公后勤设备等。</w:t>
      </w:r>
      <w:r>
        <w:rPr>
          <w:rFonts w:hint="eastAsia" w:eastAsia="仿宋_GB2312" w:cs="Times New Roman"/>
          <w:kern w:val="0"/>
          <w:sz w:val="32"/>
          <w:szCs w:val="32"/>
          <w:lang w:eastAsia="zh-CN"/>
        </w:rPr>
        <w:t>我园计划增加一些监控硬盘设备用于园区内监控设备储存及三组办公桌椅。</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40" w:firstLineChars="200"/>
        <w:jc w:val="left"/>
        <w:rPr>
          <w:rFonts w:hint="eastAsia" w:eastAsia="仿宋_GB2312"/>
          <w:kern w:val="0"/>
          <w:sz w:val="30"/>
          <w:szCs w:val="30"/>
        </w:rPr>
      </w:pPr>
      <w:r>
        <w:rPr>
          <w:rFonts w:hint="eastAsia" w:eastAsia="仿宋_GB2312" w:cs="Times New Roman"/>
          <w:kern w:val="0"/>
          <w:sz w:val="32"/>
          <w:szCs w:val="32"/>
          <w:lang w:eastAsia="zh-CN"/>
        </w:rPr>
        <w:t>增加一些监控硬盘设备用于园区内监控设备储存及三组办公桌椅</w:t>
      </w:r>
      <w:r>
        <w:rPr>
          <w:rFonts w:hint="eastAsia" w:ascii="仿宋_GB2312" w:hAnsi="黑体" w:eastAsia="仿宋_GB2312" w:cs="黑体"/>
          <w:kern w:val="0"/>
          <w:sz w:val="32"/>
          <w:szCs w:val="32"/>
          <w:lang w:eastAsia="zh-CN"/>
        </w:rPr>
        <w:t>。改善办园条件、提升保教质量、优化育人环境、</w:t>
      </w:r>
      <w:bookmarkStart w:id="0" w:name="_GoBack"/>
      <w:bookmarkEnd w:id="0"/>
      <w:r>
        <w:rPr>
          <w:rFonts w:hint="eastAsia" w:ascii="仿宋_GB2312" w:hAnsi="黑体" w:eastAsia="仿宋_GB2312" w:cs="黑体"/>
          <w:kern w:val="0"/>
          <w:sz w:val="32"/>
          <w:szCs w:val="32"/>
          <w:lang w:eastAsia="zh-CN"/>
        </w:rPr>
        <w:t>夯实学前教育发展基础，全面提升办园水平。</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pPr w:leftFromText="180" w:rightFromText="180" w:vertAnchor="text" w:horzAnchor="page" w:tblpX="1611" w:tblpY="687"/>
        <w:tblOverlap w:val="never"/>
        <w:tblW w:w="5000" w:type="pct"/>
        <w:tblInd w:w="0" w:type="dxa"/>
        <w:tblLayout w:type="autofit"/>
        <w:tblCellMar>
          <w:top w:w="0" w:type="dxa"/>
          <w:left w:w="108" w:type="dxa"/>
          <w:bottom w:w="0" w:type="dxa"/>
          <w:right w:w="108" w:type="dxa"/>
        </w:tblCellMar>
      </w:tblPr>
      <w:tblGrid>
        <w:gridCol w:w="816"/>
        <w:gridCol w:w="2008"/>
        <w:gridCol w:w="756"/>
        <w:gridCol w:w="419"/>
        <w:gridCol w:w="401"/>
        <w:gridCol w:w="396"/>
        <w:gridCol w:w="396"/>
        <w:gridCol w:w="1392"/>
        <w:gridCol w:w="504"/>
        <w:gridCol w:w="504"/>
        <w:gridCol w:w="936"/>
      </w:tblGrid>
      <w:tr>
        <w:trPr>
          <w:trHeight w:val="855"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0"/>
              </w:numPr>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（结转）2025年学前教育发展（漫城都荟幼儿园）中央资金</w:t>
            </w:r>
          </w:p>
          <w:p>
            <w:pPr>
              <w:widowControl/>
              <w:jc w:val="center"/>
              <w:rPr>
                <w:rFonts w:ascii="宋体" w:hAnsi="宋体" w:cs="Arial"/>
                <w:color w:val="000000"/>
                <w:kern w:val="0"/>
                <w:sz w:val="18"/>
                <w:szCs w:val="18"/>
              </w:rPr>
            </w:pPr>
          </w:p>
        </w:tc>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昆财教[2025]87号文 昆明市财政局 昆明市教体局 关于下达2025年支持学前教育发展中央资金。2025年学前教育发展（漫城都荟幼儿园）中央资金，含物质环境创设、功能室（区）建设、制度文化建设，含教学游戏设备、生活护理设备、户外运动设备、安全防护设备、办公后勤设备等。</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2025年学前教育发展（漫城都荟幼儿园）中央资金，含物质环境创设、功能室（区）建设、制度文化建设，含教学游戏设备、生活护理设备、户外运动设备、安全防护设备、办公后勤设备等。</w:t>
            </w:r>
          </w:p>
        </w:tc>
        <w:tc>
          <w:tcPr>
            <w:tcW w:w="276" w:type="pct"/>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产出指标</w:t>
            </w:r>
          </w:p>
        </w:tc>
        <w:tc>
          <w:tcPr>
            <w:tcW w:w="265" w:type="pct"/>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数量指标</w:t>
            </w:r>
          </w:p>
        </w:tc>
        <w:tc>
          <w:tcPr>
            <w:tcW w:w="240"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改善办园条件</w:t>
            </w:r>
          </w:p>
        </w:tc>
        <w:tc>
          <w:tcPr>
            <w:tcW w:w="232" w:type="pct"/>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867" w:type="pct"/>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100</w:t>
            </w:r>
          </w:p>
        </w:tc>
        <w:tc>
          <w:tcPr>
            <w:tcW w:w="325" w:type="pct"/>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25" w:type="pct"/>
            <w:tcBorders>
              <w:top w:val="single" w:color="000000" w:sz="4" w:space="0"/>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定量指标</w:t>
            </w:r>
          </w:p>
        </w:tc>
        <w:tc>
          <w:tcPr>
            <w:tcW w:w="338" w:type="pc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昆财教[2025]87号文 昆明市财政局 昆明市教体局 关于下达2025年支持学前教育发展中央资金。2025年学前教育发展（漫城都荟幼儿园）中央资金，含物质环境创设、功能室（区）建设、制度文化建设，含教学游戏设备、生活护理设备、户外运动设备、安全防护设备、办公后勤设备等。</w:t>
            </w:r>
          </w:p>
        </w:tc>
      </w:tr>
      <w:tr>
        <w:tblPrEx>
          <w:tblCellMar>
            <w:top w:w="0" w:type="dxa"/>
            <w:left w:w="108" w:type="dxa"/>
            <w:bottom w:w="0" w:type="dxa"/>
            <w:right w:w="108" w:type="dxa"/>
          </w:tblCellMar>
        </w:tblPrEx>
        <w:trPr>
          <w:trHeight w:val="288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276"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产出指标</w:t>
            </w:r>
          </w:p>
        </w:tc>
        <w:tc>
          <w:tcPr>
            <w:tcW w:w="26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质量指标</w:t>
            </w:r>
          </w:p>
        </w:tc>
        <w:tc>
          <w:tcPr>
            <w:tcW w:w="240"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项目验收率</w:t>
            </w:r>
          </w:p>
        </w:tc>
        <w:tc>
          <w:tcPr>
            <w:tcW w:w="232"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867"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定量指标</w:t>
            </w:r>
          </w:p>
        </w:tc>
        <w:tc>
          <w:tcPr>
            <w:tcW w:w="338" w:type="pc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项目验收100%达标</w:t>
            </w:r>
          </w:p>
        </w:tc>
      </w:tr>
      <w:tr>
        <w:tblPrEx>
          <w:tblCellMar>
            <w:top w:w="0" w:type="dxa"/>
            <w:left w:w="108" w:type="dxa"/>
            <w:bottom w:w="0" w:type="dxa"/>
            <w:right w:w="108" w:type="dxa"/>
          </w:tblCellMar>
        </w:tblPrEx>
        <w:trPr>
          <w:trHeight w:val="2548"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276"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产出指标</w:t>
            </w:r>
          </w:p>
        </w:tc>
        <w:tc>
          <w:tcPr>
            <w:tcW w:w="26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时效指标</w:t>
            </w:r>
          </w:p>
        </w:tc>
        <w:tc>
          <w:tcPr>
            <w:tcW w:w="240"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补助资金当年到位率</w:t>
            </w:r>
          </w:p>
        </w:tc>
        <w:tc>
          <w:tcPr>
            <w:tcW w:w="232"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867"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定量指标</w:t>
            </w:r>
          </w:p>
        </w:tc>
        <w:tc>
          <w:tcPr>
            <w:tcW w:w="338" w:type="pc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补助资金当年到位率100%</w:t>
            </w:r>
          </w:p>
        </w:tc>
      </w:tr>
      <w:tr>
        <w:tblPrEx>
          <w:tblCellMar>
            <w:top w:w="0" w:type="dxa"/>
            <w:left w:w="108" w:type="dxa"/>
            <w:bottom w:w="0" w:type="dxa"/>
            <w:right w:w="108" w:type="dxa"/>
          </w:tblCellMar>
        </w:tblPrEx>
        <w:trPr>
          <w:trHeight w:val="85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276"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效益指标</w:t>
            </w:r>
          </w:p>
        </w:tc>
        <w:tc>
          <w:tcPr>
            <w:tcW w:w="26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社会效益指标</w:t>
            </w:r>
          </w:p>
        </w:tc>
        <w:tc>
          <w:tcPr>
            <w:tcW w:w="240"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改善办园条件</w:t>
            </w:r>
          </w:p>
        </w:tc>
        <w:tc>
          <w:tcPr>
            <w:tcW w:w="232"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&gt;=</w:t>
            </w:r>
          </w:p>
        </w:tc>
        <w:tc>
          <w:tcPr>
            <w:tcW w:w="867"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提高</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定性指标</w:t>
            </w:r>
          </w:p>
        </w:tc>
        <w:tc>
          <w:tcPr>
            <w:tcW w:w="338" w:type="pc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办园水平提高</w:t>
            </w:r>
          </w:p>
        </w:tc>
      </w:tr>
      <w:tr>
        <w:tblPrEx>
          <w:tblCellMar>
            <w:top w:w="0" w:type="dxa"/>
            <w:left w:w="108" w:type="dxa"/>
            <w:bottom w:w="0" w:type="dxa"/>
            <w:right w:w="108" w:type="dxa"/>
          </w:tblCellMar>
        </w:tblPrEx>
        <w:trPr>
          <w:trHeight w:val="85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p>
        </w:tc>
        <w:tc>
          <w:tcPr>
            <w:tcW w:w="276"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满意度指标</w:t>
            </w:r>
          </w:p>
        </w:tc>
        <w:tc>
          <w:tcPr>
            <w:tcW w:w="26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服务对象满意度指标</w:t>
            </w:r>
          </w:p>
        </w:tc>
        <w:tc>
          <w:tcPr>
            <w:tcW w:w="240" w:type="pct"/>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幼儿家长满意度</w:t>
            </w:r>
          </w:p>
        </w:tc>
        <w:tc>
          <w:tcPr>
            <w:tcW w:w="232"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&gt;=</w:t>
            </w:r>
          </w:p>
        </w:tc>
        <w:tc>
          <w:tcPr>
            <w:tcW w:w="867" w:type="pct"/>
            <w:tcBorders>
              <w:top w:val="nil"/>
              <w:left w:val="nil"/>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95</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325" w:type="pc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定性指标</w:t>
            </w:r>
          </w:p>
        </w:tc>
        <w:tc>
          <w:tcPr>
            <w:tcW w:w="338" w:type="pc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幼儿家长满意度达标</w:t>
            </w:r>
          </w:p>
        </w:tc>
      </w:tr>
    </w:tbl>
    <w:p>
      <w:pPr>
        <w:widowControl/>
        <w:ind w:left="600"/>
        <w:jc w:val="left"/>
        <w:rPr>
          <w:rFonts w:hint="eastAsia" w:eastAsia="仿宋_GB2312"/>
          <w:kern w:val="0"/>
          <w:sz w:val="30"/>
          <w:szCs w:val="30"/>
        </w:rPr>
      </w:pPr>
    </w:p>
    <w:p>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764A"/>
    <w:rsid w:val="0032453F"/>
    <w:rsid w:val="00347F24"/>
    <w:rsid w:val="003D30A3"/>
    <w:rsid w:val="00477AC3"/>
    <w:rsid w:val="006127E6"/>
    <w:rsid w:val="00807947"/>
    <w:rsid w:val="008101E9"/>
    <w:rsid w:val="008A7D3A"/>
    <w:rsid w:val="00A56CA5"/>
    <w:rsid w:val="00CF39DE"/>
    <w:rsid w:val="00DD6932"/>
    <w:rsid w:val="377B32E4"/>
    <w:rsid w:val="435E0960"/>
    <w:rsid w:val="6FFFBFF6"/>
    <w:rsid w:val="7EEE9639"/>
    <w:rsid w:val="7FC34B55"/>
    <w:rsid w:val="FBBF19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202</Words>
  <Characters>1156</Characters>
  <Lines>9</Lines>
  <Paragraphs>2</Paragraphs>
  <TotalTime>1</TotalTime>
  <ScaleCrop>false</ScaleCrop>
  <LinksUpToDate>false</LinksUpToDate>
  <CharactersWithSpaces>1356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2024-03-27T16:55:00Z</dcterms:created>
  <dc:creator>lx</dc:creator>
  <dc:description>ZHGenApp().GetProperty("Certification")</dc:description>
  <cp:lastModifiedBy>kmcg</cp:lastModifiedBy>
  <cp:lastPrinted>2020-02-04T16:13:00Z</cp:lastPrinted>
  <dcterms:modified xsi:type="dcterms:W3CDTF">2026-03-27T17:28:22Z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