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8B4BF">
      <w:pPr>
        <w:keepNext w:val="0"/>
        <w:keepLines w:val="0"/>
        <w:pageBreakBefore w:val="0"/>
        <w:kinsoku/>
        <w:wordWrap/>
        <w:overflowPunct/>
        <w:topLinePunct w:val="0"/>
        <w:autoSpaceDE/>
        <w:autoSpaceDN/>
        <w:bidi w:val="0"/>
        <w:adjustRightInd/>
        <w:snapToGrid w:val="0"/>
        <w:spacing w:line="660" w:lineRule="exact"/>
        <w:jc w:val="center"/>
        <w:textAlignment w:val="auto"/>
        <w:rPr>
          <w:rFonts w:hint="eastAsia" w:ascii="方正小标宋简体" w:eastAsia="方正小标宋简体"/>
          <w:sz w:val="44"/>
          <w:szCs w:val="44"/>
          <w:lang w:eastAsia="zh-CN"/>
        </w:rPr>
      </w:pPr>
      <w:bookmarkStart w:id="0" w:name="_GoBack"/>
      <w:bookmarkEnd w:id="0"/>
      <w:r>
        <w:rPr>
          <w:rFonts w:hint="eastAsia" w:ascii="方正小标宋简体" w:eastAsia="方正小标宋简体"/>
          <w:sz w:val="44"/>
          <w:szCs w:val="44"/>
          <w:lang w:eastAsia="zh-CN"/>
        </w:rPr>
        <w:t>昆明市呈贡区水务局</w:t>
      </w:r>
    </w:p>
    <w:p w14:paraId="30E0A48A">
      <w:pPr>
        <w:keepNext w:val="0"/>
        <w:keepLines w:val="0"/>
        <w:pageBreakBefore w:val="0"/>
        <w:kinsoku/>
        <w:wordWrap/>
        <w:overflowPunct/>
        <w:topLinePunct w:val="0"/>
        <w:autoSpaceDE/>
        <w:autoSpaceDN/>
        <w:bidi w:val="0"/>
        <w:adjustRightInd/>
        <w:snapToGrid w:val="0"/>
        <w:spacing w:line="660" w:lineRule="exact"/>
        <w:jc w:val="center"/>
        <w:textAlignment w:val="auto"/>
        <w:rPr>
          <w:rFonts w:hint="eastAsia" w:ascii="方正小标宋简体" w:hAnsi="华文中宋" w:eastAsia="方正小标宋简体"/>
          <w:spacing w:val="14"/>
          <w:sz w:val="44"/>
          <w:szCs w:val="44"/>
        </w:rPr>
      </w:pPr>
      <w:r>
        <w:rPr>
          <w:rFonts w:hint="eastAsia" w:ascii="方正小标宋简体" w:eastAsia="方正小标宋简体"/>
          <w:sz w:val="44"/>
          <w:szCs w:val="44"/>
          <w:lang w:val="en-US" w:eastAsia="zh-CN"/>
        </w:rPr>
        <w:t>2026</w:t>
      </w:r>
      <w:r>
        <w:rPr>
          <w:rFonts w:hint="eastAsia" w:ascii="方正小标宋简体" w:eastAsia="方正小标宋简体"/>
          <w:sz w:val="44"/>
          <w:szCs w:val="44"/>
        </w:rPr>
        <w:t>年</w:t>
      </w:r>
      <w:r>
        <w:rPr>
          <w:rFonts w:hint="eastAsia" w:ascii="方正小标宋简体" w:hAnsi="华文中宋" w:eastAsia="方正小标宋简体"/>
          <w:spacing w:val="14"/>
          <w:sz w:val="44"/>
          <w:szCs w:val="44"/>
        </w:rPr>
        <w:t>呈贡区开展禁止开垦陡坡地范围</w:t>
      </w:r>
    </w:p>
    <w:p w14:paraId="262BFA82">
      <w:pPr>
        <w:keepNext w:val="0"/>
        <w:keepLines w:val="0"/>
        <w:pageBreakBefore w:val="0"/>
        <w:kinsoku/>
        <w:wordWrap/>
        <w:overflowPunct/>
        <w:topLinePunct w:val="0"/>
        <w:autoSpaceDE/>
        <w:autoSpaceDN/>
        <w:bidi w:val="0"/>
        <w:adjustRightInd/>
        <w:snapToGrid w:val="0"/>
        <w:spacing w:line="660" w:lineRule="exact"/>
        <w:jc w:val="center"/>
        <w:textAlignment w:val="auto"/>
        <w:rPr>
          <w:rFonts w:hint="eastAsia" w:ascii="方正小标宋简体" w:hAnsi="华文中宋" w:eastAsia="方正小标宋简体"/>
          <w:spacing w:val="14"/>
          <w:sz w:val="44"/>
          <w:szCs w:val="44"/>
        </w:rPr>
      </w:pPr>
      <w:r>
        <w:rPr>
          <w:rFonts w:hint="eastAsia" w:ascii="方正小标宋简体" w:hAnsi="华文中宋" w:eastAsia="方正小标宋简体"/>
          <w:spacing w:val="14"/>
          <w:sz w:val="44"/>
          <w:szCs w:val="44"/>
        </w:rPr>
        <w:t>划定技术服务项目</w:t>
      </w:r>
    </w:p>
    <w:p w14:paraId="4933D54B">
      <w:pPr>
        <w:keepNext w:val="0"/>
        <w:keepLines w:val="0"/>
        <w:pageBreakBefore w:val="0"/>
        <w:kinsoku/>
        <w:wordWrap/>
        <w:overflowPunct/>
        <w:topLinePunct w:val="0"/>
        <w:autoSpaceDE/>
        <w:autoSpaceDN/>
        <w:bidi w:val="0"/>
        <w:adjustRightInd/>
        <w:snapToGrid w:val="0"/>
        <w:spacing w:line="660" w:lineRule="exact"/>
        <w:jc w:val="center"/>
        <w:textAlignment w:val="auto"/>
        <w:rPr>
          <w:rFonts w:hint="eastAsia" w:ascii="方正小标宋简体" w:hAnsi="华文中宋" w:eastAsia="方正小标宋简体"/>
          <w:spacing w:val="14"/>
          <w:sz w:val="44"/>
          <w:szCs w:val="44"/>
        </w:rPr>
      </w:pPr>
    </w:p>
    <w:p w14:paraId="476F94E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kern w:val="0"/>
          <w:sz w:val="32"/>
          <w:szCs w:val="32"/>
        </w:rPr>
      </w:pPr>
      <w:r>
        <w:rPr>
          <w:rFonts w:hint="eastAsia" w:ascii="黑体" w:hAnsi="黑体" w:eastAsia="黑体" w:cs="Times New Roman"/>
          <w:kern w:val="0"/>
          <w:sz w:val="32"/>
          <w:szCs w:val="32"/>
          <w:lang w:val="en-US" w:eastAsia="zh-CN" w:bidi="ar-SA"/>
        </w:rPr>
        <w:t>一、</w:t>
      </w:r>
      <w:r>
        <w:rPr>
          <w:rFonts w:hint="eastAsia" w:ascii="黑体" w:hAnsi="黑体" w:eastAsia="黑体"/>
          <w:kern w:val="0"/>
          <w:sz w:val="32"/>
          <w:szCs w:val="32"/>
        </w:rPr>
        <w:t>项目名称</w:t>
      </w:r>
    </w:p>
    <w:p w14:paraId="011646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仿宋_GB2312"/>
          <w:kern w:val="0"/>
          <w:sz w:val="32"/>
          <w:szCs w:val="32"/>
        </w:rPr>
      </w:pPr>
      <w:r>
        <w:rPr>
          <w:rFonts w:hint="eastAsia" w:eastAsia="仿宋_GB2312"/>
          <w:kern w:val="0"/>
          <w:sz w:val="32"/>
          <w:szCs w:val="32"/>
        </w:rPr>
        <w:t>呈贡区开展禁止开垦陡坡地范围划定技术服务</w:t>
      </w:r>
    </w:p>
    <w:p w14:paraId="106F6AB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二、</w:t>
      </w:r>
      <w:r>
        <w:rPr>
          <w:rFonts w:hint="eastAsia" w:ascii="黑体" w:hAnsi="黑体" w:eastAsia="黑体" w:cs="黑体"/>
          <w:kern w:val="0"/>
          <w:sz w:val="32"/>
          <w:szCs w:val="32"/>
        </w:rPr>
        <w:t>立项依据</w:t>
      </w:r>
    </w:p>
    <w:p w14:paraId="0927E2F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《中共云南省委办公厅 云南省人民政府办公厅印发〈关于加强新时代水土保持工作的实施方案〉的通知》（云办通〔2023〕18号）</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《云南省水利厅关于印发水土保持重点区域划定技术方案的通知》（云水保〔2024〕12号）</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中共昆明市委办公室 昆明市人民政府办公室关于印发《昆明市加强新时代水土保持工作任务清单》的通知</w:t>
      </w:r>
      <w:r>
        <w:rPr>
          <w:rFonts w:hint="eastAsia"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昆办通〔2023〕36 号</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《昆明市水土保持委员会办公室关于开展禁止开垦陡坡地范围划定工作的函》（昆水保办〔2024〕3号）等相关要求，呈贡区全面启动禁止开垦陡坡地范围划定工作。</w:t>
      </w:r>
    </w:p>
    <w:p w14:paraId="630B150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rPr>
        <w:t>项目实施单位</w:t>
      </w:r>
    </w:p>
    <w:p w14:paraId="7E287FB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kern w:val="0"/>
          <w:sz w:val="32"/>
          <w:szCs w:val="32"/>
        </w:rPr>
      </w:pPr>
      <w:r>
        <w:rPr>
          <w:rFonts w:hint="eastAsia" w:eastAsia="仿宋_GB2312"/>
          <w:kern w:val="0"/>
          <w:sz w:val="32"/>
          <w:szCs w:val="32"/>
        </w:rPr>
        <w:t>单位名称：</w:t>
      </w:r>
      <w:r>
        <w:rPr>
          <w:rFonts w:hint="eastAsia" w:eastAsia="仿宋_GB2312"/>
          <w:kern w:val="0"/>
          <w:sz w:val="32"/>
          <w:szCs w:val="32"/>
          <w:lang w:val="en-US" w:eastAsia="zh-CN"/>
        </w:rPr>
        <w:t>昆明市呈贡区水务局</w:t>
      </w:r>
    </w:p>
    <w:p w14:paraId="087CE1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eastAsia="仿宋_GB2312"/>
          <w:kern w:val="0"/>
          <w:sz w:val="32"/>
          <w:szCs w:val="32"/>
          <w:lang w:val="en-US" w:eastAsia="zh-CN"/>
        </w:rPr>
      </w:pPr>
      <w:r>
        <w:rPr>
          <w:rFonts w:hint="eastAsia" w:eastAsia="仿宋_GB2312"/>
          <w:kern w:val="0"/>
          <w:sz w:val="32"/>
          <w:szCs w:val="32"/>
        </w:rPr>
        <w:t>组织机构代码：</w:t>
      </w:r>
      <w:r>
        <w:rPr>
          <w:rFonts w:hint="eastAsia" w:eastAsia="仿宋_GB2312"/>
          <w:kern w:val="0"/>
          <w:sz w:val="32"/>
          <w:szCs w:val="32"/>
          <w:lang w:val="en-US" w:eastAsia="zh-CN"/>
        </w:rPr>
        <w:t>115301210151293846</w:t>
      </w:r>
    </w:p>
    <w:p w14:paraId="4EE900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kern w:val="0"/>
          <w:sz w:val="32"/>
          <w:szCs w:val="32"/>
        </w:rPr>
      </w:pPr>
      <w:r>
        <w:rPr>
          <w:rFonts w:hint="eastAsia" w:eastAsia="仿宋_GB2312"/>
          <w:kern w:val="0"/>
          <w:sz w:val="32"/>
          <w:szCs w:val="32"/>
        </w:rPr>
        <w:t>地址：昆明市呈贡区惠景园D7栋9楼</w:t>
      </w:r>
    </w:p>
    <w:p w14:paraId="62EE2CF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kern w:val="0"/>
          <w:sz w:val="32"/>
          <w:szCs w:val="32"/>
        </w:rPr>
      </w:pPr>
      <w:r>
        <w:rPr>
          <w:rFonts w:hint="eastAsia" w:eastAsia="仿宋_GB2312"/>
          <w:kern w:val="0"/>
          <w:sz w:val="32"/>
          <w:szCs w:val="32"/>
        </w:rPr>
        <w:t>联系电话：</w:t>
      </w:r>
      <w:r>
        <w:rPr>
          <w:rFonts w:hint="eastAsia" w:eastAsia="仿宋_GB2312"/>
          <w:kern w:val="0"/>
          <w:sz w:val="32"/>
          <w:szCs w:val="32"/>
          <w:lang w:val="en-US" w:eastAsia="zh-CN"/>
        </w:rPr>
        <w:t>67478333</w:t>
      </w:r>
    </w:p>
    <w:p w14:paraId="55DF5B2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kern w:val="0"/>
          <w:sz w:val="32"/>
          <w:szCs w:val="32"/>
        </w:rPr>
      </w:pPr>
      <w:r>
        <w:rPr>
          <w:rFonts w:hint="eastAsia" w:eastAsia="仿宋_GB2312"/>
          <w:kern w:val="0"/>
          <w:sz w:val="32"/>
          <w:szCs w:val="32"/>
        </w:rPr>
        <w:t>法人代表：</w:t>
      </w:r>
      <w:r>
        <w:rPr>
          <w:rFonts w:hint="eastAsia" w:eastAsia="仿宋_GB2312"/>
          <w:kern w:val="0"/>
          <w:sz w:val="32"/>
          <w:szCs w:val="32"/>
          <w:lang w:val="en-US" w:eastAsia="zh-CN"/>
        </w:rPr>
        <w:t>王吉庆</w:t>
      </w:r>
    </w:p>
    <w:p w14:paraId="39BA701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eastAsia="仿宋_GB2312"/>
          <w:kern w:val="0"/>
          <w:sz w:val="32"/>
          <w:szCs w:val="32"/>
          <w:lang w:val="en-US" w:eastAsia="zh-CN"/>
        </w:rPr>
      </w:pPr>
      <w:r>
        <w:rPr>
          <w:rFonts w:hint="eastAsia" w:eastAsia="仿宋_GB2312"/>
          <w:kern w:val="0"/>
          <w:sz w:val="32"/>
          <w:szCs w:val="32"/>
        </w:rPr>
        <w:t>经费来源：</w:t>
      </w:r>
      <w:r>
        <w:rPr>
          <w:rFonts w:hint="eastAsia" w:eastAsia="仿宋_GB2312"/>
          <w:kern w:val="0"/>
          <w:sz w:val="32"/>
          <w:szCs w:val="32"/>
          <w:lang w:val="en-US" w:eastAsia="zh-CN"/>
        </w:rPr>
        <w:t>区级财政资金</w:t>
      </w:r>
    </w:p>
    <w:p w14:paraId="2AD9A05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eastAsia="仿宋_GB2312"/>
          <w:kern w:val="0"/>
          <w:sz w:val="32"/>
          <w:szCs w:val="32"/>
          <w:lang w:eastAsia="zh-CN"/>
        </w:rPr>
        <w:t>单位</w:t>
      </w:r>
      <w:r>
        <w:rPr>
          <w:rFonts w:hint="eastAsia" w:eastAsia="仿宋_GB2312"/>
          <w:kern w:val="0"/>
          <w:sz w:val="32"/>
          <w:szCs w:val="32"/>
        </w:rPr>
        <w:t>概况：</w:t>
      </w:r>
      <w:r>
        <w:rPr>
          <w:rFonts w:hint="eastAsia" w:ascii="Times New Roman" w:hAnsi="Times New Roman" w:eastAsia="仿宋_GB2312" w:cs="Times New Roman"/>
          <w:kern w:val="0"/>
          <w:sz w:val="32"/>
          <w:szCs w:val="32"/>
          <w:lang w:val="en-US" w:eastAsia="zh-CN"/>
        </w:rPr>
        <w:t>昆明市呈贡区</w:t>
      </w:r>
      <w:r>
        <w:rPr>
          <w:rFonts w:hint="eastAsia" w:ascii="Times New Roman" w:hAnsi="Times New Roman" w:eastAsia="仿宋_GB2312" w:cs="Times New Roman"/>
          <w:kern w:val="0"/>
          <w:sz w:val="32"/>
          <w:szCs w:val="32"/>
        </w:rPr>
        <w:t>水务局是主管全</w:t>
      </w:r>
      <w:r>
        <w:rPr>
          <w:rFonts w:hint="eastAsia" w:ascii="Times New Roman" w:hAnsi="Times New Roman" w:eastAsia="仿宋_GB2312" w:cs="Times New Roman"/>
          <w:kern w:val="0"/>
          <w:sz w:val="32"/>
          <w:szCs w:val="32"/>
          <w:lang w:val="en-US" w:eastAsia="zh-CN"/>
        </w:rPr>
        <w:t>区</w:t>
      </w:r>
      <w:r>
        <w:rPr>
          <w:rFonts w:hint="eastAsia" w:ascii="Times New Roman" w:hAnsi="Times New Roman" w:eastAsia="仿宋_GB2312" w:cs="Times New Roman"/>
          <w:kern w:val="0"/>
          <w:sz w:val="32"/>
          <w:szCs w:val="32"/>
        </w:rPr>
        <w:t>水务工作的</w:t>
      </w:r>
      <w:r>
        <w:rPr>
          <w:rFonts w:hint="eastAsia" w:ascii="Times New Roman" w:hAnsi="Times New Roman" w:eastAsia="仿宋_GB2312" w:cs="Times New Roman"/>
          <w:kern w:val="0"/>
          <w:sz w:val="32"/>
          <w:szCs w:val="32"/>
          <w:lang w:val="en-US" w:eastAsia="zh-CN"/>
        </w:rPr>
        <w:t>呈贡区人民</w:t>
      </w:r>
      <w:r>
        <w:rPr>
          <w:rFonts w:hint="eastAsia" w:ascii="Times New Roman" w:hAnsi="Times New Roman" w:eastAsia="仿宋_GB2312" w:cs="Times New Roman"/>
          <w:kern w:val="0"/>
          <w:sz w:val="32"/>
          <w:szCs w:val="32"/>
        </w:rPr>
        <w:t>政府工作部门</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贯彻落实党中央、省委、市委、区委关于水务工作的方针政策和决策部署，在履行职责过程中坚持和加强党对水务建设管理和滇池保护治理工作的集中统一领导。</w:t>
      </w:r>
    </w:p>
    <w:p w14:paraId="4B49C9A4">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项目基本概</w:t>
      </w:r>
      <w:r>
        <w:rPr>
          <w:rFonts w:hint="eastAsia" w:ascii="黑体" w:hAnsi="黑体" w:eastAsia="黑体" w:cs="黑体"/>
          <w:kern w:val="0"/>
          <w:sz w:val="32"/>
          <w:szCs w:val="32"/>
          <w:lang w:eastAsia="zh-CN"/>
        </w:rPr>
        <w:t>况</w:t>
      </w:r>
    </w:p>
    <w:p w14:paraId="0ADE1DB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呈贡区共划定禁止开垦陡坡地面积1750.00hm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、图斑数90个。划定禁止开垦陡坡地涉及吴家营街道办事处、雨花街道办事处、七甸街道办事处、洛羊街道办事处、马金铺街道办事处</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20个行政村。</w:t>
      </w:r>
    </w:p>
    <w:p w14:paraId="089D5BA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五、</w:t>
      </w:r>
      <w:r>
        <w:rPr>
          <w:rFonts w:hint="eastAsia" w:ascii="黑体" w:hAnsi="黑体" w:eastAsia="黑体" w:cs="黑体"/>
          <w:kern w:val="0"/>
          <w:sz w:val="32"/>
          <w:szCs w:val="32"/>
        </w:rPr>
        <w:t>项目实施内容</w:t>
      </w:r>
    </w:p>
    <w:p w14:paraId="312138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呈贡区共划定禁止开垦陡坡地面积1750.00hm²，图斑数90个。划定禁止开垦陡坡地面积占全区国土面积的3.43%，占全区林地、草地、裸土地总面积的9.44%。涉及林地面积1662.99hm</w:t>
      </w:r>
      <w:r>
        <w:rPr>
          <w:rFonts w:hint="eastAsia" w:ascii="Times New Roman" w:hAnsi="Times New Roman" w:eastAsia="仿宋_GB2312" w:cs="Times New Roman"/>
          <w:kern w:val="0"/>
          <w:sz w:val="32"/>
          <w:szCs w:val="32"/>
          <w:vertAlign w:val="superscript"/>
          <w:lang w:val="en-US" w:eastAsia="zh-CN"/>
        </w:rPr>
        <w:t>2</w:t>
      </w:r>
      <w:r>
        <w:rPr>
          <w:rFonts w:hint="eastAsia" w:ascii="Times New Roman" w:hAnsi="Times New Roman" w:eastAsia="仿宋_GB2312" w:cs="Times New Roman"/>
          <w:kern w:val="0"/>
          <w:sz w:val="32"/>
          <w:szCs w:val="32"/>
          <w:lang w:val="en-US" w:eastAsia="zh-CN"/>
        </w:rPr>
        <w:t>，图斑数84个，分布较广；草地面积87.01hm</w:t>
      </w:r>
      <w:r>
        <w:rPr>
          <w:rFonts w:hint="eastAsia" w:ascii="Times New Roman" w:hAnsi="Times New Roman" w:eastAsia="仿宋_GB2312" w:cs="Times New Roman"/>
          <w:kern w:val="0"/>
          <w:sz w:val="32"/>
          <w:szCs w:val="32"/>
          <w:vertAlign w:val="superscript"/>
          <w:lang w:val="en-US" w:eastAsia="zh-CN"/>
        </w:rPr>
        <w:t>2</w:t>
      </w:r>
      <w:r>
        <w:rPr>
          <w:rFonts w:hint="eastAsia" w:ascii="Times New Roman" w:hAnsi="Times New Roman" w:eastAsia="仿宋_GB2312" w:cs="Times New Roman"/>
          <w:kern w:val="0"/>
          <w:sz w:val="32"/>
          <w:szCs w:val="32"/>
          <w:lang w:val="en-US" w:eastAsia="zh-CN"/>
        </w:rPr>
        <w:t>，图斑数6个，均分布在马金铺街道办事处。</w:t>
      </w:r>
    </w:p>
    <w:p w14:paraId="34FFA28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呈贡区生态保护红线总面积为10675.12hm</w:t>
      </w:r>
      <w:r>
        <w:rPr>
          <w:rFonts w:hint="eastAsia" w:ascii="Times New Roman" w:hAnsi="Times New Roman" w:eastAsia="仿宋_GB2312" w:cs="Times New Roman"/>
          <w:kern w:val="0"/>
          <w:sz w:val="32"/>
          <w:szCs w:val="32"/>
          <w:vertAlign w:val="superscript"/>
          <w:lang w:val="en-US" w:eastAsia="zh-CN"/>
        </w:rPr>
        <w:t>2</w:t>
      </w:r>
      <w:r>
        <w:rPr>
          <w:rFonts w:hint="eastAsia" w:ascii="Times New Roman" w:hAnsi="Times New Roman" w:eastAsia="仿宋_GB2312" w:cs="Times New Roman"/>
          <w:kern w:val="0"/>
          <w:sz w:val="32"/>
          <w:szCs w:val="32"/>
          <w:lang w:val="en-US" w:eastAsia="zh-CN"/>
        </w:rPr>
        <w:t>，本次禁止开垦陡坡地划定范围位于生态保护红线内的面积共941.01hm</w:t>
      </w:r>
      <w:r>
        <w:rPr>
          <w:rFonts w:hint="eastAsia" w:ascii="Times New Roman" w:hAnsi="Times New Roman" w:eastAsia="仿宋_GB2312" w:cs="Times New Roman"/>
          <w:kern w:val="0"/>
          <w:sz w:val="32"/>
          <w:szCs w:val="32"/>
          <w:vertAlign w:val="superscript"/>
          <w:lang w:val="en-US" w:eastAsia="zh-CN"/>
        </w:rPr>
        <w:t>2</w:t>
      </w:r>
      <w:r>
        <w:rPr>
          <w:rFonts w:hint="eastAsia" w:ascii="Times New Roman" w:hAnsi="Times New Roman" w:eastAsia="仿宋_GB2312" w:cs="Times New Roman"/>
          <w:kern w:val="0"/>
          <w:sz w:val="32"/>
          <w:szCs w:val="32"/>
          <w:lang w:val="en-US" w:eastAsia="zh-CN"/>
        </w:rPr>
        <w:t>，占生态保护红线总面积的8.81%，占划定总面积的53.77%。</w:t>
      </w:r>
    </w:p>
    <w:p w14:paraId="3DA557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六、</w:t>
      </w:r>
      <w:r>
        <w:rPr>
          <w:rFonts w:hint="eastAsia" w:ascii="黑体" w:hAnsi="黑体" w:eastAsia="黑体" w:cs="黑体"/>
          <w:kern w:val="0"/>
          <w:sz w:val="32"/>
          <w:szCs w:val="32"/>
        </w:rPr>
        <w:t>资金安排情况</w:t>
      </w:r>
    </w:p>
    <w:p w14:paraId="0B08C3E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呈贡区区级财政预算资金</w:t>
      </w:r>
      <w:r>
        <w:rPr>
          <w:rFonts w:hint="eastAsia" w:eastAsia="仿宋_GB2312"/>
          <w:kern w:val="0"/>
          <w:sz w:val="32"/>
          <w:szCs w:val="32"/>
          <w:lang w:val="en-US" w:eastAsia="zh-CN"/>
        </w:rPr>
        <w:t>134839.00元</w:t>
      </w:r>
      <w:r>
        <w:rPr>
          <w:rFonts w:hint="eastAsia" w:eastAsia="仿宋_GB2312"/>
          <w:kern w:val="0"/>
          <w:sz w:val="32"/>
          <w:szCs w:val="32"/>
          <w:lang w:eastAsia="zh-CN"/>
        </w:rPr>
        <w:t>。</w:t>
      </w:r>
    </w:p>
    <w:p w14:paraId="012D858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七、</w:t>
      </w:r>
      <w:r>
        <w:rPr>
          <w:rFonts w:hint="eastAsia" w:ascii="黑体" w:hAnsi="黑体" w:eastAsia="黑体" w:cs="黑体"/>
          <w:kern w:val="0"/>
          <w:sz w:val="32"/>
          <w:szCs w:val="32"/>
        </w:rPr>
        <w:t>项目实施计划</w:t>
      </w:r>
    </w:p>
    <w:p w14:paraId="21D2898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2024年10月，技术单位技术小组完成内业划定禁止开垦陡坡地范围。2024年11—12月，技术小组根据《水利部办公厅关于印发水土保持重点区域划定技术指南的通知》及《云南省水利厅关于印发水土保持重点区域划定技术方案的通知》选取7.46%图斑，区水务局及技术负责人到各街道办事处对呈贡区禁止开垦陡坡地范围图斑逐一自查，填写完成禁止开垦陡坡地范围图斑调查核实表并修改完善图斑。2024年11月13—28日，呈贡区水务局在全区范围内第一次充分征求各部门、乡镇（街道）及行政村对初步划定成果的意见。2024年12月2—4日，进行第二次征求初步划定成果意见。2025年4—6月，根据部级工作提示函和省市级复核成果，对划定成果进行修正。2025年9—10月，进行第三次征求初步划定成果意见，对图斑进行再次完善。形成呈贡区禁止开垦陡坡地范围划定成果，成果不涉及25°及以下特殊区域禁止开垦范围。</w:t>
      </w:r>
    </w:p>
    <w:p w14:paraId="4504DB56">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项目实施成效</w:t>
      </w:r>
    </w:p>
    <w:p w14:paraId="564643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Times New Roman" w:hAnsi="Times New Roman" w:eastAsia="仿宋_GB2312" w:cs="Times New Roman"/>
          <w:kern w:val="0"/>
          <w:sz w:val="32"/>
          <w:szCs w:val="32"/>
          <w:lang w:val="en-US" w:eastAsia="zh-CN"/>
        </w:rPr>
        <w:t>禁止开垦陡坡地范围划定作为水土保持工作的一项重要任务，是《中华人民共和国水土保持法》赋予县级人民政府的一项关键职责，是建立水土保持空间管控制度的重要组成部分，是开展水土流失防治和强化农林开发活动监管的重要基础性工作。在维护粮食安全、生态安全和河湖健康生命安全，维持生态系统平衡、建设生态农业、改善人居环境、发挥水土资源的生态效益、经济效益和社会效益等方面具有重要意义。</w:t>
      </w:r>
    </w:p>
    <w:p w14:paraId="1612943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呈贡区划定禁止开垦陡坡地范围主要呈条带状多分布于呈贡区东北部、东部、东南部和南部等生态集中区域</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反映</w:t>
      </w:r>
      <w:r>
        <w:rPr>
          <w:rFonts w:hint="eastAsia" w:ascii="Times New Roman" w:hAnsi="Times New Roman" w:eastAsia="仿宋_GB2312" w:cs="Times New Roman"/>
          <w:kern w:val="0"/>
          <w:sz w:val="32"/>
          <w:szCs w:val="32"/>
          <w:lang w:val="en-US" w:eastAsia="zh-CN"/>
        </w:rPr>
        <w:t>“高度</w:t>
      </w:r>
      <w:r>
        <w:rPr>
          <w:rFonts w:hint="default" w:ascii="Times New Roman" w:hAnsi="Times New Roman" w:eastAsia="仿宋_GB2312" w:cs="Times New Roman"/>
          <w:kern w:val="0"/>
          <w:sz w:val="32"/>
          <w:szCs w:val="32"/>
          <w:lang w:val="en-US" w:eastAsia="zh-CN"/>
        </w:rPr>
        <w:t>集中、东南重西北轻</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的极不均衡特点。近90%（90.71%）的陡坡地集中分布于东部和南部的七甸（677.07hm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）、吴家营（429.71hm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）和马金铺（480.65hm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）三个街道办事处</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构成了生态保护的核心区。这一格局明确也揭示了呈贡区水土保持与土地管理政策重点需聚焦东部和南部片区。</w:t>
      </w:r>
    </w:p>
    <w:p w14:paraId="001530B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九、</w:t>
      </w:r>
      <w:r>
        <w:rPr>
          <w:rFonts w:hint="eastAsia" w:ascii="黑体" w:hAnsi="黑体" w:eastAsia="黑体" w:cs="黑体"/>
          <w:kern w:val="0"/>
          <w:sz w:val="32"/>
          <w:szCs w:val="32"/>
        </w:rPr>
        <w:t>项目绩效目标表</w:t>
      </w:r>
    </w:p>
    <w:p w14:paraId="0F9B02E4">
      <w:pPr>
        <w:widowControl/>
        <w:ind w:left="600"/>
        <w:jc w:val="left"/>
        <w:rPr>
          <w:rFonts w:hint="eastAsia" w:ascii="黑体" w:hAnsi="黑体" w:eastAsia="黑体" w:cs="黑体"/>
          <w:kern w:val="0"/>
          <w:sz w:val="30"/>
          <w:szCs w:val="30"/>
        </w:rPr>
      </w:pPr>
      <w:r>
        <w:drawing>
          <wp:anchor distT="0" distB="0" distL="114300" distR="114300" simplePos="0" relativeHeight="251659264" behindDoc="0" locked="0" layoutInCell="1" allowOverlap="1">
            <wp:simplePos x="0" y="0"/>
            <wp:positionH relativeFrom="column">
              <wp:posOffset>-742950</wp:posOffset>
            </wp:positionH>
            <wp:positionV relativeFrom="paragraph">
              <wp:posOffset>120015</wp:posOffset>
            </wp:positionV>
            <wp:extent cx="6729730" cy="5709920"/>
            <wp:effectExtent l="0" t="0" r="13970" b="508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29730" cy="5709920"/>
                    </a:xfrm>
                    <a:prstGeom prst="rect">
                      <a:avLst/>
                    </a:prstGeom>
                    <a:noFill/>
                    <a:ln>
                      <a:noFill/>
                    </a:ln>
                  </pic:spPr>
                </pic:pic>
              </a:graphicData>
            </a:graphic>
          </wp:anchor>
        </w:drawing>
      </w:r>
    </w:p>
    <w:p w14:paraId="5749581B">
      <w:pPr>
        <w:widowControl/>
        <w:ind w:left="600"/>
        <w:jc w:val="left"/>
        <w:rPr>
          <w:rFonts w:hint="eastAsia" w:ascii="黑体" w:hAnsi="黑体" w:eastAsia="黑体" w:cs="黑体"/>
          <w:kern w:val="0"/>
          <w:sz w:val="30"/>
          <w:szCs w:val="30"/>
        </w:rPr>
      </w:pPr>
    </w:p>
    <w:p w14:paraId="1BC89BA0">
      <w:pPr>
        <w:widowControl/>
        <w:jc w:val="left"/>
        <w:rPr>
          <w:rFonts w:hint="eastAsia" w:ascii="黑体" w:hAnsi="黑体" w:eastAsia="黑体" w:cs="黑体"/>
          <w:kern w:val="0"/>
          <w:sz w:val="30"/>
          <w:szCs w:val="30"/>
          <w:lang w:eastAsia="zh-CN"/>
        </w:rPr>
      </w:pPr>
    </w:p>
    <w:sectPr>
      <w:headerReference r:id="rId3" w:type="default"/>
      <w:headerReference r:id="rId4" w:type="even"/>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DFE899-9B91-4BEF-8747-77FA612CFB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ABA09990-0A80-4F39-93BD-7AE83D7EFFD9}"/>
  </w:font>
  <w:font w:name="华文中宋">
    <w:panose1 w:val="02010600040101010101"/>
    <w:charset w:val="86"/>
    <w:family w:val="auto"/>
    <w:pitch w:val="default"/>
    <w:sig w:usb0="00000287" w:usb1="080F0000" w:usb2="00000000" w:usb3="00000000" w:csb0="0004009F" w:csb1="DFD70000"/>
    <w:embedRegular r:id="rId3" w:fontKey="{838782D7-C9CE-4DDB-A50B-C83BD674EA84}"/>
  </w:font>
  <w:font w:name="仿宋_GB2312">
    <w:altName w:val="仿宋"/>
    <w:panose1 w:val="02010609030101010101"/>
    <w:charset w:val="86"/>
    <w:family w:val="modern"/>
    <w:pitch w:val="default"/>
    <w:sig w:usb0="00000000" w:usb1="00000000" w:usb2="00000000" w:usb3="00000000" w:csb0="00040000" w:csb1="00000000"/>
    <w:embedRegular r:id="rId4" w:fontKey="{B8DADB27-335D-4DFB-AF99-C6705784114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958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DC7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67C6B"/>
    <w:multiLevelType w:val="singleLevel"/>
    <w:tmpl w:val="C2C67C6B"/>
    <w:lvl w:ilvl="0" w:tentative="0">
      <w:start w:val="4"/>
      <w:numFmt w:val="chineseCounting"/>
      <w:suff w:val="nothing"/>
      <w:lvlText w:val="%1、"/>
      <w:lvlJc w:val="left"/>
      <w:rPr>
        <w:rFonts w:hint="eastAsia"/>
      </w:rPr>
    </w:lvl>
  </w:abstractNum>
  <w:abstractNum w:abstractNumId="1">
    <w:nsid w:val="CCCD6504"/>
    <w:multiLevelType w:val="singleLevel"/>
    <w:tmpl w:val="CCCD6504"/>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4063FE"/>
    <w:rsid w:val="018B30C2"/>
    <w:rsid w:val="03F0214E"/>
    <w:rsid w:val="04314F30"/>
    <w:rsid w:val="046F214C"/>
    <w:rsid w:val="06325B44"/>
    <w:rsid w:val="07AD0578"/>
    <w:rsid w:val="09320D22"/>
    <w:rsid w:val="0A5A5DC4"/>
    <w:rsid w:val="0A7705F9"/>
    <w:rsid w:val="0AB77A2F"/>
    <w:rsid w:val="0BFD28E4"/>
    <w:rsid w:val="0C511C89"/>
    <w:rsid w:val="0D0E0F2A"/>
    <w:rsid w:val="0F635DF8"/>
    <w:rsid w:val="10881DF6"/>
    <w:rsid w:val="111D3473"/>
    <w:rsid w:val="13B61995"/>
    <w:rsid w:val="141E7899"/>
    <w:rsid w:val="153C0007"/>
    <w:rsid w:val="16120B81"/>
    <w:rsid w:val="165D6CAE"/>
    <w:rsid w:val="173D08C2"/>
    <w:rsid w:val="17E531F7"/>
    <w:rsid w:val="19F55BCD"/>
    <w:rsid w:val="1A0B3DDD"/>
    <w:rsid w:val="1A1B6230"/>
    <w:rsid w:val="1A751B4A"/>
    <w:rsid w:val="1B7457C9"/>
    <w:rsid w:val="1BC36AA0"/>
    <w:rsid w:val="1BD73E6F"/>
    <w:rsid w:val="1F700DC7"/>
    <w:rsid w:val="1F71F114"/>
    <w:rsid w:val="1F8F6F61"/>
    <w:rsid w:val="203F2354"/>
    <w:rsid w:val="207D242B"/>
    <w:rsid w:val="20CC59EA"/>
    <w:rsid w:val="217C52A6"/>
    <w:rsid w:val="24192B24"/>
    <w:rsid w:val="249262B8"/>
    <w:rsid w:val="26A22A34"/>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945D8"/>
    <w:rsid w:val="3A8A588E"/>
    <w:rsid w:val="3B026B0F"/>
    <w:rsid w:val="3BD844CF"/>
    <w:rsid w:val="3C1464F1"/>
    <w:rsid w:val="3DCC2998"/>
    <w:rsid w:val="3F5538EE"/>
    <w:rsid w:val="41134E62"/>
    <w:rsid w:val="42FF01FB"/>
    <w:rsid w:val="45F568DE"/>
    <w:rsid w:val="488A54A4"/>
    <w:rsid w:val="4A8A424F"/>
    <w:rsid w:val="508B3BDB"/>
    <w:rsid w:val="51486F2A"/>
    <w:rsid w:val="52F4603B"/>
    <w:rsid w:val="56F77E4E"/>
    <w:rsid w:val="56FFC22A"/>
    <w:rsid w:val="57734E4F"/>
    <w:rsid w:val="597933D0"/>
    <w:rsid w:val="5A5F2402"/>
    <w:rsid w:val="5B6F544B"/>
    <w:rsid w:val="5CB80AF3"/>
    <w:rsid w:val="5E8D610B"/>
    <w:rsid w:val="5F7A39FE"/>
    <w:rsid w:val="611236F1"/>
    <w:rsid w:val="63FFC8E6"/>
    <w:rsid w:val="64310717"/>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03399"/>
    <w:rsid w:val="73954482"/>
    <w:rsid w:val="73DEA65A"/>
    <w:rsid w:val="77660698"/>
    <w:rsid w:val="785B03CB"/>
    <w:rsid w:val="7D4F20E1"/>
    <w:rsid w:val="7D99752A"/>
    <w:rsid w:val="7E4603F5"/>
    <w:rsid w:val="7E6B73D4"/>
    <w:rsid w:val="7EDF6E2C"/>
    <w:rsid w:val="7F024C4D"/>
    <w:rsid w:val="7FFBD77B"/>
    <w:rsid w:val="7FFD59ED"/>
    <w:rsid w:val="7FFFD0DE"/>
    <w:rsid w:val="9F6A7E1B"/>
    <w:rsid w:val="AFD5F8CC"/>
    <w:rsid w:val="C14FCE4B"/>
    <w:rsid w:val="DF376FF7"/>
    <w:rsid w:val="F6ADE310"/>
    <w:rsid w:val="F6DCF04B"/>
    <w:rsid w:val="FEC5F1F5"/>
    <w:rsid w:val="FFD711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semiHidden/>
    <w:qFormat/>
    <w:uiPriority w:val="0"/>
    <w:rPr>
      <w:rFonts w:ascii="仿宋" w:hAnsi="仿宋" w:eastAsia="仿宋" w:cs="仿宋"/>
      <w:sz w:val="23"/>
      <w:szCs w:val="23"/>
      <w:lang w:val="en-US" w:eastAsia="en-US" w:bidi="ar-SA"/>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9abc766-dd4b-4662-9c5d-727d1124efd7}">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5</Pages>
  <Words>1488</Words>
  <Characters>1674</Characters>
  <Lines>1</Lines>
  <Paragraphs>1</Paragraphs>
  <TotalTime>0</TotalTime>
  <ScaleCrop>false</ScaleCrop>
  <LinksUpToDate>false</LinksUpToDate>
  <CharactersWithSpaces>1678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2012-01-09T11:13:00Z</dcterms:created>
  <dc:creator>lx</dc:creator>
  <dc:description>ZHGenApp().GetProperty("Certification")</dc:description>
  <cp:lastModifiedBy>WPS_1464011441</cp:lastModifiedBy>
  <cp:lastPrinted>2020-02-05T08:13:00Z</cp:lastPrinted>
  <dcterms:modified xsi:type="dcterms:W3CDTF">2026-03-31T01:23:20Z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7B1690DEBC684584AAAA8BF918F986B6</vt:lpwstr>
  </property>
  <property fmtid="{D5CDD505-2E9C-101B-9397-08002B2CF9AE}" pid="4" name="KSOTemplateDocerSaveRecord">
    <vt:lpwstr>eyJoZGlkIjoiZjcwNzQ4ZGY0MzU2YjE5YTMzMTcxNzJlOTUyZjNiYmIiLCJ1c2VySWQiOiIyMTY3NzYyOTgifQ==</vt:lpwstr>
  </property>
</Properties>
</file>