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928DB">
      <w:pPr>
        <w:rPr>
          <w:rFonts w:ascii="黑体" w:eastAsia="黑体"/>
          <w:szCs w:val="32"/>
        </w:rPr>
      </w:pPr>
      <w:bookmarkStart w:id="0" w:name="_GoBack"/>
      <w:bookmarkEnd w:id="0"/>
    </w:p>
    <w:p w14:paraId="26AD36F9">
      <w:pPr>
        <w:rPr>
          <w:rFonts w:ascii="黑体" w:eastAsia="黑体"/>
          <w:szCs w:val="32"/>
        </w:rPr>
      </w:pPr>
    </w:p>
    <w:p w14:paraId="234431A8">
      <w:pPr>
        <w:spacing w:line="600" w:lineRule="exact"/>
        <w:jc w:val="center"/>
        <w:rPr>
          <w:rFonts w:ascii="方正小标宋_GBK" w:eastAsia="方正小标宋_GBK"/>
          <w:sz w:val="36"/>
          <w:szCs w:val="36"/>
        </w:rPr>
      </w:pPr>
      <w:r>
        <w:rPr>
          <w:rFonts w:hint="eastAsia" w:ascii="方正小标宋_GBK" w:eastAsia="方正小标宋_GBK"/>
          <w:sz w:val="36"/>
          <w:szCs w:val="36"/>
        </w:rPr>
        <w:t>昆明市呈贡区乌龙街道社区卫生服务中心项目支出绩效报告（自评）</w:t>
      </w:r>
    </w:p>
    <w:p w14:paraId="0E27A458">
      <w:pPr>
        <w:spacing w:line="600" w:lineRule="exact"/>
        <w:ind w:firstLine="594" w:firstLineChars="200"/>
        <w:rPr>
          <w:rFonts w:ascii="仿宋_GB2312"/>
          <w:b/>
          <w:szCs w:val="32"/>
        </w:rPr>
      </w:pPr>
    </w:p>
    <w:p w14:paraId="5DC24C0E">
      <w:pPr>
        <w:topLinePunct/>
        <w:ind w:firstLine="594" w:firstLineChars="200"/>
        <w:rPr>
          <w:rFonts w:ascii="黑体" w:eastAsia="黑体"/>
          <w:szCs w:val="32"/>
        </w:rPr>
      </w:pPr>
      <w:r>
        <w:rPr>
          <w:rFonts w:hint="eastAsia" w:ascii="黑体" w:eastAsia="黑体"/>
          <w:szCs w:val="32"/>
        </w:rPr>
        <w:t>一、项目基本情况</w:t>
      </w:r>
    </w:p>
    <w:p w14:paraId="2D8ECF80">
      <w:pPr>
        <w:topLinePunct/>
        <w:ind w:firstLine="554" w:firstLineChars="200"/>
        <w:rPr>
          <w:rFonts w:ascii="仿宋_GB2312" w:hAnsi="仿宋_GB2312" w:cs="仿宋_GB2312"/>
          <w:b/>
          <w:sz w:val="30"/>
          <w:szCs w:val="30"/>
        </w:rPr>
      </w:pPr>
      <w:r>
        <w:rPr>
          <w:rFonts w:hint="eastAsia" w:ascii="仿宋_GB2312" w:hAnsi="仿宋_GB2312" w:cs="仿宋_GB2312"/>
          <w:b/>
          <w:sz w:val="30"/>
          <w:szCs w:val="30"/>
        </w:rPr>
        <w:t>（一）项目基本情况简介，包括项目基本性质、用途和主要内容、涉及范围等。</w:t>
      </w:r>
    </w:p>
    <w:p w14:paraId="22D008FD">
      <w:pPr>
        <w:ind w:firstLine="554" w:firstLineChars="200"/>
        <w:rPr>
          <w:rFonts w:ascii="仿宋_GB2312" w:hAnsi="仿宋_GB2312" w:cs="仿宋_GB2312"/>
          <w:sz w:val="30"/>
          <w:szCs w:val="30"/>
        </w:rPr>
      </w:pPr>
      <w:r>
        <w:rPr>
          <w:rFonts w:hint="eastAsia" w:ascii="仿宋_GB2312" w:hAnsi="仿宋_GB2312" w:cs="仿宋_GB2312"/>
          <w:sz w:val="30"/>
          <w:szCs w:val="30"/>
        </w:rPr>
        <w:t>本单位项目名称：设备采购经费，属2019预算调整重点民生项目，此笔项目经费全部用于购买新中心医疗设备,使单位配套设施达到国家基本标准, 是保障各项业务正常开展的主要资金来源。项目依据为《昆明市呈贡区人民政府关于在区级财政预算调整中增加乌龙街道社区卫生服务中心设备采购经费的批复》（呈政复【2019】233号），批复同意安排乌龙街道社区卫生服务中心设备采购金3000000.00元，纳入2019年区级预算管理。</w:t>
      </w:r>
    </w:p>
    <w:tbl>
      <w:tblPr>
        <w:tblStyle w:val="4"/>
        <w:tblW w:w="10197" w:type="dxa"/>
        <w:tblInd w:w="-557" w:type="dxa"/>
        <w:tblLayout w:type="autofit"/>
        <w:tblCellMar>
          <w:top w:w="0" w:type="dxa"/>
          <w:left w:w="0" w:type="dxa"/>
          <w:bottom w:w="0" w:type="dxa"/>
          <w:right w:w="0" w:type="dxa"/>
        </w:tblCellMar>
      </w:tblPr>
      <w:tblGrid>
        <w:gridCol w:w="1097"/>
        <w:gridCol w:w="460"/>
        <w:gridCol w:w="2130"/>
        <w:gridCol w:w="670"/>
        <w:gridCol w:w="400"/>
        <w:gridCol w:w="3440"/>
        <w:gridCol w:w="930"/>
        <w:gridCol w:w="1070"/>
      </w:tblGrid>
      <w:tr w14:paraId="726D516A">
        <w:tblPrEx>
          <w:tblCellMar>
            <w:top w:w="0" w:type="dxa"/>
            <w:left w:w="0" w:type="dxa"/>
            <w:bottom w:w="0" w:type="dxa"/>
            <w:right w:w="0" w:type="dxa"/>
          </w:tblCellMar>
        </w:tblPrEx>
        <w:trPr>
          <w:trHeight w:val="420" w:hRule="atLeast"/>
        </w:trPr>
        <w:tc>
          <w:tcPr>
            <w:tcW w:w="10197" w:type="dxa"/>
            <w:gridSpan w:val="8"/>
            <w:tcBorders>
              <w:top w:val="nil"/>
              <w:left w:val="nil"/>
              <w:bottom w:val="nil"/>
              <w:right w:val="nil"/>
            </w:tcBorders>
            <w:shd w:val="clear" w:color="auto" w:fill="auto"/>
            <w:noWrap/>
            <w:tcMar>
              <w:top w:w="10" w:type="dxa"/>
              <w:left w:w="10" w:type="dxa"/>
              <w:right w:w="10" w:type="dxa"/>
            </w:tcMar>
            <w:vAlign w:val="center"/>
          </w:tcPr>
          <w:p w14:paraId="3DB5BC10">
            <w:pPr>
              <w:widowControl/>
              <w:jc w:val="center"/>
              <w:textAlignment w:val="center"/>
              <w:rPr>
                <w:rFonts w:ascii="宋体" w:hAnsi="宋体" w:eastAsia="宋体" w:cs="宋体"/>
                <w:b/>
                <w:color w:val="000000"/>
                <w:szCs w:val="32"/>
              </w:rPr>
            </w:pPr>
            <w:r>
              <w:rPr>
                <w:rFonts w:hint="eastAsia" w:ascii="宋体" w:hAnsi="宋体" w:eastAsia="宋体" w:cs="宋体"/>
                <w:b/>
                <w:color w:val="000000"/>
                <w:kern w:val="0"/>
                <w:sz w:val="28"/>
                <w:szCs w:val="28"/>
              </w:rPr>
              <w:t>乌龙街道社区卫生服务中心医疗相关设备采购计划预算清单</w:t>
            </w:r>
          </w:p>
        </w:tc>
      </w:tr>
      <w:tr w14:paraId="68C56167">
        <w:tblPrEx>
          <w:tblCellMar>
            <w:top w:w="0" w:type="dxa"/>
            <w:left w:w="0" w:type="dxa"/>
            <w:bottom w:w="0" w:type="dxa"/>
            <w:right w:w="0" w:type="dxa"/>
          </w:tblCellMar>
        </w:tblPrEx>
        <w:trPr>
          <w:trHeight w:val="420" w:hRule="atLeast"/>
        </w:trPr>
        <w:tc>
          <w:tcPr>
            <w:tcW w:w="10197" w:type="dxa"/>
            <w:gridSpan w:val="8"/>
            <w:tcBorders>
              <w:top w:val="nil"/>
              <w:left w:val="nil"/>
              <w:bottom w:val="nil"/>
              <w:right w:val="nil"/>
            </w:tcBorders>
            <w:shd w:val="clear" w:color="auto" w:fill="auto"/>
            <w:noWrap/>
            <w:tcMar>
              <w:top w:w="10" w:type="dxa"/>
              <w:left w:w="10" w:type="dxa"/>
              <w:right w:w="10" w:type="dxa"/>
            </w:tcMar>
            <w:vAlign w:val="center"/>
          </w:tcPr>
          <w:p w14:paraId="7E3EC1D2">
            <w:pPr>
              <w:widowControl/>
              <w:jc w:val="center"/>
              <w:textAlignment w:val="center"/>
              <w:rPr>
                <w:rFonts w:ascii="宋体" w:hAnsi="宋体" w:eastAsia="宋体" w:cs="宋体"/>
                <w:b/>
                <w:color w:val="000000"/>
                <w:kern w:val="0"/>
                <w:szCs w:val="32"/>
              </w:rPr>
            </w:pPr>
          </w:p>
        </w:tc>
      </w:tr>
      <w:tr w14:paraId="4FA0DFFA">
        <w:tblPrEx>
          <w:tblCellMar>
            <w:top w:w="0" w:type="dxa"/>
            <w:left w:w="0" w:type="dxa"/>
            <w:bottom w:w="0" w:type="dxa"/>
            <w:right w:w="0" w:type="dxa"/>
          </w:tblCellMar>
        </w:tblPrEx>
        <w:trPr>
          <w:trHeight w:val="608"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4B7D55A">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科室名称</w:t>
            </w:r>
          </w:p>
        </w:tc>
        <w:tc>
          <w:tcPr>
            <w:tcW w:w="46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78893E1">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序号</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6EB75CD">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设备名称</w:t>
            </w: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5D5F4D8">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单位</w:t>
            </w:r>
          </w:p>
        </w:tc>
        <w:tc>
          <w:tcPr>
            <w:tcW w:w="40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D3A1C00">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数量</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7D22950">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型号或材质</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2A7A87C">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单 价（元）</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04E8865">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金额合计（元）</w:t>
            </w:r>
          </w:p>
        </w:tc>
      </w:tr>
      <w:tr w14:paraId="293F774C">
        <w:tblPrEx>
          <w:tblCellMar>
            <w:top w:w="0" w:type="dxa"/>
            <w:left w:w="0" w:type="dxa"/>
            <w:bottom w:w="0" w:type="dxa"/>
            <w:right w:w="0" w:type="dxa"/>
          </w:tblCellMar>
        </w:tblPrEx>
        <w:trPr>
          <w:trHeight w:val="608"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39072CC4">
            <w:pPr>
              <w:jc w:val="center"/>
              <w:rPr>
                <w:rFonts w:asciiTheme="minorEastAsia" w:hAnsiTheme="minorEastAsia" w:eastAsiaTheme="minorEastAsia" w:cstheme="minorEastAsia"/>
                <w:b/>
                <w:color w:val="000000"/>
                <w:sz w:val="18"/>
                <w:szCs w:val="18"/>
              </w:rPr>
            </w:pPr>
          </w:p>
        </w:tc>
        <w:tc>
          <w:tcPr>
            <w:tcW w:w="46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5C06656">
            <w:pPr>
              <w:jc w:val="center"/>
              <w:rPr>
                <w:rFonts w:asciiTheme="minorEastAsia" w:hAnsiTheme="minorEastAsia" w:eastAsiaTheme="minorEastAsia" w:cstheme="minorEastAsia"/>
                <w:b/>
                <w:color w:val="000000"/>
                <w:sz w:val="18"/>
                <w:szCs w:val="18"/>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F708D5A">
            <w:pPr>
              <w:jc w:val="center"/>
              <w:rPr>
                <w:rFonts w:asciiTheme="minorEastAsia" w:hAnsiTheme="minorEastAsia" w:eastAsiaTheme="minorEastAsia" w:cstheme="minorEastAsia"/>
                <w:b/>
                <w:color w:val="000000"/>
                <w:sz w:val="18"/>
                <w:szCs w:val="18"/>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5DA3276">
            <w:pPr>
              <w:jc w:val="center"/>
              <w:rPr>
                <w:rFonts w:asciiTheme="minorEastAsia" w:hAnsiTheme="minorEastAsia" w:eastAsiaTheme="minorEastAsia" w:cstheme="minorEastAsia"/>
                <w:b/>
                <w:color w:val="000000"/>
                <w:sz w:val="18"/>
                <w:szCs w:val="18"/>
              </w:rPr>
            </w:pPr>
          </w:p>
        </w:tc>
        <w:tc>
          <w:tcPr>
            <w:tcW w:w="40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0FBF0599">
            <w:pPr>
              <w:jc w:val="center"/>
              <w:rPr>
                <w:rFonts w:asciiTheme="minorEastAsia" w:hAnsiTheme="minorEastAsia" w:eastAsiaTheme="minorEastAsia" w:cstheme="minorEastAsia"/>
                <w:b/>
                <w:color w:val="000000"/>
                <w:sz w:val="18"/>
                <w:szCs w:val="18"/>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2C1C1AF">
            <w:pPr>
              <w:jc w:val="center"/>
              <w:rPr>
                <w:rFonts w:asciiTheme="minorEastAsia" w:hAnsiTheme="minorEastAsia" w:eastAsiaTheme="minorEastAsia" w:cstheme="minorEastAsia"/>
                <w:b/>
                <w:color w:val="000000"/>
                <w:sz w:val="18"/>
                <w:szCs w:val="18"/>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36268986">
            <w:pPr>
              <w:jc w:val="center"/>
              <w:rPr>
                <w:rFonts w:asciiTheme="minorEastAsia" w:hAnsiTheme="minorEastAsia" w:eastAsiaTheme="minorEastAsia" w:cstheme="minorEastAsia"/>
                <w:b/>
                <w:color w:val="000000"/>
                <w:sz w:val="18"/>
                <w:szCs w:val="18"/>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6F5C8B05">
            <w:pPr>
              <w:jc w:val="center"/>
              <w:rPr>
                <w:rFonts w:asciiTheme="minorEastAsia" w:hAnsiTheme="minorEastAsia" w:eastAsiaTheme="minorEastAsia" w:cstheme="minorEastAsia"/>
                <w:b/>
                <w:color w:val="000000"/>
                <w:sz w:val="18"/>
                <w:szCs w:val="18"/>
              </w:rPr>
            </w:pPr>
          </w:p>
        </w:tc>
      </w:tr>
      <w:tr w14:paraId="7925C55C">
        <w:tblPrEx>
          <w:tblCellMar>
            <w:top w:w="0" w:type="dxa"/>
            <w:left w:w="0" w:type="dxa"/>
            <w:bottom w:w="0" w:type="dxa"/>
            <w:right w:w="0" w:type="dxa"/>
          </w:tblCellMar>
        </w:tblPrEx>
        <w:trPr>
          <w:trHeight w:val="463"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3A06F4">
            <w:pPr>
              <w:widowControl/>
              <w:jc w:val="center"/>
              <w:textAlignment w:val="center"/>
              <w:rPr>
                <w:rFonts w:asciiTheme="minorEastAsia" w:hAnsiTheme="minorEastAsia" w:eastAsiaTheme="minorEastAsia" w:cstheme="minorEastAsia"/>
                <w:b/>
                <w:color w:val="000000"/>
                <w:kern w:val="0"/>
                <w:sz w:val="18"/>
                <w:szCs w:val="18"/>
              </w:rPr>
            </w:pPr>
          </w:p>
          <w:p w14:paraId="6194E4F7">
            <w:pPr>
              <w:widowControl/>
              <w:jc w:val="center"/>
              <w:textAlignment w:val="center"/>
              <w:rPr>
                <w:rFonts w:asciiTheme="minorEastAsia" w:hAnsiTheme="minorEastAsia" w:eastAsiaTheme="minorEastAsia" w:cstheme="minorEastAsia"/>
                <w:b/>
                <w:color w:val="000000"/>
                <w:kern w:val="0"/>
                <w:sz w:val="18"/>
                <w:szCs w:val="18"/>
              </w:rPr>
            </w:pPr>
          </w:p>
          <w:p w14:paraId="3A418494">
            <w:pPr>
              <w:widowControl/>
              <w:jc w:val="center"/>
              <w:textAlignment w:val="center"/>
              <w:rPr>
                <w:rFonts w:asciiTheme="minorEastAsia" w:hAnsiTheme="minorEastAsia" w:eastAsiaTheme="minorEastAsia" w:cstheme="minorEastAsia"/>
                <w:b/>
                <w:color w:val="000000"/>
                <w:kern w:val="0"/>
                <w:sz w:val="18"/>
                <w:szCs w:val="18"/>
              </w:rPr>
            </w:pPr>
          </w:p>
          <w:p w14:paraId="79B00F0F">
            <w:pPr>
              <w:widowControl/>
              <w:jc w:val="center"/>
              <w:textAlignment w:val="center"/>
              <w:rPr>
                <w:rFonts w:asciiTheme="minorEastAsia" w:hAnsiTheme="minorEastAsia" w:eastAsiaTheme="minorEastAsia" w:cstheme="minorEastAsia"/>
                <w:b/>
                <w:color w:val="000000"/>
                <w:kern w:val="0"/>
                <w:sz w:val="18"/>
                <w:szCs w:val="18"/>
              </w:rPr>
            </w:pPr>
          </w:p>
          <w:p w14:paraId="70EA25FC">
            <w:pPr>
              <w:widowControl/>
              <w:jc w:val="center"/>
              <w:textAlignment w:val="center"/>
              <w:rPr>
                <w:rFonts w:asciiTheme="minorEastAsia" w:hAnsiTheme="minorEastAsia" w:eastAsiaTheme="minorEastAsia" w:cstheme="minorEastAsia"/>
                <w:b/>
                <w:color w:val="000000"/>
                <w:kern w:val="0"/>
                <w:sz w:val="18"/>
                <w:szCs w:val="18"/>
              </w:rPr>
            </w:pPr>
          </w:p>
          <w:p w14:paraId="5EFEC4C6">
            <w:pPr>
              <w:widowControl/>
              <w:jc w:val="center"/>
              <w:textAlignment w:val="center"/>
              <w:rPr>
                <w:rFonts w:asciiTheme="minorEastAsia" w:hAnsiTheme="minorEastAsia" w:eastAsiaTheme="minorEastAsia" w:cstheme="minorEastAsia"/>
                <w:b/>
                <w:color w:val="000000"/>
                <w:kern w:val="0"/>
                <w:sz w:val="18"/>
                <w:szCs w:val="18"/>
              </w:rPr>
            </w:pPr>
          </w:p>
          <w:p w14:paraId="55C82396">
            <w:pPr>
              <w:widowControl/>
              <w:jc w:val="center"/>
              <w:textAlignment w:val="center"/>
              <w:rPr>
                <w:rFonts w:asciiTheme="minorEastAsia" w:hAnsiTheme="minorEastAsia" w:eastAsiaTheme="minorEastAsia" w:cstheme="minorEastAsia"/>
                <w:b/>
                <w:color w:val="000000"/>
                <w:kern w:val="0"/>
                <w:sz w:val="18"/>
                <w:szCs w:val="18"/>
              </w:rPr>
            </w:pPr>
          </w:p>
          <w:p w14:paraId="749717CD">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1.门、急诊科室</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F6A5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D9133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智能健康系统检测平台（含动脉硬化）</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5DF43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8E349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CDC89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深圳双佳，SK-T6</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8584B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150000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04B00BE1">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150000</w:t>
            </w:r>
          </w:p>
        </w:tc>
      </w:tr>
      <w:tr w14:paraId="22CD213F">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578B86">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0CB7C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A8349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担架车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ABB30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2A757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007B4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7AAF0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36736A02">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2000</w:t>
            </w:r>
          </w:p>
        </w:tc>
      </w:tr>
      <w:tr w14:paraId="13E248E7">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2F0324">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33498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A83B5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抢救车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2EB05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598F5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40A286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安徽江海，标配,ABS材质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1E040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2600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FAB6A4E">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5200</w:t>
            </w:r>
          </w:p>
        </w:tc>
      </w:tr>
      <w:tr w14:paraId="2CEE73F5">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078145">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0C5386">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A6EB2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仪器车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84D6FA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D521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B8098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安徽江海，标配,ABS材质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1AC5F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3500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BDE0039">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14000</w:t>
            </w:r>
          </w:p>
        </w:tc>
      </w:tr>
      <w:tr w14:paraId="0E907B4B">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312274">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9EB28A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07551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输液车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DC0F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3F78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8F34F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安徽江海，标配,ABS材质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0D341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3800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1F9C28B">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7600</w:t>
            </w:r>
          </w:p>
        </w:tc>
      </w:tr>
      <w:tr w14:paraId="13788A5F">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BEC1F4">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99370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8107F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治疗推车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79AB4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D94BE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C7427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安徽江海，标配,ABS材质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B1435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2200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2B69963">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8800</w:t>
            </w:r>
          </w:p>
        </w:tc>
      </w:tr>
      <w:tr w14:paraId="4E1507CA">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B8B99">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084E8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7BDF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护理推车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C9B7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02A81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1BA9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安徽江海，标配,ABS材质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CDE647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2300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1F81D6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4600</w:t>
            </w:r>
          </w:p>
        </w:tc>
      </w:tr>
      <w:tr w14:paraId="7A099AF6">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6FF9F6">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0C745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EB5FD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医疗垃圾分类车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94AF3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86500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65FB8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安徽江海，标配,ABS材质</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44EE9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1400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DD321A1">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1400</w:t>
            </w:r>
          </w:p>
        </w:tc>
      </w:tr>
      <w:tr w14:paraId="1D84B357">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D3DF4D">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7391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9AAC9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污物推车</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BE8F8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49618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C68E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安徽江海，静音脚轮两格</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0F5FF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1500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6F07C44F">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1500</w:t>
            </w:r>
          </w:p>
        </w:tc>
      </w:tr>
      <w:tr w14:paraId="64BFB080">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A67E68">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DAC856">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1B816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病历夹车（含病历夹）</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32FA5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2AFB6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2974F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安徽江海，静音脚轮两格，30格带抽屉</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C8160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4800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2320C6B0">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9600</w:t>
            </w:r>
          </w:p>
        </w:tc>
      </w:tr>
      <w:tr w14:paraId="29C354E6">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0C86D">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33B3E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7727A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胰岛素注射泵</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67C6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55869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6012B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深圳丹纳2S</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155F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38000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0FCEF058">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76000</w:t>
            </w:r>
          </w:p>
        </w:tc>
      </w:tr>
      <w:tr w14:paraId="53403A53">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44998">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7BFC9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48309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抢救床</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0A81E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26338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8B841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安美特，手动三功能病床</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3174E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4900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0D54B27">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4900</w:t>
            </w:r>
          </w:p>
        </w:tc>
      </w:tr>
      <w:tr w14:paraId="0F8381B9">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AAD51">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E2F71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10087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便携式转运呼吸机</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196B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E994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64C20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北京易世恒  SH100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999702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21000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0451822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21000</w:t>
            </w:r>
          </w:p>
        </w:tc>
      </w:tr>
      <w:tr w14:paraId="18855B57">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BFCED5">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77556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3E500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全自动洗胃机</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5B53F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3EEC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4C597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天津同业  SC-IA</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465DA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11000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6902AC12">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11000</w:t>
            </w:r>
          </w:p>
        </w:tc>
      </w:tr>
      <w:tr w14:paraId="0F0AA8B3">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F04AFD">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2DA17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7FEFD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自动吸引器（吸痰器）</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007E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8562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6CCEC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江苏鱼跃7A-23D</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461EA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8616FBB">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2000</w:t>
            </w:r>
          </w:p>
        </w:tc>
      </w:tr>
      <w:tr w14:paraId="739E3F4C">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2371B7">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63D21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3B2FF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压缩式雾化器</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BD3D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E970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889C3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江苏百瑞BRM-07511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85CBF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67502729">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8000</w:t>
            </w:r>
          </w:p>
        </w:tc>
      </w:tr>
      <w:tr w14:paraId="27A794D9">
        <w:tblPrEx>
          <w:tblCellMar>
            <w:top w:w="0" w:type="dxa"/>
            <w:left w:w="0" w:type="dxa"/>
            <w:bottom w:w="0" w:type="dxa"/>
            <w:right w:w="0" w:type="dxa"/>
          </w:tblCellMar>
        </w:tblPrEx>
        <w:trPr>
          <w:trHeight w:val="746"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580BEE">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2DBC1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17</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B7310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紫外线空气消毒机</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77E766">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F1C87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17EF7A">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江苏巨光KT-B800（抢救室1台、检验室2台、预防接种室2台）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01F52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221CCDF">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20000</w:t>
            </w:r>
          </w:p>
        </w:tc>
      </w:tr>
      <w:tr w14:paraId="037A229D">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ADF31D">
            <w:pPr>
              <w:jc w:val="center"/>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855B9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18</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CA47D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气道管理箱</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BD946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78011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0C8C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硅胶管</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548B9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2800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C14743A">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2800</w:t>
            </w:r>
          </w:p>
        </w:tc>
      </w:tr>
      <w:tr w14:paraId="7527C2C9">
        <w:tblPrEx>
          <w:tblCellMar>
            <w:top w:w="0" w:type="dxa"/>
            <w:left w:w="0" w:type="dxa"/>
            <w:bottom w:w="0" w:type="dxa"/>
            <w:right w:w="0" w:type="dxa"/>
          </w:tblCellMar>
        </w:tblPrEx>
        <w:trPr>
          <w:trHeight w:val="463"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40514A56">
            <w:pPr>
              <w:widowControl/>
              <w:jc w:val="left"/>
              <w:textAlignment w:val="top"/>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2.检验科</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8433E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19</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F0857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全自动生化分析仪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8408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2E73E8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78ABE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深圳迈瑞BS-860，开放试剂，配USB电源2个，工作一套（系统、电脑、打印机），纯水机一套</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C8217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E082E20">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500000</w:t>
            </w:r>
          </w:p>
        </w:tc>
      </w:tr>
      <w:tr w14:paraId="0AEFC616">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4DD5AA21">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F833A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20</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696FD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五分类全自动血球分析仪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6F59A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A6AA8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A55F3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希森美康XN-350，配USB电源2个</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68753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400000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6DDDB5D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400000</w:t>
            </w:r>
          </w:p>
        </w:tc>
      </w:tr>
      <w:tr w14:paraId="05EC645A">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6D52F5EF">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9C095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21</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68464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全自动电解质分析仪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2C5B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67BB1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FCE3C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梅州康高科技K-Lite8B</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563A7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2009FBFE">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50000</w:t>
            </w:r>
          </w:p>
        </w:tc>
      </w:tr>
      <w:tr w14:paraId="44C1F44C">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0966DC59">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E1F7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22</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B6A9A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全自动尿液分析仪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EDDCD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5A82D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A3D8A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优利特500B型</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765806">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8500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2B731C8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8500</w:t>
            </w:r>
          </w:p>
        </w:tc>
      </w:tr>
      <w:tr w14:paraId="657B8330">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5BAA2B0F">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D15AAF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23</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05471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全自动酶标洗板机</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D27366">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2F061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7E9C4C">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深圳雷杜RT6100+RT3100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B5E8A4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66000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39248CC8">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66000</w:t>
            </w:r>
          </w:p>
        </w:tc>
      </w:tr>
      <w:tr w14:paraId="40ED295B">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718656DB">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11D77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24</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DB90D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离心机</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287F5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3798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82B8E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长沙智湘TDZ25-WS 48孔</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4A26F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12600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EA0FC82">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12600</w:t>
            </w:r>
          </w:p>
        </w:tc>
      </w:tr>
      <w:tr w14:paraId="31B0D7A8">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4CBA6978">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A94BF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25</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4AE1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水浴箱</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22190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E565F8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A7BE1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上海慧泰  DK-8D</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0E3707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3600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42F872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3600</w:t>
            </w:r>
          </w:p>
        </w:tc>
      </w:tr>
      <w:tr w14:paraId="7A0F414D">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16CB394A">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12DBA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26</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EA9F78">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生物显微镜</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6CA59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62179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5E018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奥林巴斯 CX-23</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0E89E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12000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8D9C5A9">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12000</w:t>
            </w:r>
          </w:p>
        </w:tc>
      </w:tr>
      <w:tr w14:paraId="7E7110BF">
        <w:tblPrEx>
          <w:tblCellMar>
            <w:top w:w="0" w:type="dxa"/>
            <w:left w:w="0" w:type="dxa"/>
            <w:bottom w:w="0" w:type="dxa"/>
            <w:right w:w="0" w:type="dxa"/>
          </w:tblCellMar>
        </w:tblPrEx>
        <w:trPr>
          <w:trHeight w:val="600"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14:paraId="50B30A74">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FB25C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27</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1BE070E">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高温高压消毒灭菌器</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4D4F6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765C9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FA10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江阴滨江 LS-100HD，配封口机、蒸馏水机</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441E79">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25000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12D176D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50000</w:t>
            </w:r>
          </w:p>
        </w:tc>
      </w:tr>
      <w:tr w14:paraId="78C81869">
        <w:tblPrEx>
          <w:tblCellMar>
            <w:top w:w="0" w:type="dxa"/>
            <w:left w:w="0" w:type="dxa"/>
            <w:bottom w:w="0" w:type="dxa"/>
            <w:right w:w="0" w:type="dxa"/>
          </w:tblCellMar>
        </w:tblPrEx>
        <w:trPr>
          <w:trHeight w:val="463"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B922B9">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3.功能科室</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E6B86C">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28</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5FFF0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电子人体秤</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42F7E7">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5C4B74">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C0ABA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身高值、体重值、自动计算体质指数值</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1EA4FFD">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0F2E4D8E">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5000</w:t>
            </w:r>
          </w:p>
        </w:tc>
      </w:tr>
      <w:tr w14:paraId="376EA663">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5F1776">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32AF6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29</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148CC7">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屈光筛查仪（视力筛查仪）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44218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F7DC3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CA65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索维SW-800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AA289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155000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4D58368">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155000</w:t>
            </w:r>
          </w:p>
        </w:tc>
      </w:tr>
      <w:tr w14:paraId="62BD9E9B">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1AB7DE9">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F7080A3">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30</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88314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多普勒胎心听诊仪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BAB0F2F">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3CC63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60961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深圳邦健</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BE2CC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2000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2FE1868D">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2000</w:t>
            </w:r>
          </w:p>
        </w:tc>
      </w:tr>
      <w:tr w14:paraId="08F690CC">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D0780B">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3E9F2">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31</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77C82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多普勒胎儿监护仪（母婴监护）</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8A09D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ACA5E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3F09F2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深圳邦健FM-801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E500C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16000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77A65A50">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16000</w:t>
            </w:r>
          </w:p>
        </w:tc>
      </w:tr>
      <w:tr w14:paraId="1DCB079D">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DADE1">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2230F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32</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51863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电子阴道镜</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2800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BBAC2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0B6A63">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飞利浦金科CP300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6F67CB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140000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2BA009D1">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140000</w:t>
            </w:r>
          </w:p>
        </w:tc>
      </w:tr>
      <w:tr w14:paraId="5190DA6C">
        <w:tblPrEx>
          <w:tblCellMar>
            <w:top w:w="0" w:type="dxa"/>
            <w:left w:w="0" w:type="dxa"/>
            <w:bottom w:w="0" w:type="dxa"/>
            <w:right w:w="0" w:type="dxa"/>
          </w:tblCellMar>
        </w:tblPrEx>
        <w:trPr>
          <w:trHeight w:val="463"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E3EA59">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0B6305">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33</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D42EB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全同步动态心电血压监测仪</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5DA6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0D79C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84881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深圳邦健1H-12B</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C86420">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45000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65175BF6">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45000</w:t>
            </w:r>
          </w:p>
        </w:tc>
      </w:tr>
      <w:tr w14:paraId="67CBF81D">
        <w:tblPrEx>
          <w:tblCellMar>
            <w:top w:w="0" w:type="dxa"/>
            <w:left w:w="0" w:type="dxa"/>
            <w:bottom w:w="0" w:type="dxa"/>
            <w:right w:w="0" w:type="dxa"/>
          </w:tblCellMar>
        </w:tblPrEx>
        <w:trPr>
          <w:trHeight w:val="855"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EE8060">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72A6B9">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34</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D3ED1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数字化DR</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225A00">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970B8A">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7D7BB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北京万东 1000SC配套附属设施全套，免费提供数据接口参数，具备系统升级功能，主机稳定电源，工作站UBS，相机（胶片打印机），竖屏</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17255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860000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03ADD0E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860000</w:t>
            </w:r>
          </w:p>
        </w:tc>
      </w:tr>
      <w:tr w14:paraId="6423A26E">
        <w:tblPrEx>
          <w:tblCellMar>
            <w:top w:w="0" w:type="dxa"/>
            <w:left w:w="0" w:type="dxa"/>
            <w:bottom w:w="0" w:type="dxa"/>
            <w:right w:w="0" w:type="dxa"/>
          </w:tblCellMar>
        </w:tblPrEx>
        <w:trPr>
          <w:trHeight w:val="795"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F13317">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077A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35</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8C5311">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彩色多普勒超声诊断系统（全身B超）</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6056B8">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EFD20E">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3216AC5">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飞利浦V850，配工作站一套，四个探头，UBS电源2个，免费提供数据接口参数，具备系统升级功能、影像平台建设</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BBDE1B">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1100000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539CD2EC">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1100000</w:t>
            </w:r>
          </w:p>
        </w:tc>
      </w:tr>
      <w:tr w14:paraId="32BD32CA">
        <w:tblPrEx>
          <w:tblCellMar>
            <w:top w:w="0" w:type="dxa"/>
            <w:left w:w="0" w:type="dxa"/>
            <w:bottom w:w="0" w:type="dxa"/>
            <w:right w:w="0" w:type="dxa"/>
          </w:tblCellMar>
        </w:tblPrEx>
        <w:trPr>
          <w:trHeight w:val="463"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87F4B9">
            <w:pPr>
              <w:jc w:val="left"/>
              <w:rPr>
                <w:rFonts w:asciiTheme="minorEastAsia" w:hAnsiTheme="minorEastAsia" w:eastAsiaTheme="minorEastAsia" w:cstheme="minorEastAsia"/>
                <w:b/>
                <w:color w:val="000000"/>
                <w:sz w:val="18"/>
                <w:szCs w:val="18"/>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934747D">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36</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AF337DF">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洗涤一体机</w:t>
            </w: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460C1B">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台</w:t>
            </w: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D015021">
            <w:pPr>
              <w:widowControl/>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w:t>
            </w: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C8ECDE2">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50公斤以上 ，上海</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A07FF4">
            <w:pPr>
              <w:widowControl/>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55000</w:t>
            </w:r>
          </w:p>
        </w:tc>
        <w:tc>
          <w:tcPr>
            <w:tcW w:w="1070" w:type="dxa"/>
            <w:tcBorders>
              <w:top w:val="single" w:color="000000" w:sz="4" w:space="0"/>
              <w:left w:val="single" w:color="000000" w:sz="4" w:space="0"/>
              <w:bottom w:val="single" w:color="000000" w:sz="4" w:space="0"/>
              <w:right w:val="single" w:color="000000" w:sz="4" w:space="0"/>
            </w:tcBorders>
            <w:shd w:val="clear" w:color="auto" w:fill="DDD9C4"/>
            <w:tcMar>
              <w:top w:w="10" w:type="dxa"/>
              <w:left w:w="10" w:type="dxa"/>
              <w:right w:w="10" w:type="dxa"/>
            </w:tcMar>
            <w:vAlign w:val="center"/>
          </w:tcPr>
          <w:p w14:paraId="4B2BFDC9">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55000</w:t>
            </w:r>
          </w:p>
        </w:tc>
      </w:tr>
      <w:tr w14:paraId="53813812">
        <w:tblPrEx>
          <w:tblCellMar>
            <w:top w:w="0" w:type="dxa"/>
            <w:left w:w="0" w:type="dxa"/>
            <w:bottom w:w="0" w:type="dxa"/>
            <w:right w:w="0" w:type="dxa"/>
          </w:tblCellMar>
        </w:tblPrEx>
        <w:trPr>
          <w:trHeight w:val="78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77B098">
            <w:pPr>
              <w:widowControl/>
              <w:jc w:val="center"/>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合计</w:t>
            </w:r>
          </w:p>
        </w:tc>
        <w:tc>
          <w:tcPr>
            <w:tcW w:w="4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31804A">
            <w:pPr>
              <w:jc w:val="center"/>
              <w:rPr>
                <w:rFonts w:asciiTheme="minorEastAsia" w:hAnsiTheme="minorEastAsia" w:eastAsiaTheme="minorEastAsia" w:cstheme="minorEastAsia"/>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2694CBC">
            <w:pPr>
              <w:rPr>
                <w:rFonts w:asciiTheme="minorEastAsia" w:hAnsiTheme="minorEastAsia" w:eastAsiaTheme="minorEastAsia" w:cstheme="minorEastAsia"/>
                <w:color w:val="000000"/>
                <w:sz w:val="18"/>
                <w:szCs w:val="18"/>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0C6717">
            <w:pPr>
              <w:jc w:val="center"/>
              <w:rPr>
                <w:rFonts w:asciiTheme="minorEastAsia" w:hAnsiTheme="minorEastAsia" w:eastAsiaTheme="minorEastAsia" w:cstheme="minorEastAsia"/>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72E2A6">
            <w:pPr>
              <w:jc w:val="center"/>
              <w:rPr>
                <w:rFonts w:asciiTheme="minorEastAsia" w:hAnsiTheme="minorEastAsia" w:eastAsiaTheme="minorEastAsia" w:cstheme="minorEastAsia"/>
                <w:color w:val="000000"/>
                <w:sz w:val="18"/>
                <w:szCs w:val="18"/>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B5822A">
            <w:pPr>
              <w:rPr>
                <w:rFonts w:asciiTheme="minorEastAsia" w:hAnsiTheme="minorEastAsia" w:eastAsiaTheme="minorEastAsia" w:cstheme="minorEastAsia"/>
                <w:color w:val="000000"/>
                <w:sz w:val="18"/>
                <w:szCs w:val="18"/>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42EB4E7">
            <w:pPr>
              <w:jc w:val="left"/>
              <w:rPr>
                <w:rFonts w:asciiTheme="minorEastAsia" w:hAnsiTheme="minorEastAsia" w:eastAsiaTheme="minorEastAsia" w:cstheme="minorEastAsia"/>
                <w:color w:val="000000"/>
                <w:sz w:val="18"/>
                <w:szCs w:val="18"/>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460514D">
            <w:pPr>
              <w:widowControl/>
              <w:jc w:val="left"/>
              <w:textAlignment w:val="center"/>
              <w:rPr>
                <w:rFonts w:asciiTheme="minorEastAsia" w:hAnsiTheme="minorEastAsia" w:eastAsiaTheme="minorEastAsia" w:cstheme="minorEastAsia"/>
                <w:b/>
                <w:color w:val="000000"/>
                <w:sz w:val="18"/>
                <w:szCs w:val="18"/>
              </w:rPr>
            </w:pPr>
            <w:r>
              <w:rPr>
                <w:rFonts w:hint="eastAsia" w:asciiTheme="minorEastAsia" w:hAnsiTheme="minorEastAsia" w:eastAsiaTheme="minorEastAsia" w:cstheme="minorEastAsia"/>
                <w:b/>
                <w:color w:val="000000"/>
                <w:kern w:val="0"/>
                <w:sz w:val="18"/>
                <w:szCs w:val="18"/>
              </w:rPr>
              <w:t>3831100</w:t>
            </w:r>
          </w:p>
        </w:tc>
      </w:tr>
    </w:tbl>
    <w:p w14:paraId="7C20A753">
      <w:pPr>
        <w:numPr>
          <w:ilvl w:val="0"/>
          <w:numId w:val="1"/>
        </w:numPr>
        <w:topLinePunct/>
        <w:ind w:firstLine="277" w:firstLineChars="100"/>
        <w:rPr>
          <w:rFonts w:ascii="仿宋_GB2312" w:hAnsi="宋体" w:cs="Times New Roman"/>
          <w:b/>
          <w:sz w:val="30"/>
          <w:szCs w:val="30"/>
        </w:rPr>
      </w:pPr>
      <w:r>
        <w:rPr>
          <w:rFonts w:hint="eastAsia" w:ascii="仿宋_GB2312"/>
          <w:b/>
          <w:sz w:val="30"/>
          <w:szCs w:val="30"/>
        </w:rPr>
        <w:t>绩效目标设定及指标完成情况。</w:t>
      </w:r>
    </w:p>
    <w:p w14:paraId="09625C58">
      <w:pPr>
        <w:ind w:firstLine="554" w:firstLineChars="200"/>
        <w:rPr>
          <w:rFonts w:ascii="仿宋_GB2312" w:hAnsi="仿宋_GB2312" w:cs="仿宋_GB2312"/>
          <w:sz w:val="30"/>
          <w:szCs w:val="30"/>
        </w:rPr>
      </w:pPr>
      <w:r>
        <w:rPr>
          <w:rFonts w:hint="eastAsia" w:ascii="仿宋_GB2312" w:hAnsi="仿宋_GB2312" w:cs="仿宋_GB2312"/>
          <w:bCs/>
          <w:sz w:val="30"/>
          <w:szCs w:val="30"/>
        </w:rPr>
        <w:t>中心新的业务用房已于2020年5月装修完工交付使用，并于2020年5月27日搬迁至新的业务用房开展业务工作，根据国家卫生健康委《社区卫生服务中心服务能力标准》(2018版)、《社区卫生服务中心服务能力评价指南(2019版)》标准，配套完善了一批医疗设备、设施，用于中心开展基本医疗、基本公共卫生服务、家庭医生签约服务、预防保健、康复等方面的工作，此笔设备采购经费主要来源于</w:t>
      </w:r>
      <w:r>
        <w:rPr>
          <w:rFonts w:hint="eastAsia" w:ascii="仿宋_GB2312" w:hAnsi="仿宋_GB2312" w:cs="仿宋_GB2312"/>
          <w:sz w:val="30"/>
          <w:szCs w:val="30"/>
        </w:rPr>
        <w:t>2019年10月22日，昆明市呈贡区人民政府在第三届人民政府第116次</w:t>
      </w:r>
      <w:r>
        <w:rPr>
          <w:rFonts w:hint="eastAsia" w:ascii="仿宋_GB2312" w:hAnsi="仿宋_GB2312" w:cs="仿宋_GB2312"/>
          <w:sz w:val="30"/>
          <w:szCs w:val="30"/>
          <w:lang w:eastAsia="zh-CN"/>
        </w:rPr>
        <w:t>常委会会议</w:t>
      </w:r>
      <w:r>
        <w:rPr>
          <w:rFonts w:hint="eastAsia" w:ascii="仿宋_GB2312" w:hAnsi="仿宋_GB2312" w:cs="仿宋_GB2312"/>
          <w:sz w:val="30"/>
          <w:szCs w:val="30"/>
        </w:rPr>
        <w:t>上同意拨付我中心的3000000.00元专项资金，</w:t>
      </w:r>
      <w:r>
        <w:rPr>
          <w:rFonts w:hint="eastAsia" w:ascii="仿宋_GB2312" w:hAnsi="仿宋_GB2312" w:cs="仿宋_GB2312"/>
          <w:bCs/>
          <w:sz w:val="30"/>
          <w:szCs w:val="30"/>
        </w:rPr>
        <w:t>12月25日</w:t>
      </w:r>
      <w:r>
        <w:rPr>
          <w:rFonts w:hint="eastAsia" w:ascii="仿宋_GB2312" w:hAnsi="仿宋_GB2312" w:cs="仿宋_GB2312"/>
          <w:sz w:val="30"/>
          <w:szCs w:val="30"/>
        </w:rPr>
        <w:t>区财政局拨付的</w:t>
      </w:r>
      <w:r>
        <w:rPr>
          <w:rFonts w:hint="eastAsia" w:ascii="仿宋_GB2312" w:hAnsi="仿宋_GB2312" w:cs="仿宋_GB2312"/>
          <w:bCs/>
          <w:sz w:val="30"/>
          <w:szCs w:val="30"/>
        </w:rPr>
        <w:t>设备采购经费到账，现已按合同支付了设备预付款30%及安装调试好后的65%款项。</w:t>
      </w:r>
    </w:p>
    <w:p w14:paraId="0EF596DC">
      <w:pPr>
        <w:topLinePunct/>
        <w:rPr>
          <w:rFonts w:ascii="仿宋_GB2312" w:hAnsi="仿宋_GB2312" w:cs="仿宋_GB2312"/>
          <w:sz w:val="28"/>
          <w:szCs w:val="28"/>
        </w:rPr>
      </w:pPr>
    </w:p>
    <w:p w14:paraId="28601C2C">
      <w:pPr>
        <w:topLinePunct/>
        <w:ind w:firstLine="594" w:firstLineChars="200"/>
        <w:rPr>
          <w:rFonts w:ascii="黑体" w:eastAsia="黑体"/>
          <w:szCs w:val="32"/>
        </w:rPr>
      </w:pPr>
      <w:r>
        <w:rPr>
          <w:rFonts w:hint="eastAsia" w:ascii="黑体" w:eastAsia="黑体"/>
          <w:szCs w:val="32"/>
        </w:rPr>
        <w:t>二、项目资金使用及管理情况</w:t>
      </w:r>
    </w:p>
    <w:p w14:paraId="1BE3BAB4">
      <w:pPr>
        <w:topLinePunct/>
        <w:ind w:firstLine="554" w:firstLineChars="200"/>
        <w:rPr>
          <w:rFonts w:ascii="仿宋_GB2312" w:hAnsi="仿宋_GB2312" w:cs="仿宋_GB2312"/>
          <w:b/>
          <w:sz w:val="30"/>
          <w:szCs w:val="30"/>
        </w:rPr>
      </w:pPr>
      <w:r>
        <w:rPr>
          <w:rFonts w:hint="eastAsia" w:ascii="仿宋_GB2312" w:hAnsi="仿宋_GB2312" w:cs="仿宋_GB2312"/>
          <w:b/>
          <w:sz w:val="30"/>
          <w:szCs w:val="30"/>
        </w:rPr>
        <w:t>项目资金（包括公共财政预算资金、政府性基金、财政专户资金、自筹资金等）安排落实、总投入等情况分析。项目资金（主要是指财政拨款）实际使用情况分析。项目资金管理情况（包括管理制度、办法的制订及执行情况）分析。</w:t>
      </w:r>
    </w:p>
    <w:p w14:paraId="06662BF2">
      <w:pPr>
        <w:ind w:firstLine="552" w:firstLineChars="199"/>
        <w:rPr>
          <w:rFonts w:ascii="仿宋_GB2312" w:hAnsi="仿宋_GB2312" w:cs="仿宋_GB2312"/>
          <w:sz w:val="30"/>
          <w:szCs w:val="30"/>
        </w:rPr>
      </w:pPr>
      <w:r>
        <w:rPr>
          <w:rFonts w:hint="eastAsia" w:ascii="仿宋_GB2312" w:hAnsi="仿宋_GB2312" w:cs="仿宋_GB2312"/>
          <w:sz w:val="30"/>
          <w:szCs w:val="30"/>
        </w:rPr>
        <w:t>2019年度，我单位设备采购项目总投资383.11万元。其中300万由年度财政预算调整经费为列支；20万元由上级拨入基层能力提升工作经费中列支；57.88万元由历年中央、省市级基本药物补助经费列支，5.32万元由基本公共卫生服务工作兑现经费中列支。全年资金到位率为100%。</w:t>
      </w:r>
    </w:p>
    <w:p w14:paraId="30267185">
      <w:pPr>
        <w:topLinePunct/>
        <w:ind w:firstLine="554" w:firstLineChars="200"/>
        <w:rPr>
          <w:rFonts w:ascii="仿宋_GB2312" w:hAnsi="仿宋_GB2312" w:cs="仿宋_GB2312"/>
          <w:sz w:val="30"/>
          <w:szCs w:val="30"/>
        </w:rPr>
      </w:pPr>
    </w:p>
    <w:p w14:paraId="0A17A4C7">
      <w:pPr>
        <w:topLinePunct/>
        <w:ind w:firstLine="594" w:firstLineChars="200"/>
        <w:rPr>
          <w:rFonts w:ascii="黑体" w:eastAsia="黑体"/>
          <w:szCs w:val="32"/>
        </w:rPr>
      </w:pPr>
      <w:r>
        <w:rPr>
          <w:rFonts w:hint="eastAsia" w:ascii="黑体" w:eastAsia="黑体"/>
          <w:szCs w:val="32"/>
        </w:rPr>
        <w:t>三、项目组织实施情况</w:t>
      </w:r>
    </w:p>
    <w:p w14:paraId="5190A572">
      <w:pPr>
        <w:topLinePunct/>
        <w:ind w:firstLine="554" w:firstLineChars="200"/>
        <w:rPr>
          <w:rFonts w:ascii="仿宋_GB2312" w:hAnsi="仿宋_GB2312" w:cs="仿宋_GB2312"/>
          <w:b/>
          <w:sz w:val="30"/>
          <w:szCs w:val="30"/>
        </w:rPr>
      </w:pPr>
      <w:r>
        <w:rPr>
          <w:rFonts w:hint="eastAsia" w:ascii="仿宋_GB2312" w:hAnsi="仿宋_GB2312" w:cs="仿宋_GB2312"/>
          <w:b/>
          <w:sz w:val="30"/>
          <w:szCs w:val="30"/>
        </w:rPr>
        <w:t>项目组织情况分析，主要包括项目前期准备、招投标、调整、竣工验收等情况。项目管理情况分析，主要包括项目管理制度、办法的制订、日常检查监督管理等情况。</w:t>
      </w:r>
    </w:p>
    <w:p w14:paraId="49748859">
      <w:pPr>
        <w:ind w:firstLine="554" w:firstLineChars="200"/>
        <w:rPr>
          <w:rFonts w:ascii="仿宋_GB2312" w:hAnsi="仿宋_GB2312" w:cs="仿宋_GB2312"/>
          <w:bCs/>
          <w:sz w:val="30"/>
          <w:szCs w:val="30"/>
        </w:rPr>
      </w:pPr>
      <w:r>
        <w:rPr>
          <w:rFonts w:hint="eastAsia" w:ascii="仿宋_GB2312" w:hAnsi="仿宋_GB2312" w:cs="仿宋_GB2312"/>
          <w:bCs/>
          <w:sz w:val="30"/>
          <w:szCs w:val="30"/>
        </w:rPr>
        <w:t>为全面落实中心在政府采购中的主体责任，进一步规范政府采购行为，切实提高政府采购的效率和质量，</w:t>
      </w:r>
      <w:r>
        <w:rPr>
          <w:rFonts w:hint="eastAsia" w:ascii="仿宋_GB2312" w:hAnsi="仿宋_GB2312" w:cs="仿宋_GB2312"/>
          <w:sz w:val="30"/>
          <w:szCs w:val="30"/>
        </w:rPr>
        <w:t>10月22日中心院务会讨论通过，成立了新中心设备政府采购领导小组。</w:t>
      </w:r>
      <w:r>
        <w:rPr>
          <w:rFonts w:hint="eastAsia" w:ascii="仿宋_GB2312" w:hAnsi="仿宋_GB2312" w:cs="仿宋_GB2312"/>
          <w:bCs/>
          <w:sz w:val="30"/>
          <w:szCs w:val="30"/>
        </w:rPr>
        <w:t>2019年11月13日我单位根据昆财采【2014】16号文件的规定，对本项目进行了购买进口产品审核前的专家论证，并在云南省政府采购网上进行公示。按政府采购流程进行公开招标后于2019年12月24日定标，12月25日设备采购经费到账，12月26日与中标公司签订委托采购合同。</w:t>
      </w:r>
    </w:p>
    <w:p w14:paraId="17F14B04">
      <w:pPr>
        <w:ind w:firstLine="554" w:firstLineChars="200"/>
        <w:rPr>
          <w:rFonts w:ascii="仿宋_GB2312" w:hAnsi="仿宋_GB2312" w:cs="仿宋_GB2312"/>
          <w:sz w:val="30"/>
          <w:szCs w:val="30"/>
        </w:rPr>
      </w:pPr>
      <w:r>
        <w:rPr>
          <w:rFonts w:hint="eastAsia" w:ascii="仿宋_GB2312" w:hAnsi="仿宋_GB2312" w:cs="仿宋_GB2312"/>
          <w:sz w:val="30"/>
          <w:szCs w:val="30"/>
        </w:rPr>
        <w:t>根据云南省人民政府关于贯彻《中华人民共和国政府采购法》的实施意见的通知精神，我中心严格按照经费使用要求，规范中心财务管理，建立健全设备采购经费使用管理绩效评价机制，切实保障了经费使用的效益。</w:t>
      </w:r>
    </w:p>
    <w:p w14:paraId="17AB31DB">
      <w:pPr>
        <w:topLinePunct/>
        <w:ind w:firstLine="594" w:firstLineChars="200"/>
        <w:rPr>
          <w:rFonts w:ascii="黑体" w:eastAsia="黑体"/>
          <w:szCs w:val="32"/>
        </w:rPr>
      </w:pPr>
      <w:r>
        <w:rPr>
          <w:rFonts w:hint="eastAsia" w:ascii="黑体" w:eastAsia="黑体"/>
          <w:szCs w:val="32"/>
        </w:rPr>
        <w:t>四、项目绩效情况</w:t>
      </w:r>
    </w:p>
    <w:p w14:paraId="14F088D3">
      <w:pPr>
        <w:topLinePunct/>
        <w:ind w:firstLine="554" w:firstLineChars="200"/>
        <w:rPr>
          <w:rFonts w:ascii="仿宋_GB2312"/>
          <w:b/>
          <w:sz w:val="30"/>
          <w:szCs w:val="30"/>
        </w:rPr>
      </w:pPr>
      <w:r>
        <w:rPr>
          <w:rFonts w:hint="eastAsia" w:ascii="仿宋_GB2312"/>
          <w:b/>
          <w:sz w:val="30"/>
          <w:szCs w:val="30"/>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14:paraId="259B5037">
      <w:pPr>
        <w:topLinePunct/>
        <w:ind w:firstLine="554" w:firstLineChars="200"/>
        <w:rPr>
          <w:rFonts w:ascii="仿宋_GB2312" w:hAnsi="仿宋_GB2312" w:cs="仿宋_GB2312"/>
          <w:sz w:val="30"/>
          <w:szCs w:val="30"/>
        </w:rPr>
      </w:pPr>
      <w:r>
        <w:rPr>
          <w:rFonts w:hint="eastAsia" w:ascii="仿宋_GB2312" w:hAnsi="仿宋_GB2312" w:cs="仿宋_GB2312"/>
          <w:sz w:val="30"/>
          <w:szCs w:val="30"/>
        </w:rPr>
        <w:t>1、经济性分析。中心严格按照年初财政拨款预算批复文件执行，在预算执行过程中，节约不必要的预算支出，所采设备是</w:t>
      </w:r>
      <w:r>
        <w:rPr>
          <w:rFonts w:hint="eastAsia" w:ascii="仿宋_GB2312" w:hAnsi="仿宋_GB2312" w:cs="仿宋_GB2312"/>
          <w:bCs/>
          <w:sz w:val="30"/>
          <w:szCs w:val="30"/>
        </w:rPr>
        <w:t>根据国家卫生健康委《社区卫生服务中心服务能力标准》(2018版)、《社区卫生服务中心服务能力评价指南(2019版)》标准采购，</w:t>
      </w:r>
      <w:r>
        <w:rPr>
          <w:rFonts w:hint="eastAsia" w:ascii="仿宋_GB2312" w:hAnsi="仿宋_GB2312" w:cs="仿宋_GB2312"/>
          <w:sz w:val="30"/>
          <w:szCs w:val="30"/>
        </w:rPr>
        <w:t>严格控制项目经费开支，做到专款专用。</w:t>
      </w:r>
    </w:p>
    <w:p w14:paraId="339FA2EC">
      <w:pPr>
        <w:topLinePunct/>
        <w:ind w:firstLine="416" w:firstLineChars="150"/>
        <w:rPr>
          <w:rFonts w:ascii="仿宋_GB2312" w:hAnsi="仿宋_GB2312" w:cs="仿宋_GB2312"/>
          <w:sz w:val="30"/>
          <w:szCs w:val="30"/>
        </w:rPr>
      </w:pPr>
      <w:r>
        <w:rPr>
          <w:rFonts w:hint="eastAsia" w:ascii="仿宋_GB2312" w:hAnsi="仿宋_GB2312" w:cs="仿宋_GB2312"/>
          <w:sz w:val="30"/>
          <w:szCs w:val="30"/>
        </w:rPr>
        <w:t>2、效率性分析，中心均按照规定的项目预算执行进度按质按量执行预算，确保开展医疗卫生事务的项目经费开支。</w:t>
      </w:r>
    </w:p>
    <w:p w14:paraId="42450611">
      <w:pPr>
        <w:topLinePunct/>
        <w:ind w:firstLine="554" w:firstLineChars="200"/>
        <w:rPr>
          <w:rFonts w:ascii="仿宋_GB2312" w:hAnsi="仿宋_GB2312" w:cs="仿宋_GB2312"/>
          <w:sz w:val="30"/>
          <w:szCs w:val="30"/>
        </w:rPr>
      </w:pPr>
      <w:r>
        <w:rPr>
          <w:rFonts w:hint="eastAsia" w:ascii="仿宋_GB2312" w:hAnsi="仿宋_GB2312" w:cs="仿宋_GB2312"/>
          <w:sz w:val="30"/>
          <w:szCs w:val="30"/>
        </w:rPr>
        <w:t>3、效益性分析。基本完成预期设定的基本公共卫生服务目标人群及医疗服务人次、医疗收入增长的目标，提升了辖区居民的健康素养水平和就医感受，得到了居民的认可。</w:t>
      </w:r>
    </w:p>
    <w:p w14:paraId="48974C80">
      <w:pPr>
        <w:topLinePunct/>
        <w:ind w:firstLine="446" w:firstLineChars="150"/>
        <w:rPr>
          <w:rFonts w:ascii="黑体" w:hAnsi="黑体" w:eastAsia="黑体"/>
          <w:szCs w:val="32"/>
        </w:rPr>
      </w:pPr>
      <w:r>
        <w:rPr>
          <w:rFonts w:hint="eastAsia" w:ascii="黑体" w:hAnsi="黑体" w:eastAsia="黑体"/>
          <w:szCs w:val="32"/>
        </w:rPr>
        <w:t>五、存在的问题</w:t>
      </w:r>
    </w:p>
    <w:p w14:paraId="1F5BD767">
      <w:pPr>
        <w:topLinePunct/>
        <w:ind w:firstLine="554" w:firstLineChars="200"/>
        <w:rPr>
          <w:rFonts w:ascii="仿宋_GB2312"/>
          <w:b/>
          <w:sz w:val="30"/>
          <w:szCs w:val="30"/>
        </w:rPr>
      </w:pPr>
      <w:r>
        <w:rPr>
          <w:rFonts w:hint="eastAsia" w:ascii="仿宋_GB2312"/>
          <w:b/>
          <w:sz w:val="30"/>
          <w:szCs w:val="30"/>
        </w:rPr>
        <w:t>（一）专项管理方面的问题。专项立项依据是否充分；是否有资金管理办法，资金管理办法是否规范等。</w:t>
      </w:r>
    </w:p>
    <w:p w14:paraId="22A14E28">
      <w:pPr>
        <w:topLinePunct/>
        <w:ind w:firstLine="554" w:firstLineChars="200"/>
        <w:rPr>
          <w:rFonts w:ascii="仿宋_GB2312" w:hAnsi="仿宋_GB2312" w:cs="仿宋_GB2312"/>
          <w:sz w:val="30"/>
          <w:szCs w:val="30"/>
        </w:rPr>
      </w:pPr>
      <w:r>
        <w:rPr>
          <w:rFonts w:hint="eastAsia" w:ascii="仿宋_GB2312" w:hAnsi="仿宋_GB2312" w:cs="仿宋_GB2312"/>
          <w:sz w:val="30"/>
          <w:szCs w:val="30"/>
        </w:rPr>
        <w:t>无。专项立项依据：《昆明市呈贡区人民政府关于在区级财政预算调整中增加乌龙街道社区卫生服务中心设备采购经费的批复》（呈政复【2019】233号）；是否有资金管理办法：成立了新中心设备政府采购领导小组，每笔经费的使用支出都要经过领导小组讨论通过决定，形成区卫健局局办公会事项审批表报主管局审批。资金管理办法规范，我们依据财政、卫生部门制定的相关财经制度、政府采购法规及会计制度，在严格实行专款专用的前提下进行了实时监控、全程监督。</w:t>
      </w:r>
    </w:p>
    <w:p w14:paraId="0AD9CCDB">
      <w:pPr>
        <w:topLinePunct/>
        <w:ind w:firstLine="554" w:firstLineChars="200"/>
        <w:rPr>
          <w:rFonts w:ascii="仿宋_GB2312"/>
          <w:b/>
          <w:sz w:val="30"/>
          <w:szCs w:val="30"/>
        </w:rPr>
      </w:pPr>
      <w:r>
        <w:rPr>
          <w:rFonts w:hint="eastAsia" w:ascii="仿宋_GB2312"/>
          <w:b/>
          <w:sz w:val="30"/>
          <w:szCs w:val="30"/>
        </w:rPr>
        <w:t>（二）资金分配方面的问题。资金分配是否合理，突出重点，公平公正；有无散小差现象；资金分配和使用方向是否与资金管理办法相符等。</w:t>
      </w:r>
    </w:p>
    <w:p w14:paraId="2ABD0810">
      <w:pPr>
        <w:topLinePunct/>
        <w:ind w:left="297" w:leftChars="100"/>
        <w:rPr>
          <w:rFonts w:ascii="仿宋_GB2312"/>
          <w:sz w:val="30"/>
          <w:szCs w:val="30"/>
        </w:rPr>
      </w:pPr>
      <w:r>
        <w:rPr>
          <w:rFonts w:hint="eastAsia" w:ascii="仿宋_GB2312"/>
          <w:sz w:val="30"/>
          <w:szCs w:val="30"/>
        </w:rPr>
        <w:t>资金分配合理，无其他分配方面的异常现象。</w:t>
      </w:r>
    </w:p>
    <w:p w14:paraId="472FCFE8">
      <w:pPr>
        <w:numPr>
          <w:ilvl w:val="0"/>
          <w:numId w:val="1"/>
        </w:numPr>
        <w:topLinePunct/>
        <w:ind w:firstLine="277" w:firstLineChars="100"/>
        <w:rPr>
          <w:rFonts w:ascii="仿宋_GB2312"/>
          <w:b/>
          <w:sz w:val="30"/>
          <w:szCs w:val="30"/>
        </w:rPr>
      </w:pPr>
      <w:r>
        <w:rPr>
          <w:rFonts w:hint="eastAsia" w:ascii="仿宋_GB2312"/>
          <w:b/>
          <w:sz w:val="30"/>
          <w:szCs w:val="30"/>
        </w:rPr>
        <w:t>资金拨付方面的问题。拨付是否及时，有无滞留、闲置等现象。</w:t>
      </w:r>
    </w:p>
    <w:p w14:paraId="0469007D">
      <w:pPr>
        <w:topLinePunct/>
        <w:ind w:left="297" w:leftChars="100"/>
        <w:rPr>
          <w:rFonts w:ascii="仿宋_GB2312"/>
          <w:szCs w:val="32"/>
        </w:rPr>
      </w:pPr>
      <w:r>
        <w:rPr>
          <w:rFonts w:hint="eastAsia" w:ascii="仿宋_GB2312"/>
          <w:szCs w:val="32"/>
        </w:rPr>
        <w:t>无</w:t>
      </w:r>
    </w:p>
    <w:p w14:paraId="06F2B5F1">
      <w:pPr>
        <w:numPr>
          <w:ilvl w:val="0"/>
          <w:numId w:val="1"/>
        </w:numPr>
        <w:topLinePunct/>
        <w:ind w:firstLine="277" w:firstLineChars="100"/>
        <w:rPr>
          <w:rFonts w:ascii="仿宋_GB2312" w:hAnsi="仿宋_GB2312" w:cs="仿宋_GB2312"/>
          <w:b/>
          <w:sz w:val="30"/>
          <w:szCs w:val="30"/>
        </w:rPr>
      </w:pPr>
      <w:r>
        <w:rPr>
          <w:rFonts w:hint="eastAsia" w:ascii="仿宋_GB2312"/>
          <w:b/>
          <w:sz w:val="30"/>
          <w:szCs w:val="30"/>
        </w:rPr>
        <w:t>资金使用方面的问题。资金使用是否合规，有无截留、挪用等现象，资金使用是否产生效益等。</w:t>
      </w:r>
    </w:p>
    <w:p w14:paraId="0DDAA978">
      <w:pPr>
        <w:topLinePunct/>
        <w:ind w:firstLine="554" w:firstLineChars="200"/>
        <w:rPr>
          <w:rFonts w:ascii="仿宋_GB2312" w:hAnsi="仿宋_GB2312" w:cs="仿宋_GB2312"/>
          <w:sz w:val="30"/>
          <w:szCs w:val="30"/>
        </w:rPr>
      </w:pPr>
      <w:r>
        <w:rPr>
          <w:rFonts w:hint="eastAsia" w:ascii="仿宋_GB2312" w:hAnsi="仿宋_GB2312" w:cs="仿宋_GB2312"/>
          <w:sz w:val="30"/>
          <w:szCs w:val="30"/>
        </w:rPr>
        <w:t>资金使用遵循增强支出责任和效率意识，贯彻落实项目绩效管理理念，优化资源配置，提高财政资金使用绩效和科学精细化管理水平，使财政资金真正落实在为居民提供的基本医疗和公共卫生服务上。</w:t>
      </w:r>
      <w:r>
        <w:rPr>
          <w:rFonts w:hint="eastAsia" w:ascii="仿宋_GB2312" w:hAnsi="仿宋_GB2312" w:cs="仿宋_GB2312"/>
          <w:color w:val="333333"/>
          <w:kern w:val="0"/>
          <w:sz w:val="30"/>
          <w:szCs w:val="30"/>
        </w:rPr>
        <w:t>资金使用规范，符合国家财经法规和财务管理制度以及有关专项资金管理办法的规定。固定资产设专人管理。符合合同规定用途，没有截留、挤占、挪用等情况。</w:t>
      </w:r>
      <w:r>
        <w:rPr>
          <w:rFonts w:hint="eastAsia" w:ascii="仿宋_GB2312" w:hAnsi="仿宋_GB2312" w:cs="仿宋_GB2312"/>
          <w:sz w:val="30"/>
          <w:szCs w:val="30"/>
        </w:rPr>
        <w:t>通过医疗设备采购完善了新中心的配套设施，保障了中心各项业务能正常开展，进一步满足乌龙街道辖区广大居民的基本医疗和公共卫生服务需求。</w:t>
      </w:r>
    </w:p>
    <w:p w14:paraId="53EF54CC">
      <w:pPr>
        <w:topLinePunct/>
        <w:spacing w:line="360" w:lineRule="auto"/>
        <w:rPr>
          <w:rFonts w:ascii="黑体" w:eastAsia="黑体"/>
          <w:szCs w:val="32"/>
        </w:rPr>
      </w:pPr>
      <w:r>
        <w:rPr>
          <w:rFonts w:hint="eastAsia" w:ascii="黑体" w:eastAsia="黑体"/>
          <w:szCs w:val="32"/>
        </w:rPr>
        <w:t>六、其他需要说明的问题</w:t>
      </w:r>
    </w:p>
    <w:p w14:paraId="54564789">
      <w:pPr>
        <w:topLinePunct/>
        <w:ind w:firstLine="554" w:firstLineChars="200"/>
        <w:rPr>
          <w:rFonts w:ascii="仿宋_GB2312"/>
          <w:b/>
          <w:sz w:val="30"/>
          <w:szCs w:val="30"/>
        </w:rPr>
      </w:pPr>
      <w:r>
        <w:rPr>
          <w:rFonts w:hint="eastAsia" w:ascii="仿宋_GB2312"/>
          <w:b/>
          <w:sz w:val="30"/>
          <w:szCs w:val="30"/>
        </w:rPr>
        <w:t>（一）后续工作计划。</w:t>
      </w:r>
    </w:p>
    <w:p w14:paraId="57207336">
      <w:pPr>
        <w:topLinePunct/>
        <w:ind w:firstLine="554" w:firstLineChars="200"/>
        <w:rPr>
          <w:rFonts w:ascii="仿宋_GB2312" w:hAnsi="仿宋_GB2312" w:cs="仿宋_GB2312"/>
          <w:sz w:val="30"/>
          <w:szCs w:val="30"/>
        </w:rPr>
      </w:pPr>
      <w:r>
        <w:rPr>
          <w:rFonts w:hint="eastAsia" w:ascii="仿宋_GB2312" w:hAnsi="仿宋_GB2312" w:cs="仿宋_GB2312"/>
          <w:sz w:val="30"/>
          <w:szCs w:val="30"/>
        </w:rPr>
        <w:t>1、我单位新采设备纳入固定资产管理，中心严格按照《会计法》、《事业单位会计制度》、《事业单位国有资产管理暂行办法》实行管理。财务室负责固定资产的统一管理，由专人管理固定资产台账，进行固定资产实物核算;使用科室负责固定资产的日常管理和保养，依法维护其安全和完整；科室负责人为本科室固定资产管理第一负责人。</w:t>
      </w:r>
    </w:p>
    <w:p w14:paraId="648AC353">
      <w:pPr>
        <w:ind w:firstLine="554" w:firstLineChars="200"/>
        <w:rPr>
          <w:rFonts w:ascii="仿宋_GB2312" w:hAnsi="仿宋_GB2312" w:cs="仿宋_GB2312"/>
          <w:sz w:val="30"/>
          <w:szCs w:val="30"/>
        </w:rPr>
      </w:pPr>
      <w:r>
        <w:rPr>
          <w:rFonts w:hint="eastAsia" w:ascii="仿宋_GB2312" w:hAnsi="仿宋_GB2312" w:cs="仿宋_GB2312"/>
          <w:sz w:val="30"/>
          <w:szCs w:val="30"/>
        </w:rPr>
        <w:t>2、我单位采用全方位、分层次和“请进来、送出去”的培训方法，切实加强相关设备使用医务人员的教育学习。中心在原有人员的基础上有针对性的新聘用了一批专业技术人员，并根据实际情况陆续把新老员工送到上级医院相关科室实习，并安排在设备进场后对所有相关人员进行业务培训，确保所有设备能正常运转，保证诊疗服务正常开展，满足周边地区广大居民的基本医疗和公共卫生服务需求。</w:t>
      </w:r>
    </w:p>
    <w:p w14:paraId="7E180DAF">
      <w:pPr>
        <w:topLinePunct/>
        <w:ind w:firstLine="594" w:firstLineChars="200"/>
        <w:rPr>
          <w:rFonts w:ascii="仿宋_GB2312"/>
          <w:b/>
          <w:szCs w:val="32"/>
        </w:rPr>
      </w:pPr>
      <w:r>
        <w:rPr>
          <w:rFonts w:hint="eastAsia" w:ascii="仿宋_GB2312"/>
          <w:b/>
          <w:szCs w:val="32"/>
        </w:rPr>
        <w:t>（二）主要经验做法、改进措施和有关建议等。</w:t>
      </w:r>
    </w:p>
    <w:p w14:paraId="12A0F6B3">
      <w:pPr>
        <w:rPr>
          <w:sz w:val="30"/>
          <w:szCs w:val="30"/>
        </w:rPr>
      </w:pPr>
      <w:r>
        <w:rPr>
          <w:rFonts w:hint="eastAsia"/>
          <w:sz w:val="30"/>
          <w:szCs w:val="30"/>
        </w:rPr>
        <w:t>无</w:t>
      </w:r>
    </w:p>
    <w:p w14:paraId="04E48BFC">
      <w:pPr>
        <w:rPr>
          <w:sz w:val="30"/>
          <w:szCs w:val="30"/>
        </w:rPr>
      </w:pPr>
    </w:p>
    <w:p w14:paraId="5A4F12C2">
      <w:pPr>
        <w:rPr>
          <w:sz w:val="30"/>
          <w:szCs w:val="30"/>
        </w:rPr>
      </w:pPr>
    </w:p>
    <w:p w14:paraId="1EBF659A">
      <w:pPr>
        <w:rPr>
          <w:sz w:val="30"/>
          <w:szCs w:val="30"/>
        </w:rPr>
      </w:pPr>
    </w:p>
    <w:p w14:paraId="110FE3A9">
      <w:pPr>
        <w:rPr>
          <w:sz w:val="30"/>
          <w:szCs w:val="30"/>
        </w:rPr>
      </w:pPr>
      <w:r>
        <w:rPr>
          <w:rFonts w:hint="eastAsia"/>
          <w:sz w:val="30"/>
          <w:szCs w:val="30"/>
        </w:rPr>
        <w:t xml:space="preserve">                       昆明市呈贡区乌龙街道社区卫生服务中心</w:t>
      </w:r>
    </w:p>
    <w:p w14:paraId="36A25337">
      <w:r>
        <w:rPr>
          <w:rFonts w:hint="eastAsia"/>
          <w:sz w:val="30"/>
          <w:szCs w:val="30"/>
        </w:rPr>
        <w:t xml:space="preserve">                                  2020年6月12日</w:t>
      </w:r>
    </w:p>
    <w:sectPr>
      <w:pgSz w:w="11906" w:h="16838"/>
      <w:pgMar w:top="1723" w:right="1800" w:bottom="1723" w:left="1800"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20E5BF"/>
    <w:multiLevelType w:val="singleLevel"/>
    <w:tmpl w:val="BD20E5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48"/>
  <w:drawingGridVerticalSpacing w:val="3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6B20"/>
    <w:rsid w:val="002875C6"/>
    <w:rsid w:val="00565780"/>
    <w:rsid w:val="00587049"/>
    <w:rsid w:val="005A3065"/>
    <w:rsid w:val="006246D2"/>
    <w:rsid w:val="00975459"/>
    <w:rsid w:val="00A16B20"/>
    <w:rsid w:val="00F234AA"/>
    <w:rsid w:val="00F81B98"/>
    <w:rsid w:val="00FF6BF7"/>
    <w:rsid w:val="05AE36CA"/>
    <w:rsid w:val="068E1FFB"/>
    <w:rsid w:val="07387E2F"/>
    <w:rsid w:val="1FB967C0"/>
    <w:rsid w:val="20B56671"/>
    <w:rsid w:val="22604C5C"/>
    <w:rsid w:val="2A3C3122"/>
    <w:rsid w:val="378A5996"/>
    <w:rsid w:val="39E146B4"/>
    <w:rsid w:val="48F66F82"/>
    <w:rsid w:val="4C660879"/>
    <w:rsid w:val="52B92401"/>
    <w:rsid w:val="5A3C6978"/>
    <w:rsid w:val="64C761BC"/>
    <w:rsid w:val="67600811"/>
    <w:rsid w:val="683A46B1"/>
    <w:rsid w:val="7D1C30DA"/>
    <w:rsid w:val="7D434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iPriority w:val="0"/>
    <w:pPr>
      <w:tabs>
        <w:tab w:val="center" w:pos="4153"/>
        <w:tab w:val="right" w:pos="8306"/>
      </w:tabs>
      <w:snapToGrid w:val="0"/>
      <w:jc w:val="left"/>
    </w:pPr>
    <w:rPr>
      <w:sz w:val="18"/>
      <w:szCs w:val="18"/>
    </w:rPr>
  </w:style>
  <w:style w:type="paragraph" w:styleId="3">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qFormat/>
    <w:uiPriority w:val="0"/>
    <w:rPr>
      <w:rFonts w:hint="eastAsia" w:ascii="宋体" w:hAnsi="宋体" w:eastAsia="宋体" w:cs="宋体"/>
      <w:color w:val="000000"/>
      <w:sz w:val="24"/>
      <w:szCs w:val="24"/>
      <w:u w:val="none"/>
    </w:rPr>
  </w:style>
  <w:style w:type="character" w:customStyle="1" w:styleId="7">
    <w:name w:val="font91"/>
    <w:basedOn w:val="5"/>
    <w:qFormat/>
    <w:uiPriority w:val="0"/>
    <w:rPr>
      <w:rFonts w:hint="eastAsia" w:ascii="宋体" w:hAnsi="宋体" w:eastAsia="宋体" w:cs="宋体"/>
      <w:color w:val="000000"/>
      <w:sz w:val="16"/>
      <w:szCs w:val="16"/>
      <w:u w:val="none"/>
    </w:rPr>
  </w:style>
  <w:style w:type="character" w:customStyle="1" w:styleId="8">
    <w:name w:val="font61"/>
    <w:basedOn w:val="5"/>
    <w:qFormat/>
    <w:uiPriority w:val="0"/>
    <w:rPr>
      <w:rFonts w:hint="eastAsia" w:ascii="宋体" w:hAnsi="宋体" w:eastAsia="宋体" w:cs="宋体"/>
      <w:color w:val="000000"/>
      <w:sz w:val="18"/>
      <w:szCs w:val="18"/>
      <w:u w:val="none"/>
    </w:rPr>
  </w:style>
  <w:style w:type="character" w:customStyle="1" w:styleId="9">
    <w:name w:val="font81"/>
    <w:basedOn w:val="5"/>
    <w:qFormat/>
    <w:uiPriority w:val="0"/>
    <w:rPr>
      <w:rFonts w:hint="eastAsia" w:ascii="宋体" w:hAnsi="宋体" w:eastAsia="宋体" w:cs="宋体"/>
      <w:color w:val="000000"/>
      <w:sz w:val="24"/>
      <w:szCs w:val="24"/>
      <w:u w:val="none"/>
    </w:rPr>
  </w:style>
  <w:style w:type="character" w:customStyle="1" w:styleId="10">
    <w:name w:val="font101"/>
    <w:basedOn w:val="5"/>
    <w:qFormat/>
    <w:uiPriority w:val="0"/>
    <w:rPr>
      <w:rFonts w:hint="eastAsia" w:ascii="宋体" w:hAnsi="宋体" w:eastAsia="宋体" w:cs="宋体"/>
      <w:color w:val="000000"/>
      <w:sz w:val="16"/>
      <w:szCs w:val="16"/>
      <w:u w:val="none"/>
    </w:rPr>
  </w:style>
  <w:style w:type="character" w:customStyle="1" w:styleId="11">
    <w:name w:val="font31"/>
    <w:basedOn w:val="5"/>
    <w:qFormat/>
    <w:uiPriority w:val="0"/>
    <w:rPr>
      <w:rFonts w:hint="eastAsia" w:ascii="宋体" w:hAnsi="宋体" w:eastAsia="宋体" w:cs="宋体"/>
      <w:color w:val="000000"/>
      <w:sz w:val="18"/>
      <w:szCs w:val="18"/>
      <w:u w:val="none"/>
    </w:rPr>
  </w:style>
  <w:style w:type="character" w:customStyle="1" w:styleId="12">
    <w:name w:val="页眉 Char"/>
    <w:basedOn w:val="5"/>
    <w:link w:val="3"/>
    <w:uiPriority w:val="0"/>
    <w:rPr>
      <w:rFonts w:eastAsia="仿宋_GB2312" w:asciiTheme="minorHAnsi" w:hAnsiTheme="minorHAnsi" w:cstheme="minorBidi"/>
      <w:kern w:val="2"/>
      <w:sz w:val="18"/>
      <w:szCs w:val="18"/>
    </w:rPr>
  </w:style>
  <w:style w:type="character" w:customStyle="1" w:styleId="13">
    <w:name w:val="页脚 Char"/>
    <w:basedOn w:val="5"/>
    <w:link w:val="2"/>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C7CAEE-96CD-4B06-A8F3-E0E18D34C374}">
  <ds:schemaRefs/>
</ds:datastoreItem>
</file>

<file path=docProps/app.xml><?xml version="1.0" encoding="utf-8"?>
<Properties xmlns="http://schemas.openxmlformats.org/officeDocument/2006/extended-properties" xmlns:vt="http://schemas.openxmlformats.org/officeDocument/2006/docPropsVTypes">
  <Template>Normal</Template>
  <Pages>8</Pages>
  <Words>3557</Words>
  <Characters>4121</Characters>
  <Lines>32</Lines>
  <Paragraphs>9</Paragraphs>
  <TotalTime>171</TotalTime>
  <ScaleCrop>false</ScaleCrop>
  <LinksUpToDate>false</LinksUpToDate>
  <CharactersWithSpaces>4191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李亚然</cp:lastModifiedBy>
  <dcterms:modified xsi:type="dcterms:W3CDTF">2026-01-21T01:27:29Z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eyJoZGlkIjoiNWQ0YWUzZGJlYmEwMmI0NWVjMzBlMDQ2MTk4YWYyZjUiLCJ1c2VySWQiOiIxNzExNzkyMjQxIn0=</vt:lpwstr>
  </property>
  <property fmtid="{D5CDD505-2E9C-101B-9397-08002B2CF9AE}" pid="4" name="ICV">
    <vt:lpwstr>46CE6C207E26410EAA2A764DD381349D_12</vt:lpwstr>
  </property>
</Properties>
</file>