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12" w:lineRule="auto"/>
        <w:jc w:val="center"/>
        <w:rPr>
          <w:color w:val="000000"/>
          <w:sz w:val="36"/>
          <w:szCs w:val="36"/>
        </w:rPr>
      </w:pPr>
    </w:p>
    <w:p>
      <w:pPr>
        <w:spacing w:line="312" w:lineRule="auto"/>
        <w:jc w:val="center"/>
        <w:rPr>
          <w:b/>
          <w:color w:val="000000"/>
          <w:sz w:val="72"/>
          <w:szCs w:val="72"/>
        </w:rPr>
      </w:pPr>
      <w:bookmarkStart w:id="0" w:name="_Toc23681"/>
      <w:r>
        <w:rPr>
          <w:b/>
          <w:color w:val="000000"/>
          <w:sz w:val="72"/>
          <w:szCs w:val="72"/>
        </w:rPr>
        <w:t>昆明市呈贡区</w:t>
      </w:r>
      <w:bookmarkEnd w:id="0"/>
    </w:p>
    <w:p>
      <w:pPr>
        <w:spacing w:line="312" w:lineRule="auto"/>
        <w:jc w:val="center"/>
        <w:rPr>
          <w:b/>
          <w:color w:val="000000"/>
          <w:sz w:val="72"/>
          <w:szCs w:val="72"/>
        </w:rPr>
      </w:pPr>
      <w:bookmarkStart w:id="1" w:name="_Toc14554"/>
      <w:r>
        <w:rPr>
          <w:b/>
          <w:color w:val="000000"/>
          <w:sz w:val="72"/>
          <w:szCs w:val="72"/>
        </w:rPr>
        <w:t>“十四五”现代服务业</w:t>
      </w:r>
      <w:bookmarkEnd w:id="1"/>
    </w:p>
    <w:p>
      <w:pPr>
        <w:spacing w:line="312" w:lineRule="auto"/>
        <w:jc w:val="center"/>
        <w:rPr>
          <w:b/>
          <w:color w:val="000000"/>
          <w:sz w:val="72"/>
          <w:szCs w:val="72"/>
        </w:rPr>
      </w:pPr>
      <w:bookmarkStart w:id="2" w:name="_Toc25677"/>
      <w:r>
        <w:rPr>
          <w:b/>
          <w:color w:val="000000"/>
          <w:sz w:val="72"/>
          <w:szCs w:val="72"/>
        </w:rPr>
        <w:t>高质量发展规划</w:t>
      </w:r>
      <w:bookmarkEnd w:id="2"/>
    </w:p>
    <w:p>
      <w:pPr>
        <w:spacing w:line="312" w:lineRule="auto"/>
        <w:jc w:val="center"/>
        <w:rPr>
          <w:color w:val="000000"/>
          <w:sz w:val="36"/>
          <w:szCs w:val="36"/>
        </w:rPr>
      </w:pPr>
    </w:p>
    <w:p>
      <w:pPr>
        <w:spacing w:line="312" w:lineRule="auto"/>
        <w:jc w:val="center"/>
        <w:rPr>
          <w:color w:val="000000"/>
          <w:sz w:val="36"/>
          <w:szCs w:val="36"/>
        </w:rPr>
      </w:pPr>
    </w:p>
    <w:p>
      <w:pPr>
        <w:spacing w:line="312" w:lineRule="auto"/>
        <w:jc w:val="center"/>
        <w:rPr>
          <w:color w:val="000000"/>
          <w:sz w:val="36"/>
          <w:szCs w:val="36"/>
        </w:rPr>
      </w:pPr>
    </w:p>
    <w:p>
      <w:pPr>
        <w:spacing w:line="312" w:lineRule="auto"/>
        <w:jc w:val="center"/>
        <w:rPr>
          <w:color w:val="000000"/>
          <w:sz w:val="36"/>
          <w:szCs w:val="36"/>
        </w:rPr>
      </w:pPr>
    </w:p>
    <w:p>
      <w:pPr>
        <w:spacing w:line="312" w:lineRule="auto"/>
        <w:jc w:val="center"/>
        <w:rPr>
          <w:color w:val="000000"/>
          <w:sz w:val="36"/>
          <w:szCs w:val="36"/>
        </w:rPr>
      </w:pPr>
    </w:p>
    <w:p>
      <w:pPr>
        <w:spacing w:line="312" w:lineRule="auto"/>
        <w:jc w:val="center"/>
        <w:rPr>
          <w:color w:val="000000"/>
          <w:sz w:val="36"/>
          <w:szCs w:val="36"/>
        </w:rPr>
      </w:pPr>
    </w:p>
    <w:p>
      <w:pPr>
        <w:spacing w:line="312" w:lineRule="auto"/>
        <w:jc w:val="center"/>
        <w:rPr>
          <w:color w:val="000000"/>
          <w:sz w:val="36"/>
          <w:szCs w:val="36"/>
        </w:rPr>
      </w:pPr>
    </w:p>
    <w:p>
      <w:pPr>
        <w:spacing w:line="312" w:lineRule="auto"/>
        <w:jc w:val="center"/>
        <w:rPr>
          <w:color w:val="000000"/>
          <w:sz w:val="36"/>
          <w:szCs w:val="36"/>
        </w:rPr>
      </w:pPr>
    </w:p>
    <w:p>
      <w:pPr>
        <w:spacing w:line="312" w:lineRule="auto"/>
        <w:jc w:val="center"/>
        <w:rPr>
          <w:color w:val="000000"/>
          <w:sz w:val="36"/>
          <w:szCs w:val="36"/>
        </w:rPr>
      </w:pPr>
    </w:p>
    <w:p>
      <w:pPr>
        <w:spacing w:line="312" w:lineRule="auto"/>
        <w:rPr>
          <w:color w:val="000000"/>
          <w:sz w:val="36"/>
          <w:szCs w:val="36"/>
        </w:rPr>
      </w:pPr>
    </w:p>
    <w:p>
      <w:pPr>
        <w:spacing w:line="312" w:lineRule="auto"/>
        <w:jc w:val="center"/>
        <w:rPr>
          <w:color w:val="000000"/>
          <w:sz w:val="36"/>
          <w:szCs w:val="36"/>
        </w:rPr>
      </w:pPr>
      <w:r>
        <w:rPr>
          <w:color w:val="000000"/>
          <w:sz w:val="36"/>
          <w:szCs w:val="36"/>
        </w:rPr>
        <w:t>昆明市呈贡区发展和改革局</w:t>
      </w:r>
    </w:p>
    <w:p>
      <w:pPr>
        <w:spacing w:line="312" w:lineRule="auto"/>
        <w:jc w:val="center"/>
        <w:rPr>
          <w:color w:val="000000"/>
          <w:sz w:val="36"/>
          <w:szCs w:val="36"/>
        </w:rPr>
      </w:pPr>
      <w:r>
        <w:rPr>
          <w:rFonts w:hint="eastAsia"/>
          <w:color w:val="000000"/>
          <w:sz w:val="36"/>
          <w:szCs w:val="36"/>
        </w:rPr>
        <w:t>昆明元闻文化传播有限公司</w:t>
      </w:r>
    </w:p>
    <w:p>
      <w:pPr>
        <w:spacing w:line="312" w:lineRule="auto"/>
        <w:jc w:val="center"/>
        <w:rPr>
          <w:color w:val="000000"/>
          <w:sz w:val="36"/>
          <w:szCs w:val="36"/>
        </w:rPr>
      </w:pPr>
      <w:r>
        <w:rPr>
          <w:rFonts w:hint="eastAsia"/>
          <w:color w:val="000000"/>
          <w:sz w:val="36"/>
          <w:szCs w:val="36"/>
        </w:rPr>
        <w:t>2020年10月19日</w:t>
      </w:r>
    </w:p>
    <w:p>
      <w:pPr>
        <w:spacing w:line="312" w:lineRule="auto"/>
        <w:jc w:val="center"/>
        <w:rPr>
          <w:color w:val="000000"/>
          <w:sz w:val="32"/>
          <w:szCs w:val="32"/>
        </w:rPr>
        <w:sectPr>
          <w:pgSz w:w="11906" w:h="16838"/>
          <w:pgMar w:top="1701" w:right="1440" w:bottom="1440" w:left="1440" w:header="708" w:footer="708" w:gutter="0"/>
          <w:pgNumType w:fmt="decimal" w:start="1"/>
          <w:cols w:space="720" w:num="1"/>
          <w:docGrid w:linePitch="360" w:charSpace="6144"/>
        </w:sectPr>
      </w:pPr>
    </w:p>
    <w:p>
      <w:pPr>
        <w:spacing w:before="0" w:beforeLines="0" w:after="0" w:afterLines="0" w:line="240" w:lineRule="auto"/>
        <w:ind w:left="0" w:leftChars="0" w:right="0" w:rightChars="0" w:firstLine="0" w:firstLineChars="0"/>
        <w:jc w:val="center"/>
        <w:rPr>
          <w:rFonts w:hint="eastAsia" w:ascii="方正小标宋简体" w:hAnsi="方正小标宋简体" w:eastAsia="方正小标宋简体" w:cs="方正小标宋简体"/>
          <w:sz w:val="44"/>
          <w:szCs w:val="44"/>
        </w:rPr>
      </w:pPr>
      <w:bookmarkStart w:id="3" w:name="_Toc11764"/>
      <w:bookmarkStart w:id="4" w:name="_Toc19718"/>
      <w:r>
        <w:rPr>
          <w:rFonts w:hint="eastAsia" w:ascii="方正小标宋简体" w:hAnsi="方正小标宋简体" w:eastAsia="方正小标宋简体" w:cs="方正小标宋简体"/>
          <w:sz w:val="44"/>
          <w:szCs w:val="44"/>
        </w:rPr>
        <w:t>目录</w:t>
      </w:r>
    </w:p>
    <w:p>
      <w:pPr>
        <w:pStyle w:val="15"/>
        <w:tabs>
          <w:tab w:val="right" w:leader="dot" w:pos="8845"/>
        </w:tabs>
      </w:pPr>
      <w:r>
        <w:rPr>
          <w:rFonts w:hint="eastAsia" w:ascii="方正小标宋简体" w:hAnsi="新宋体" w:eastAsia="方正小标宋简体" w:cs="新宋体"/>
          <w:sz w:val="44"/>
          <w:szCs w:val="44"/>
        </w:rPr>
        <w:fldChar w:fldCharType="begin"/>
      </w:r>
      <w:r>
        <w:rPr>
          <w:rFonts w:hint="eastAsia" w:ascii="方正小标宋简体" w:hAnsi="新宋体" w:eastAsia="方正小标宋简体" w:cs="新宋体"/>
          <w:sz w:val="44"/>
          <w:szCs w:val="44"/>
        </w:rPr>
        <w:instrText xml:space="preserve">TOC \o "1-3" \h \u </w:instrText>
      </w:r>
      <w:r>
        <w:rPr>
          <w:rFonts w:hint="eastAsia" w:ascii="方正小标宋简体" w:hAnsi="新宋体" w:eastAsia="方正小标宋简体" w:cs="新宋体"/>
          <w:sz w:val="44"/>
          <w:szCs w:val="44"/>
        </w:rPr>
        <w:fldChar w:fldCharType="separate"/>
      </w:r>
    </w:p>
    <w:p>
      <w:pPr>
        <w:pStyle w:val="15"/>
        <w:keepNext w:val="0"/>
        <w:keepLines w:val="0"/>
        <w:pageBreakBefore w:val="0"/>
        <w:widowControl/>
        <w:tabs>
          <w:tab w:val="right" w:leader="dot" w:pos="8845"/>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_Toc9062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eastAsia="zh-CN"/>
        </w:rPr>
        <w:t>前</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言</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fldChar w:fldCharType="end"/>
      </w:r>
    </w:p>
    <w:p>
      <w:pPr>
        <w:pStyle w:val="15"/>
        <w:keepNext w:val="0"/>
        <w:keepLines w:val="0"/>
        <w:pageBreakBefore w:val="0"/>
        <w:widowControl/>
        <w:tabs>
          <w:tab w:val="right" w:leader="dot" w:pos="8845"/>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_Toc9062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highlight w:val="white"/>
        </w:rPr>
        <w:t>一、编制背景</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_Toc9062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6"/>
        <w:keepNext w:val="0"/>
        <w:keepLines w:val="0"/>
        <w:pageBreakBefore w:val="0"/>
        <w:widowControl/>
        <w:tabs>
          <w:tab w:val="right" w:leader="dot" w:pos="8845"/>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_Toc13755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highlight w:val="white"/>
        </w:rPr>
        <w:t>（一）发展基础</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_Toc13755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6"/>
        <w:keepNext w:val="0"/>
        <w:keepLines w:val="0"/>
        <w:pageBreakBefore w:val="0"/>
        <w:widowControl/>
        <w:tabs>
          <w:tab w:val="right" w:leader="dot" w:pos="8845"/>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_Toc7872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（二）存在问题</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fldChar w:fldCharType="end"/>
      </w:r>
    </w:p>
    <w:p>
      <w:pPr>
        <w:pStyle w:val="16"/>
        <w:keepNext w:val="0"/>
        <w:keepLines w:val="0"/>
        <w:pageBreakBefore w:val="0"/>
        <w:widowControl/>
        <w:tabs>
          <w:tab w:val="right" w:leader="dot" w:pos="8845"/>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_Toc11030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（三）发展环境</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fldChar w:fldCharType="end"/>
      </w:r>
    </w:p>
    <w:p>
      <w:pPr>
        <w:pStyle w:val="18"/>
        <w:keepNext w:val="0"/>
        <w:keepLines w:val="0"/>
        <w:pageBreakBefore w:val="0"/>
        <w:widowControl/>
        <w:tabs>
          <w:tab w:val="right" w:leader="dot" w:pos="8845"/>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_Toc31119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bCs/>
          <w:sz w:val="28"/>
          <w:szCs w:val="28"/>
        </w:rPr>
        <w:t>1.外部环境</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fldChar w:fldCharType="end"/>
      </w:r>
    </w:p>
    <w:p>
      <w:pPr>
        <w:pStyle w:val="18"/>
        <w:keepNext w:val="0"/>
        <w:keepLines w:val="0"/>
        <w:pageBreakBefore w:val="0"/>
        <w:widowControl/>
        <w:tabs>
          <w:tab w:val="right" w:leader="dot" w:pos="8845"/>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_Toc5793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bCs/>
          <w:sz w:val="28"/>
          <w:szCs w:val="28"/>
        </w:rPr>
        <w:t>2.内部环境</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fldChar w:fldCharType="end"/>
      </w:r>
    </w:p>
    <w:p>
      <w:pPr>
        <w:pStyle w:val="18"/>
        <w:keepNext w:val="0"/>
        <w:keepLines w:val="0"/>
        <w:pageBreakBefore w:val="0"/>
        <w:widowControl/>
        <w:tabs>
          <w:tab w:val="right" w:leader="dot" w:pos="8845"/>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_Toc15657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bCs/>
          <w:sz w:val="28"/>
          <w:szCs w:val="28"/>
        </w:rPr>
        <w:t>3.面临挑战</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fldChar w:fldCharType="end"/>
      </w:r>
    </w:p>
    <w:p>
      <w:pPr>
        <w:pStyle w:val="15"/>
        <w:keepNext w:val="0"/>
        <w:keepLines w:val="0"/>
        <w:pageBreakBefore w:val="0"/>
        <w:widowControl/>
        <w:tabs>
          <w:tab w:val="right" w:leader="dot" w:pos="8845"/>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_Toc19148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二、</w:t>
      </w:r>
      <w:r>
        <w:rPr>
          <w:rFonts w:hint="eastAsia" w:ascii="仿宋_GB2312" w:hAnsi="仿宋_GB2312" w:eastAsia="仿宋_GB2312" w:cs="仿宋_GB2312"/>
          <w:spacing w:val="-6"/>
          <w:sz w:val="28"/>
          <w:szCs w:val="28"/>
        </w:rPr>
        <w:t>发展要求</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0</w:t>
      </w:r>
    </w:p>
    <w:p>
      <w:pPr>
        <w:pStyle w:val="16"/>
        <w:keepNext w:val="0"/>
        <w:keepLines w:val="0"/>
        <w:pageBreakBefore w:val="0"/>
        <w:widowControl/>
        <w:tabs>
          <w:tab w:val="right" w:leader="dot" w:pos="8845"/>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_Toc28381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（一）指导思想</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0</w:t>
      </w:r>
    </w:p>
    <w:p>
      <w:pPr>
        <w:pStyle w:val="16"/>
        <w:keepNext w:val="0"/>
        <w:keepLines w:val="0"/>
        <w:pageBreakBefore w:val="0"/>
        <w:widowControl/>
        <w:tabs>
          <w:tab w:val="right" w:leader="dot" w:pos="8845"/>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_Toc27049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（二）基本原则</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1</w:t>
      </w:r>
    </w:p>
    <w:p>
      <w:pPr>
        <w:pStyle w:val="16"/>
        <w:keepNext w:val="0"/>
        <w:keepLines w:val="0"/>
        <w:pageBreakBefore w:val="0"/>
        <w:widowControl/>
        <w:tabs>
          <w:tab w:val="right" w:leader="dot" w:pos="8845"/>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_Toc6774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（三）发展目标</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2</w:t>
      </w:r>
    </w:p>
    <w:p>
      <w:pPr>
        <w:pStyle w:val="15"/>
        <w:keepNext w:val="0"/>
        <w:keepLines w:val="0"/>
        <w:pageBreakBefore w:val="0"/>
        <w:widowControl/>
        <w:tabs>
          <w:tab w:val="right" w:leader="dot" w:pos="8845"/>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_Toc1435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三、空间布局</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4</w:t>
      </w:r>
    </w:p>
    <w:p>
      <w:pPr>
        <w:pStyle w:val="15"/>
        <w:keepNext w:val="0"/>
        <w:keepLines w:val="0"/>
        <w:pageBreakBefore w:val="0"/>
        <w:widowControl/>
        <w:tabs>
          <w:tab w:val="right" w:leader="dot" w:pos="8845"/>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_Toc21828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四、发展任务</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7</w:t>
      </w:r>
    </w:p>
    <w:p>
      <w:pPr>
        <w:pStyle w:val="16"/>
        <w:keepNext w:val="0"/>
        <w:keepLines w:val="0"/>
        <w:pageBreakBefore w:val="0"/>
        <w:widowControl/>
        <w:tabs>
          <w:tab w:val="right" w:leader="dot" w:pos="8845"/>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_Toc31595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（一）聚焦十大重点行业，引领现代服务业高质量发展</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8</w:t>
      </w:r>
    </w:p>
    <w:p>
      <w:pPr>
        <w:pStyle w:val="18"/>
        <w:keepNext w:val="0"/>
        <w:keepLines w:val="0"/>
        <w:pageBreakBefore w:val="0"/>
        <w:widowControl/>
        <w:tabs>
          <w:tab w:val="right" w:leader="dot" w:pos="8845"/>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_Toc14850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1.现代商贸业</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8</w:t>
      </w:r>
    </w:p>
    <w:p>
      <w:pPr>
        <w:pStyle w:val="18"/>
        <w:keepNext w:val="0"/>
        <w:keepLines w:val="0"/>
        <w:pageBreakBefore w:val="0"/>
        <w:widowControl/>
        <w:tabs>
          <w:tab w:val="right" w:leader="dot" w:pos="8845"/>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_Toc22986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2.信息服务业</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8</w:t>
      </w:r>
    </w:p>
    <w:p>
      <w:pPr>
        <w:pStyle w:val="18"/>
        <w:keepNext w:val="0"/>
        <w:keepLines w:val="0"/>
        <w:pageBreakBefore w:val="0"/>
        <w:widowControl/>
        <w:tabs>
          <w:tab w:val="right" w:leader="dot" w:pos="8845"/>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_Toc23484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3.花卉服务业</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9</w:t>
      </w:r>
    </w:p>
    <w:p>
      <w:pPr>
        <w:pStyle w:val="18"/>
        <w:keepNext w:val="0"/>
        <w:keepLines w:val="0"/>
        <w:pageBreakBefore w:val="0"/>
        <w:widowControl/>
        <w:tabs>
          <w:tab w:val="right" w:leader="dot" w:pos="8845"/>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_Toc5684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4.康养服务业</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0</w:t>
      </w:r>
    </w:p>
    <w:p>
      <w:pPr>
        <w:pStyle w:val="18"/>
        <w:keepNext w:val="0"/>
        <w:keepLines w:val="0"/>
        <w:pageBreakBefore w:val="0"/>
        <w:widowControl/>
        <w:tabs>
          <w:tab w:val="right" w:leader="dot" w:pos="8845"/>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_Toc14674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5.教育服务业</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1</w:t>
      </w:r>
    </w:p>
    <w:p>
      <w:pPr>
        <w:pStyle w:val="18"/>
        <w:keepNext w:val="0"/>
        <w:keepLines w:val="0"/>
        <w:pageBreakBefore w:val="0"/>
        <w:widowControl/>
        <w:tabs>
          <w:tab w:val="right" w:leader="dot" w:pos="8845"/>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_Toc24086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6.文化创意业</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2</w:t>
      </w:r>
    </w:p>
    <w:p>
      <w:pPr>
        <w:pStyle w:val="18"/>
        <w:keepNext w:val="0"/>
        <w:keepLines w:val="0"/>
        <w:pageBreakBefore w:val="0"/>
        <w:widowControl/>
        <w:tabs>
          <w:tab w:val="right" w:leader="dot" w:pos="8845"/>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_Toc29791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7.旅游服务业</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3</w:t>
      </w:r>
    </w:p>
    <w:p>
      <w:pPr>
        <w:pStyle w:val="18"/>
        <w:keepNext w:val="0"/>
        <w:keepLines w:val="0"/>
        <w:pageBreakBefore w:val="0"/>
        <w:widowControl/>
        <w:tabs>
          <w:tab w:val="right" w:leader="dot" w:pos="8845"/>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_Toc22265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8.现代金融业</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3</w:t>
      </w:r>
    </w:p>
    <w:p>
      <w:pPr>
        <w:pStyle w:val="18"/>
        <w:keepNext w:val="0"/>
        <w:keepLines w:val="0"/>
        <w:pageBreakBefore w:val="0"/>
        <w:widowControl/>
        <w:tabs>
          <w:tab w:val="right" w:leader="dot" w:pos="8845"/>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_Toc25912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9.电子商务业</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4</w:t>
      </w:r>
    </w:p>
    <w:p>
      <w:pPr>
        <w:pStyle w:val="18"/>
        <w:keepNext w:val="0"/>
        <w:keepLines w:val="0"/>
        <w:pageBreakBefore w:val="0"/>
        <w:widowControl/>
        <w:tabs>
          <w:tab w:val="right" w:leader="dot" w:pos="8845"/>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_Toc25864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10.其他业态</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5</w:t>
      </w:r>
    </w:p>
    <w:p>
      <w:pPr>
        <w:pStyle w:val="16"/>
        <w:keepNext w:val="0"/>
        <w:keepLines w:val="0"/>
        <w:pageBreakBefore w:val="0"/>
        <w:widowControl/>
        <w:tabs>
          <w:tab w:val="right" w:leader="dot" w:pos="8845"/>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_Toc16352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（二）实施“六大”行动计划，推进现代服务业高质量发展</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0</w:t>
      </w:r>
    </w:p>
    <w:p>
      <w:pPr>
        <w:pStyle w:val="18"/>
        <w:keepNext w:val="0"/>
        <w:keepLines w:val="0"/>
        <w:pageBreakBefore w:val="0"/>
        <w:widowControl/>
        <w:tabs>
          <w:tab w:val="right" w:leader="dot" w:pos="8845"/>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_Toc21170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1.改革创新行动计划</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0</w:t>
      </w:r>
    </w:p>
    <w:p>
      <w:pPr>
        <w:pStyle w:val="18"/>
        <w:keepNext w:val="0"/>
        <w:keepLines w:val="0"/>
        <w:pageBreakBefore w:val="0"/>
        <w:widowControl/>
        <w:tabs>
          <w:tab w:val="right" w:leader="dot" w:pos="8845"/>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_Toc22937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2.平台打造行动计划</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1</w:t>
      </w:r>
    </w:p>
    <w:p>
      <w:pPr>
        <w:pStyle w:val="18"/>
        <w:keepNext w:val="0"/>
        <w:keepLines w:val="0"/>
        <w:pageBreakBefore w:val="0"/>
        <w:widowControl/>
        <w:tabs>
          <w:tab w:val="right" w:leader="dot" w:pos="8845"/>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_Toc19068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3.企业培育行动计划</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2</w:t>
      </w:r>
    </w:p>
    <w:p>
      <w:pPr>
        <w:pStyle w:val="18"/>
        <w:keepNext w:val="0"/>
        <w:keepLines w:val="0"/>
        <w:pageBreakBefore w:val="0"/>
        <w:widowControl/>
        <w:tabs>
          <w:tab w:val="right" w:leader="dot" w:pos="8845"/>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_Toc23546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4.重点项目推进计划</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3</w:t>
      </w:r>
    </w:p>
    <w:p>
      <w:pPr>
        <w:pStyle w:val="18"/>
        <w:keepNext w:val="0"/>
        <w:keepLines w:val="0"/>
        <w:pageBreakBefore w:val="0"/>
        <w:widowControl/>
        <w:tabs>
          <w:tab w:val="right" w:leader="dot" w:pos="8845"/>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_Toc23613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5.融合发展行动计划</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4</w:t>
      </w:r>
    </w:p>
    <w:p>
      <w:pPr>
        <w:pStyle w:val="18"/>
        <w:keepNext w:val="0"/>
        <w:keepLines w:val="0"/>
        <w:pageBreakBefore w:val="0"/>
        <w:widowControl/>
        <w:tabs>
          <w:tab w:val="right" w:leader="dot" w:pos="8845"/>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_Toc22960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6.合作开放行动计划</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5</w:t>
      </w:r>
    </w:p>
    <w:p>
      <w:pPr>
        <w:pStyle w:val="16"/>
        <w:keepNext w:val="0"/>
        <w:keepLines w:val="0"/>
        <w:pageBreakBefore w:val="0"/>
        <w:widowControl/>
        <w:tabs>
          <w:tab w:val="right" w:leader="dot" w:pos="8845"/>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_Toc20822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（三）强化“五条”工作措施，保障现代服务高质量发展</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6</w:t>
      </w:r>
    </w:p>
    <w:p>
      <w:pPr>
        <w:pStyle w:val="18"/>
        <w:keepNext w:val="0"/>
        <w:keepLines w:val="0"/>
        <w:pageBreakBefore w:val="0"/>
        <w:widowControl/>
        <w:tabs>
          <w:tab w:val="right" w:leader="dot" w:pos="8845"/>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_Toc6742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1.加强组织保障</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6</w:t>
      </w:r>
    </w:p>
    <w:p>
      <w:pPr>
        <w:pStyle w:val="18"/>
        <w:keepNext w:val="0"/>
        <w:keepLines w:val="0"/>
        <w:pageBreakBefore w:val="0"/>
        <w:widowControl/>
        <w:tabs>
          <w:tab w:val="right" w:leader="dot" w:pos="8845"/>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_Toc28589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2.加大政策支持</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6</w:t>
      </w:r>
    </w:p>
    <w:p>
      <w:pPr>
        <w:pStyle w:val="18"/>
        <w:keepNext w:val="0"/>
        <w:keepLines w:val="0"/>
        <w:pageBreakBefore w:val="0"/>
        <w:widowControl/>
        <w:tabs>
          <w:tab w:val="right" w:leader="dot" w:pos="8845"/>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_Toc24077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3.强化人才支撑</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7</w:t>
      </w:r>
    </w:p>
    <w:p>
      <w:pPr>
        <w:pStyle w:val="18"/>
        <w:keepNext w:val="0"/>
        <w:keepLines w:val="0"/>
        <w:pageBreakBefore w:val="0"/>
        <w:widowControl/>
        <w:tabs>
          <w:tab w:val="right" w:leader="dot" w:pos="8845"/>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_Toc2417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4.营造发展环境</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37</w:t>
      </w:r>
    </w:p>
    <w:p>
      <w:pPr>
        <w:pStyle w:val="18"/>
        <w:keepNext w:val="0"/>
        <w:keepLines w:val="0"/>
        <w:pageBreakBefore w:val="0"/>
        <w:widowControl/>
        <w:tabs>
          <w:tab w:val="right" w:leader="dot" w:pos="8845"/>
        </w:tabs>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_Toc7855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5．严格监督实施</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38</w:t>
      </w:r>
    </w:p>
    <w:p>
      <w:pPr>
        <w:pStyle w:val="15"/>
        <w:keepNext w:val="0"/>
        <w:keepLines w:val="0"/>
        <w:pageBreakBefore w:val="0"/>
        <w:widowControl/>
        <w:tabs>
          <w:tab w:val="right" w:leader="dot" w:pos="8845"/>
        </w:tabs>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_Toc26598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附件1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39</w:t>
      </w:r>
    </w:p>
    <w:p>
      <w:pPr>
        <w:pStyle w:val="15"/>
        <w:keepNext w:val="0"/>
        <w:keepLines w:val="0"/>
        <w:pageBreakBefore w:val="0"/>
        <w:widowControl/>
        <w:tabs>
          <w:tab w:val="right" w:leader="dot" w:pos="8845"/>
        </w:tabs>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_Toc17373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附件</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42</w:t>
      </w:r>
    </w:p>
    <w:p>
      <w:pPr>
        <w:pStyle w:val="15"/>
        <w:keepNext w:val="0"/>
        <w:keepLines w:val="0"/>
        <w:pageBreakBefore w:val="0"/>
        <w:widowControl/>
        <w:tabs>
          <w:tab w:val="right" w:leader="dot" w:pos="8845"/>
        </w:tabs>
        <w:kinsoku/>
        <w:wordWrap/>
        <w:overflowPunct/>
        <w:topLinePunct w:val="0"/>
        <w:autoSpaceDE/>
        <w:autoSpaceDN/>
        <w:bidi w:val="0"/>
        <w:adjustRightInd/>
        <w:snapToGrid/>
        <w:spacing w:line="560" w:lineRule="exact"/>
        <w:textAlignment w:val="auto"/>
        <w:rPr>
          <w:rFonts w:hint="eastAsia" w:ascii="方正小标宋简体" w:hAnsi="新宋体" w:eastAsia="方正小标宋简体" w:cs="新宋体"/>
          <w:sz w:val="44"/>
          <w:szCs w:val="44"/>
        </w:rPr>
        <w:sectPr>
          <w:footerReference r:id="rId3" w:type="default"/>
          <w:pgSz w:w="11906" w:h="16838"/>
          <w:pgMar w:top="2098" w:right="1474" w:bottom="1984" w:left="1587" w:header="708" w:footer="708" w:gutter="0"/>
          <w:pgNumType w:fmt="decimal" w:start="1"/>
          <w:cols w:space="720" w:num="1"/>
          <w:docGrid w:linePitch="360" w:charSpace="6144"/>
        </w:sectPr>
      </w:pPr>
      <w:r>
        <w:rPr>
          <w:rFonts w:hint="eastAsia" w:ascii="方正小标宋简体" w:hAnsi="新宋体" w:eastAsia="方正小标宋简体" w:cs="新宋体"/>
          <w:szCs w:val="44"/>
        </w:rPr>
        <w:fldChar w:fldCharType="end"/>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_Toc17373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附件</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44</w:t>
      </w:r>
    </w:p>
    <w:p>
      <w:pPr>
        <w:spacing w:line="312" w:lineRule="auto"/>
        <w:jc w:val="center"/>
        <w:rPr>
          <w:rFonts w:ascii="黑体" w:hAnsi="黑体" w:eastAsia="黑体" w:cs="黑体"/>
          <w:color w:val="000000"/>
          <w:sz w:val="32"/>
          <w:szCs w:val="32"/>
          <w:highlight w:val="white"/>
        </w:rPr>
      </w:pPr>
      <w:r>
        <w:rPr>
          <w:rFonts w:ascii="黑体" w:hAnsi="黑体" w:eastAsia="黑体" w:cs="黑体"/>
          <w:color w:val="000000"/>
          <w:sz w:val="32"/>
          <w:szCs w:val="32"/>
          <w:highlight w:val="white"/>
        </w:rPr>
        <w:t>前  言</w:t>
      </w:r>
      <w:bookmarkEnd w:id="3"/>
      <w:bookmarkEnd w:id="4"/>
      <w:bookmarkStart w:id="5" w:name="_Toc11924"/>
      <w:bookmarkEnd w:id="5"/>
    </w:p>
    <w:p>
      <w:pPr>
        <w:spacing w:line="560" w:lineRule="exact"/>
        <w:ind w:firstLine="640"/>
        <w:rPr>
          <w:rFonts w:ascii="仿宋_GB2312" w:hAnsi="仿宋_GB2312" w:eastAsia="仿宋_GB2312" w:cs="仿宋_GB2312"/>
          <w:color w:val="000000"/>
          <w:sz w:val="32"/>
          <w:szCs w:val="32"/>
          <w:highlight w:val="white"/>
        </w:rPr>
      </w:pPr>
      <w:r>
        <w:rPr>
          <w:rFonts w:ascii="仿宋_GB2312" w:hAnsi="仿宋_GB2312" w:eastAsia="仿宋_GB2312" w:cs="仿宋_GB2312"/>
          <w:color w:val="000000"/>
          <w:sz w:val="32"/>
          <w:szCs w:val="32"/>
          <w:highlight w:val="white"/>
        </w:rPr>
        <w:t>为深入贯彻落实党的十九大及十九届二中、三中、四中、五中全会精神，进一步转变经济发展方式，优化服务业发展结构，实现新旧动能转换，构建以服务业为主导的现代产业新体系，推动呈贡区现代服务业高质量发展，结合呈贡实际，制定本展规划。</w:t>
      </w:r>
    </w:p>
    <w:p>
      <w:pPr>
        <w:spacing w:line="560" w:lineRule="exact"/>
        <w:ind w:firstLine="64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本规划所述的现代服务业</w:t>
      </w:r>
      <w:r>
        <w:rPr>
          <w:rFonts w:ascii="Times New Roman" w:hAnsi="仿宋_GB2312" w:eastAsia="仿宋_GB2312" w:cs="仿宋_GB2312"/>
          <w:color w:val="000000"/>
          <w:sz w:val="30"/>
          <w:szCs w:val="30"/>
        </w:rPr>
        <w:t>，</w:t>
      </w:r>
      <w:r>
        <w:rPr>
          <w:rFonts w:ascii="Times New Roman" w:hAnsi="仿宋_GB2312" w:eastAsia="仿宋_GB2312" w:cs="仿宋_GB2312"/>
          <w:color w:val="000000"/>
          <w:sz w:val="32"/>
          <w:szCs w:val="32"/>
        </w:rPr>
        <w:t>是以现代科学技术、特别是信息网络技术为主要支撑，建立在新的商业模式、服务方式和管理方法基础上的服务产业。</w:t>
      </w:r>
      <w:r>
        <w:rPr>
          <w:rFonts w:ascii="仿宋_GB2312" w:hAnsi="仿宋_GB2312" w:eastAsia="仿宋_GB2312" w:cs="仿宋_GB2312"/>
          <w:color w:val="000000"/>
          <w:sz w:val="32"/>
          <w:szCs w:val="32"/>
        </w:rPr>
        <w:t>主要指现代商贸、软件信息与云计算大数据服务、科技服务、现代金融、旅游观光、健康服务、文化创意、会展服务等新兴产业。本规划期限为2021-2025年，规划范围为呈贡行政辖区范围（461平方公里），规划重点为呈贡核心区（160平方公里）。本规划主要</w:t>
      </w:r>
      <w:r>
        <w:rPr>
          <w:rFonts w:ascii="仿宋_GB2312" w:hAnsi="仿宋_GB2312" w:eastAsia="仿宋_GB2312" w:cs="仿宋_GB2312"/>
          <w:color w:val="000000"/>
          <w:sz w:val="32"/>
          <w:szCs w:val="32"/>
          <w:highlight w:val="white"/>
        </w:rPr>
        <w:t>根据</w:t>
      </w:r>
      <w:r>
        <w:rPr>
          <w:rFonts w:ascii="仿宋_GB2312" w:hAnsi="仿宋_GB2312" w:eastAsia="仿宋_GB2312" w:cs="仿宋_GB2312"/>
          <w:color w:val="000000"/>
          <w:sz w:val="32"/>
          <w:szCs w:val="32"/>
        </w:rPr>
        <w:t>国家、省市有关政策和</w:t>
      </w:r>
      <w:r>
        <w:rPr>
          <w:rFonts w:ascii="仿宋_GB2312" w:hAnsi="仿宋_GB2312" w:eastAsia="仿宋_GB2312" w:cs="仿宋_GB2312"/>
          <w:b w:val="0"/>
          <w:color w:val="000000"/>
          <w:sz w:val="32"/>
          <w:szCs w:val="32"/>
        </w:rPr>
        <w:t>《</w:t>
      </w:r>
      <w:r>
        <w:rPr>
          <w:rFonts w:ascii="仿宋_GB2312" w:hAnsi="仿宋_GB2312" w:eastAsia="仿宋_GB2312" w:cs="仿宋_GB2312"/>
          <w:b w:val="0"/>
          <w:color w:val="000000"/>
          <w:spacing w:val="0"/>
          <w:sz w:val="32"/>
          <w:szCs w:val="32"/>
        </w:rPr>
        <w:t>中共云南省委 云南省人民政府关于加快构建现代化产业体系的决定》</w:t>
      </w:r>
      <w:r>
        <w:rPr>
          <w:rFonts w:ascii="仿宋_GB2312" w:hAnsi="仿宋_GB2312" w:eastAsia="仿宋_GB2312" w:cs="仿宋_GB2312"/>
          <w:color w:val="000000"/>
          <w:sz w:val="32"/>
          <w:szCs w:val="32"/>
          <w:highlight w:val="white"/>
        </w:rPr>
        <w:t>《云南省人民政府办公厅关于印发〈服务经济倍增计划（2017—2021年）〉的通知》</w:t>
      </w:r>
      <w:r>
        <w:rPr>
          <w:rFonts w:ascii="仿宋_GB2312" w:hAnsi="仿宋_GB2312" w:eastAsia="仿宋_GB2312" w:cs="仿宋_GB2312"/>
          <w:color w:val="000000"/>
          <w:spacing w:val="0"/>
          <w:sz w:val="32"/>
          <w:szCs w:val="32"/>
          <w:rtl w:val="0"/>
        </w:rPr>
        <w:t>《中共昆明市委办公室  昆明市人民政府办公室关于转发昆明市优化完善各县（市）区功能定位的报告的通知》《</w:t>
      </w:r>
      <w:r>
        <w:rPr>
          <w:rFonts w:ascii="仿宋_GB2312" w:hAnsi="仿宋_GB2312" w:eastAsia="仿宋_GB2312" w:cs="仿宋_GB2312"/>
          <w:color w:val="000000"/>
          <w:sz w:val="32"/>
          <w:szCs w:val="32"/>
          <w:highlight w:val="white"/>
        </w:rPr>
        <w:t>昆明市服务经济转型升级创新发展三年行动方案（2019—2021年）》</w:t>
      </w:r>
      <w:r>
        <w:rPr>
          <w:rFonts w:ascii="仿宋_GB2312" w:hAnsi="仿宋_GB2312" w:eastAsia="仿宋_GB2312" w:cs="仿宋_GB2312"/>
          <w:color w:val="000000"/>
          <w:spacing w:val="0"/>
          <w:sz w:val="32"/>
          <w:szCs w:val="32"/>
          <w:rtl w:val="0"/>
        </w:rPr>
        <w:t>《呈贡区国民经济和社会发展第十四个五年规划纲要》</w:t>
      </w:r>
      <w:r>
        <w:rPr>
          <w:rFonts w:ascii="仿宋_GB2312" w:hAnsi="仿宋_GB2312" w:eastAsia="仿宋_GB2312" w:cs="仿宋_GB2312"/>
          <w:color w:val="000000"/>
          <w:sz w:val="32"/>
          <w:szCs w:val="32"/>
        </w:rPr>
        <w:t>等精神，以及区委、区政府相关文件为依据进行编制。</w:t>
      </w:r>
    </w:p>
    <w:p>
      <w:pPr>
        <w:spacing w:line="560" w:lineRule="exact"/>
        <w:ind w:firstLine="640"/>
        <w:rPr>
          <w:rFonts w:ascii="仿宋_GB2312" w:hAnsi="仿宋_GB2312" w:eastAsia="仿宋_GB2312" w:cs="仿宋_GB2312"/>
          <w:color w:val="000000"/>
          <w:sz w:val="32"/>
          <w:szCs w:val="32"/>
        </w:rPr>
      </w:pPr>
    </w:p>
    <w:p>
      <w:pPr>
        <w:spacing w:line="560" w:lineRule="exact"/>
        <w:ind w:firstLine="640"/>
        <w:rPr>
          <w:rFonts w:ascii="仿宋_GB2312" w:hAnsi="仿宋_GB2312" w:eastAsia="仿宋_GB2312" w:cs="仿宋_GB2312"/>
          <w:color w:val="000000"/>
          <w:sz w:val="32"/>
          <w:szCs w:val="32"/>
        </w:rPr>
      </w:pPr>
    </w:p>
    <w:p>
      <w:pPr>
        <w:spacing w:line="560" w:lineRule="exact"/>
        <w:ind w:firstLine="640"/>
        <w:rPr>
          <w:rFonts w:ascii="仿宋_GB2312" w:hAnsi="仿宋_GB2312" w:eastAsia="仿宋_GB2312" w:cs="仿宋_GB2312"/>
          <w:color w:val="404040"/>
          <w:sz w:val="32"/>
          <w:szCs w:val="32"/>
        </w:rPr>
      </w:pPr>
    </w:p>
    <w:p>
      <w:pPr>
        <w:spacing w:line="560" w:lineRule="exact"/>
        <w:ind w:firstLine="640"/>
        <w:rPr>
          <w:rFonts w:ascii="仿宋_GB2312" w:hAnsi="仿宋_GB2312" w:eastAsia="仿宋_GB2312" w:cs="仿宋_GB2312"/>
          <w:color w:val="000000"/>
          <w:sz w:val="32"/>
          <w:szCs w:val="32"/>
        </w:rPr>
      </w:pPr>
      <w:bookmarkStart w:id="6" w:name="_Toc10470"/>
      <w:bookmarkStart w:id="7" w:name="_Toc19615"/>
      <w:r>
        <w:rPr>
          <w:rFonts w:ascii="黑体" w:hAnsi="黑体" w:eastAsia="黑体" w:cs="黑体"/>
          <w:color w:val="000000"/>
          <w:sz w:val="32"/>
          <w:szCs w:val="32"/>
          <w:highlight w:val="white"/>
        </w:rPr>
        <w:t>一、编制背景</w:t>
      </w:r>
      <w:bookmarkEnd w:id="6"/>
      <w:bookmarkEnd w:id="7"/>
    </w:p>
    <w:p>
      <w:pPr>
        <w:spacing w:line="560" w:lineRule="exact"/>
        <w:ind w:firstLine="640"/>
        <w:rPr>
          <w:rFonts w:ascii="楷体_GB2312" w:hAnsi="楷体_GB2312" w:eastAsia="楷体_GB2312" w:cs="楷体_GB2312"/>
          <w:color w:val="000000"/>
          <w:sz w:val="32"/>
          <w:szCs w:val="32"/>
          <w:highlight w:val="white"/>
        </w:rPr>
      </w:pPr>
      <w:bookmarkStart w:id="8" w:name="_Toc11532"/>
      <w:bookmarkStart w:id="9" w:name="_Toc24888"/>
      <w:r>
        <w:rPr>
          <w:rFonts w:ascii="楷体_GB2312" w:hAnsi="楷体_GB2312" w:eastAsia="楷体_GB2312" w:cs="楷体_GB2312"/>
          <w:color w:val="000000"/>
          <w:sz w:val="32"/>
          <w:szCs w:val="32"/>
          <w:highlight w:val="white"/>
        </w:rPr>
        <w:t>（一）发展基础</w:t>
      </w:r>
      <w:bookmarkEnd w:id="8"/>
      <w:bookmarkEnd w:id="9"/>
    </w:p>
    <w:p>
      <w:pPr>
        <w:spacing w:line="560" w:lineRule="exact"/>
        <w:ind w:firstLine="64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十三五”时期，呈贡区高度重视现代服务业发展，凭借特有的优势条件，坚持生产性服务业与生活性服务业并重、现代服务业与传统服务业并举，聚焦转型升级，聚焦呈贡特色，聚焦区域协同，积极培育具有区域特色的现代服务业产业体系，有效提升现代服务业的集聚辐射能力和综合服务功能，现代服务业呈现出良好发展势头，已逐渐成为驱动全区经济发展的主动力产业，为全区的经济社会高质量发展打下了良好的基础。</w:t>
      </w:r>
    </w:p>
    <w:p>
      <w:pPr>
        <w:spacing w:line="560" w:lineRule="exact"/>
        <w:ind w:firstLine="643"/>
        <w:rPr>
          <w:rFonts w:ascii="仿宋_GB2312" w:hAnsi="仿宋_GB2312" w:eastAsia="仿宋_GB2312" w:cs="仿宋_GB2312"/>
          <w:b w:val="0"/>
          <w:i w:val="0"/>
          <w:color w:val="000000"/>
          <w:spacing w:val="0"/>
          <w:sz w:val="32"/>
          <w:szCs w:val="32"/>
          <w:highlight w:val="white"/>
        </w:rPr>
      </w:pPr>
      <w:r>
        <w:rPr>
          <w:rFonts w:ascii="仿宋_GB2312" w:hAnsi="仿宋_GB2312" w:eastAsia="仿宋_GB2312" w:cs="仿宋_GB2312"/>
          <w:b/>
          <w:color w:val="000000"/>
          <w:sz w:val="32"/>
          <w:szCs w:val="32"/>
        </w:rPr>
        <w:t>1.产业规模不断壮大。</w:t>
      </w:r>
      <w:r>
        <w:rPr>
          <w:rFonts w:hint="eastAsia" w:ascii="仿宋_GB2312" w:hAnsi="仿宋_GB2312" w:eastAsia="仿宋_GB2312" w:cs="仿宋_GB2312"/>
          <w:color w:val="000000"/>
          <w:sz w:val="32"/>
          <w:szCs w:val="32"/>
        </w:rPr>
        <w:t>三次产业结构比由2016年的2.57∶53.03∶44.4调整为2019年的1.22：40.4：58.38，第三产业占比逐步提高。</w:t>
      </w:r>
      <w:r>
        <w:rPr>
          <w:rFonts w:ascii="仿宋_GB2312" w:hAnsi="仿宋_GB2312" w:eastAsia="仿宋_GB2312" w:cs="仿宋_GB2312"/>
          <w:b w:val="0"/>
          <w:i w:val="0"/>
          <w:color w:val="000000"/>
          <w:spacing w:val="0"/>
          <w:sz w:val="32"/>
          <w:szCs w:val="32"/>
          <w:highlight w:val="white"/>
        </w:rPr>
        <w:t>2019年全区规模以上服务业企业82家，实现营业收入117.92亿元，同比增长8.82%；营业利润9.6亿元，同比增长34.5%。实际管辖区规模以上服务企业41家，实现营业收入48.56亿元，同比增长92.89%；营业利润5.62亿元，同比增长6.68%。</w:t>
      </w:r>
    </w:p>
    <w:tbl>
      <w:tblPr>
        <w:tblStyle w:val="10"/>
        <w:tblW w:w="8220" w:type="dxa"/>
        <w:tblInd w:w="0" w:type="dxa"/>
        <w:tblLayout w:type="fixed"/>
        <w:tblCellMar>
          <w:top w:w="0" w:type="dxa"/>
          <w:left w:w="108" w:type="dxa"/>
          <w:bottom w:w="0" w:type="dxa"/>
          <w:right w:w="108" w:type="dxa"/>
        </w:tblCellMar>
      </w:tblPr>
      <w:tblGrid>
        <w:gridCol w:w="2820"/>
        <w:gridCol w:w="1080"/>
        <w:gridCol w:w="1080"/>
        <w:gridCol w:w="1080"/>
        <w:gridCol w:w="1080"/>
        <w:gridCol w:w="1080"/>
      </w:tblGrid>
      <w:tr>
        <w:tblPrEx>
          <w:tblCellMar>
            <w:top w:w="0" w:type="dxa"/>
            <w:left w:w="108" w:type="dxa"/>
            <w:bottom w:w="0" w:type="dxa"/>
            <w:right w:w="108" w:type="dxa"/>
          </w:tblCellMar>
        </w:tblPrEx>
        <w:trPr>
          <w:trHeight w:val="540" w:hRule="atLeast"/>
        </w:trPr>
        <w:tc>
          <w:tcPr>
            <w:tcW w:w="8220" w:type="dxa"/>
            <w:gridSpan w:val="6"/>
            <w:tcBorders>
              <w:top w:val="nil"/>
              <w:left w:val="nil"/>
              <w:bottom w:val="nil"/>
              <w:right w:val="nil"/>
            </w:tcBorders>
            <w:shd w:val="clear" w:color="000000" w:fill="auto"/>
            <w:vAlign w:val="bottom"/>
          </w:tcPr>
          <w:p>
            <w:pPr>
              <w:jc w:val="center"/>
              <w:rPr>
                <w:rFonts w:ascii="宋体" w:hAnsi="宋体" w:eastAsia="宋体" w:cs="宋体"/>
                <w:b/>
                <w:color w:val="000000"/>
                <w:sz w:val="24"/>
                <w:szCs w:val="24"/>
              </w:rPr>
            </w:pPr>
            <w:r>
              <w:rPr>
                <w:rFonts w:ascii="宋体" w:hAnsi="宋体" w:eastAsia="宋体" w:cs="宋体"/>
                <w:b/>
                <w:color w:val="000000"/>
                <w:sz w:val="24"/>
                <w:szCs w:val="24"/>
              </w:rPr>
              <w:t>2019年呈贡全区服务业十大行业营业收入</w:t>
            </w:r>
          </w:p>
        </w:tc>
      </w:tr>
      <w:tr>
        <w:tblPrEx>
          <w:tblCellMar>
            <w:top w:w="0" w:type="dxa"/>
            <w:left w:w="108" w:type="dxa"/>
            <w:bottom w:w="0" w:type="dxa"/>
            <w:right w:w="108" w:type="dxa"/>
          </w:tblCellMar>
        </w:tblPrEx>
        <w:trPr>
          <w:trHeight w:val="285" w:hRule="atLeast"/>
        </w:trPr>
        <w:tc>
          <w:tcPr>
            <w:tcW w:w="2820" w:type="dxa"/>
            <w:vMerge w:val="restart"/>
            <w:tcBorders>
              <w:top w:val="single" w:color="auto" w:sz="4" w:space="0"/>
              <w:left w:val="nil"/>
              <w:bottom w:val="single" w:color="auto" w:sz="4" w:space="0"/>
              <w:right w:val="single" w:color="auto" w:sz="4" w:space="0"/>
            </w:tcBorders>
            <w:shd w:val="clear" w:color="000000" w:fill="auto"/>
            <w:vAlign w:val="bottom"/>
          </w:tcPr>
          <w:p>
            <w:pPr>
              <w:jc w:val="center"/>
              <w:rPr>
                <w:rFonts w:ascii="宋体" w:hAnsi="宋体" w:eastAsia="宋体" w:cs="宋体"/>
                <w:color w:val="000000"/>
                <w:sz w:val="24"/>
                <w:szCs w:val="24"/>
              </w:rPr>
            </w:pPr>
            <w:r>
              <w:rPr>
                <w:rFonts w:ascii="宋体" w:hAnsi="宋体" w:eastAsia="宋体" w:cs="宋体"/>
                <w:color w:val="000000"/>
                <w:sz w:val="24"/>
                <w:szCs w:val="24"/>
              </w:rPr>
              <w:t>指标</w:t>
            </w:r>
          </w:p>
        </w:tc>
        <w:tc>
          <w:tcPr>
            <w:tcW w:w="1080" w:type="dxa"/>
            <w:vMerge w:val="restart"/>
            <w:tcBorders>
              <w:top w:val="single" w:color="auto" w:sz="4" w:space="0"/>
              <w:left w:val="single" w:color="auto" w:sz="4" w:space="0"/>
              <w:bottom w:val="single" w:color="auto" w:sz="4" w:space="0"/>
              <w:right w:val="single" w:color="auto" w:sz="4" w:space="0"/>
            </w:tcBorders>
            <w:shd w:val="clear" w:color="000000" w:fill="auto"/>
            <w:vAlign w:val="center"/>
          </w:tcPr>
          <w:p>
            <w:pPr>
              <w:jc w:val="center"/>
              <w:rPr>
                <w:rFonts w:ascii="宋体" w:hAnsi="宋体" w:eastAsia="宋体" w:cs="宋体"/>
                <w:color w:val="000000"/>
                <w:sz w:val="24"/>
                <w:szCs w:val="24"/>
              </w:rPr>
            </w:pPr>
            <w:r>
              <w:rPr>
                <w:rFonts w:ascii="宋体" w:hAnsi="宋体" w:eastAsia="宋体" w:cs="宋体"/>
                <w:color w:val="000000"/>
                <w:sz w:val="24"/>
                <w:szCs w:val="24"/>
              </w:rPr>
              <w:t>门类代码</w:t>
            </w:r>
          </w:p>
        </w:tc>
        <w:tc>
          <w:tcPr>
            <w:tcW w:w="1080" w:type="dxa"/>
            <w:vMerge w:val="restart"/>
            <w:tcBorders>
              <w:top w:val="single" w:color="auto" w:sz="4" w:space="0"/>
              <w:left w:val="single" w:color="auto" w:sz="4" w:space="0"/>
              <w:bottom w:val="single" w:color="auto" w:sz="4" w:space="0"/>
              <w:right w:val="single" w:color="auto" w:sz="4" w:space="0"/>
            </w:tcBorders>
            <w:shd w:val="clear" w:color="000000" w:fill="auto"/>
            <w:vAlign w:val="center"/>
          </w:tcPr>
          <w:p>
            <w:pPr>
              <w:jc w:val="center"/>
              <w:rPr>
                <w:rFonts w:ascii="宋体" w:hAnsi="宋体" w:eastAsia="宋体" w:cs="宋体"/>
                <w:color w:val="000000"/>
                <w:sz w:val="24"/>
                <w:szCs w:val="24"/>
              </w:rPr>
            </w:pPr>
            <w:r>
              <w:rPr>
                <w:rFonts w:ascii="宋体" w:hAnsi="宋体" w:eastAsia="宋体" w:cs="宋体"/>
                <w:color w:val="000000"/>
                <w:sz w:val="24"/>
                <w:szCs w:val="24"/>
              </w:rPr>
              <w:t>单位数</w:t>
            </w:r>
          </w:p>
        </w:tc>
        <w:tc>
          <w:tcPr>
            <w:tcW w:w="3240" w:type="dxa"/>
            <w:gridSpan w:val="3"/>
            <w:tcBorders>
              <w:top w:val="single" w:color="auto" w:sz="4" w:space="0"/>
              <w:left w:val="nil"/>
              <w:bottom w:val="single" w:color="auto" w:sz="4" w:space="0"/>
              <w:right w:val="single" w:color="auto" w:sz="4" w:space="0"/>
            </w:tcBorders>
            <w:shd w:val="clear" w:color="000000" w:fill="auto"/>
            <w:vAlign w:val="center"/>
          </w:tcPr>
          <w:p>
            <w:pPr>
              <w:jc w:val="center"/>
              <w:rPr>
                <w:rFonts w:ascii="宋体" w:hAnsi="宋体" w:eastAsia="宋体" w:cs="宋体"/>
                <w:color w:val="000000"/>
                <w:sz w:val="24"/>
                <w:szCs w:val="24"/>
              </w:rPr>
            </w:pPr>
            <w:r>
              <w:rPr>
                <w:rFonts w:ascii="宋体" w:hAnsi="宋体" w:eastAsia="宋体" w:cs="宋体"/>
                <w:color w:val="000000"/>
                <w:sz w:val="24"/>
                <w:szCs w:val="24"/>
              </w:rPr>
              <w:t>营业收入</w:t>
            </w:r>
          </w:p>
        </w:tc>
      </w:tr>
      <w:tr>
        <w:tblPrEx>
          <w:tblCellMar>
            <w:top w:w="0" w:type="dxa"/>
            <w:left w:w="108" w:type="dxa"/>
            <w:bottom w:w="0" w:type="dxa"/>
            <w:right w:w="108" w:type="dxa"/>
          </w:tblCellMar>
        </w:tblPrEx>
        <w:trPr>
          <w:trHeight w:val="570" w:hRule="atLeast"/>
        </w:trPr>
        <w:tc>
          <w:tcPr>
            <w:tcW w:w="2820" w:type="dxa"/>
            <w:vMerge w:val="continue"/>
            <w:tcBorders>
              <w:top w:val="single" w:color="auto" w:sz="4" w:space="0"/>
              <w:left w:val="nil"/>
              <w:bottom w:val="single" w:color="auto" w:sz="4" w:space="0"/>
              <w:right w:val="single" w:color="auto" w:sz="4" w:space="0"/>
            </w:tcBorders>
            <w:shd w:val="clear" w:color="000000" w:fill="auto"/>
            <w:vAlign w:val="bottom"/>
          </w:tcPr>
          <w:p/>
        </w:tc>
        <w:tc>
          <w:tcPr>
            <w:tcW w:w="1080"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1080"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1080" w:type="dxa"/>
            <w:tcBorders>
              <w:top w:val="nil"/>
              <w:left w:val="nil"/>
              <w:bottom w:val="single" w:color="auto" w:sz="4" w:space="0"/>
              <w:right w:val="single" w:color="auto" w:sz="4" w:space="0"/>
            </w:tcBorders>
            <w:shd w:val="clear" w:color="000000" w:fill="auto"/>
            <w:vAlign w:val="center"/>
          </w:tcPr>
          <w:p>
            <w:pPr>
              <w:jc w:val="center"/>
              <w:rPr>
                <w:rFonts w:ascii="宋体" w:hAnsi="宋体" w:eastAsia="宋体" w:cs="宋体"/>
                <w:color w:val="000000"/>
                <w:sz w:val="24"/>
                <w:szCs w:val="24"/>
              </w:rPr>
            </w:pPr>
            <w:r>
              <w:rPr>
                <w:rFonts w:ascii="宋体" w:hAnsi="宋体" w:eastAsia="宋体" w:cs="宋体"/>
                <w:color w:val="000000"/>
                <w:sz w:val="24"/>
                <w:szCs w:val="24"/>
              </w:rPr>
              <w:t>本年</w:t>
            </w:r>
            <w:r>
              <w:rPr>
                <w:rFonts w:ascii="宋体" w:hAnsi="宋体" w:eastAsia="宋体" w:cs="宋体"/>
                <w:color w:val="000000"/>
                <w:sz w:val="24"/>
                <w:szCs w:val="24"/>
              </w:rPr>
              <w:br w:type="textWrapping" w:clear="all"/>
            </w:r>
            <w:r>
              <w:rPr>
                <w:rFonts w:ascii="宋体" w:hAnsi="宋体" w:eastAsia="宋体" w:cs="宋体"/>
                <w:color w:val="000000"/>
                <w:sz w:val="24"/>
                <w:szCs w:val="24"/>
              </w:rPr>
              <w:t>(亿元)</w:t>
            </w:r>
          </w:p>
        </w:tc>
        <w:tc>
          <w:tcPr>
            <w:tcW w:w="1080" w:type="dxa"/>
            <w:tcBorders>
              <w:top w:val="nil"/>
              <w:left w:val="nil"/>
              <w:bottom w:val="single" w:color="auto" w:sz="4" w:space="0"/>
              <w:right w:val="single" w:color="auto" w:sz="4" w:space="0"/>
            </w:tcBorders>
            <w:shd w:val="clear" w:color="000000" w:fill="auto"/>
            <w:vAlign w:val="center"/>
          </w:tcPr>
          <w:p>
            <w:pPr>
              <w:jc w:val="center"/>
              <w:rPr>
                <w:rFonts w:ascii="宋体" w:hAnsi="宋体" w:eastAsia="宋体" w:cs="宋体"/>
                <w:color w:val="000000"/>
                <w:sz w:val="24"/>
                <w:szCs w:val="24"/>
              </w:rPr>
            </w:pPr>
            <w:r>
              <w:rPr>
                <w:rFonts w:ascii="宋体" w:hAnsi="宋体" w:eastAsia="宋体" w:cs="宋体"/>
                <w:color w:val="000000"/>
                <w:sz w:val="24"/>
                <w:szCs w:val="24"/>
              </w:rPr>
              <w:t>上年同期</w:t>
            </w:r>
            <w:r>
              <w:rPr>
                <w:rFonts w:ascii="宋体" w:hAnsi="宋体" w:eastAsia="宋体" w:cs="宋体"/>
                <w:color w:val="000000"/>
                <w:sz w:val="24"/>
                <w:szCs w:val="24"/>
              </w:rPr>
              <w:br w:type="textWrapping" w:clear="all"/>
            </w:r>
            <w:r>
              <w:rPr>
                <w:rFonts w:ascii="宋体" w:hAnsi="宋体" w:eastAsia="宋体" w:cs="宋体"/>
                <w:color w:val="000000"/>
                <w:sz w:val="24"/>
                <w:szCs w:val="24"/>
              </w:rPr>
              <w:t>(亿元)</w:t>
            </w:r>
          </w:p>
        </w:tc>
        <w:tc>
          <w:tcPr>
            <w:tcW w:w="1080" w:type="dxa"/>
            <w:tcBorders>
              <w:top w:val="nil"/>
              <w:left w:val="nil"/>
              <w:bottom w:val="single" w:color="auto" w:sz="4" w:space="0"/>
              <w:right w:val="nil"/>
            </w:tcBorders>
            <w:shd w:val="clear" w:color="000000" w:fill="auto"/>
            <w:vAlign w:val="center"/>
          </w:tcPr>
          <w:p>
            <w:pPr>
              <w:jc w:val="center"/>
              <w:rPr>
                <w:rFonts w:ascii="宋体" w:hAnsi="宋体" w:eastAsia="宋体" w:cs="宋体"/>
                <w:color w:val="000000"/>
                <w:sz w:val="24"/>
                <w:szCs w:val="24"/>
              </w:rPr>
            </w:pPr>
            <w:r>
              <w:rPr>
                <w:rFonts w:ascii="宋体" w:hAnsi="宋体" w:eastAsia="宋体" w:cs="宋体"/>
                <w:color w:val="000000"/>
                <w:sz w:val="24"/>
                <w:szCs w:val="24"/>
              </w:rPr>
              <w:t>增长速度</w:t>
            </w:r>
            <w:r>
              <w:rPr>
                <w:rFonts w:ascii="宋体" w:hAnsi="宋体" w:eastAsia="宋体" w:cs="宋体"/>
                <w:color w:val="000000"/>
                <w:sz w:val="24"/>
                <w:szCs w:val="24"/>
              </w:rPr>
              <w:br w:type="textWrapping" w:clear="all"/>
            </w:r>
            <w:r>
              <w:rPr>
                <w:rFonts w:ascii="宋体" w:hAnsi="宋体" w:eastAsia="宋体" w:cs="宋体"/>
                <w:color w:val="000000"/>
                <w:sz w:val="24"/>
                <w:szCs w:val="24"/>
              </w:rPr>
              <w:t>(%)</w:t>
            </w:r>
          </w:p>
        </w:tc>
      </w:tr>
      <w:tr>
        <w:tblPrEx>
          <w:tblCellMar>
            <w:top w:w="0" w:type="dxa"/>
            <w:left w:w="108" w:type="dxa"/>
            <w:bottom w:w="0" w:type="dxa"/>
            <w:right w:w="108" w:type="dxa"/>
          </w:tblCellMar>
        </w:tblPrEx>
        <w:trPr>
          <w:trHeight w:val="390" w:hRule="atLeast"/>
        </w:trPr>
        <w:tc>
          <w:tcPr>
            <w:tcW w:w="2820" w:type="dxa"/>
            <w:tcBorders>
              <w:top w:val="nil"/>
              <w:left w:val="nil"/>
              <w:bottom w:val="single" w:color="auto" w:sz="4" w:space="0"/>
              <w:right w:val="single" w:color="auto" w:sz="4" w:space="0"/>
            </w:tcBorders>
            <w:shd w:val="clear" w:color="000000" w:fill="auto"/>
            <w:vAlign w:val="bottom"/>
          </w:tcPr>
          <w:p>
            <w:pPr>
              <w:jc w:val="center"/>
              <w:rPr>
                <w:rFonts w:ascii="宋体" w:hAnsi="宋体" w:eastAsia="宋体" w:cs="宋体"/>
                <w:color w:val="000000"/>
                <w:sz w:val="24"/>
                <w:szCs w:val="24"/>
              </w:rPr>
            </w:pPr>
            <w:r>
              <w:rPr>
                <w:rFonts w:ascii="宋体" w:hAnsi="宋体" w:eastAsia="宋体" w:cs="宋体"/>
                <w:color w:val="000000"/>
                <w:sz w:val="24"/>
                <w:szCs w:val="24"/>
              </w:rPr>
              <w:t>总计</w:t>
            </w:r>
          </w:p>
        </w:tc>
        <w:tc>
          <w:tcPr>
            <w:tcW w:w="1080" w:type="dxa"/>
            <w:tcBorders>
              <w:top w:val="nil"/>
              <w:left w:val="nil"/>
              <w:bottom w:val="single" w:color="auto" w:sz="4" w:space="0"/>
              <w:right w:val="single" w:color="auto" w:sz="4" w:space="0"/>
            </w:tcBorders>
            <w:shd w:val="clear" w:color="000000" w:fill="auto"/>
            <w:vAlign w:val="center"/>
          </w:tcPr>
          <w:p>
            <w:pPr>
              <w:jc w:val="center"/>
              <w:rPr>
                <w:rFonts w:ascii="宋体" w:hAnsi="宋体" w:eastAsia="宋体" w:cs="宋体"/>
                <w:color w:val="000000"/>
                <w:sz w:val="24"/>
                <w:szCs w:val="24"/>
              </w:rPr>
            </w:pPr>
          </w:p>
        </w:tc>
        <w:tc>
          <w:tcPr>
            <w:tcW w:w="1080" w:type="dxa"/>
            <w:tcBorders>
              <w:top w:val="nil"/>
              <w:left w:val="nil"/>
              <w:bottom w:val="single" w:color="auto" w:sz="4" w:space="0"/>
              <w:right w:val="single" w:color="auto" w:sz="4" w:space="0"/>
            </w:tcBorders>
            <w:shd w:val="clear" w:color="000000" w:fill="auto"/>
            <w:vAlign w:val="center"/>
          </w:tcPr>
          <w:p>
            <w:pPr>
              <w:jc w:val="center"/>
              <w:rPr>
                <w:rFonts w:ascii="宋体" w:hAnsi="宋体" w:eastAsia="宋体" w:cs="宋体"/>
                <w:color w:val="000000"/>
                <w:sz w:val="24"/>
                <w:szCs w:val="24"/>
              </w:rPr>
            </w:pPr>
            <w:r>
              <w:rPr>
                <w:rFonts w:ascii="宋体" w:hAnsi="宋体" w:eastAsia="宋体" w:cs="宋体"/>
                <w:color w:val="000000"/>
                <w:sz w:val="24"/>
                <w:szCs w:val="24"/>
              </w:rPr>
              <w:t>82</w:t>
            </w:r>
          </w:p>
        </w:tc>
        <w:tc>
          <w:tcPr>
            <w:tcW w:w="1080" w:type="dxa"/>
            <w:tcBorders>
              <w:top w:val="nil"/>
              <w:left w:val="nil"/>
              <w:bottom w:val="single" w:color="auto" w:sz="4" w:space="0"/>
              <w:right w:val="single" w:color="auto" w:sz="4" w:space="0"/>
            </w:tcBorders>
            <w:shd w:val="clear" w:color="000000" w:fill="auto"/>
            <w:vAlign w:val="bottom"/>
          </w:tcPr>
          <w:p>
            <w:pPr>
              <w:jc w:val="right"/>
              <w:rPr>
                <w:rFonts w:ascii="宋体" w:hAnsi="宋体" w:eastAsia="宋体" w:cs="宋体"/>
                <w:color w:val="000000"/>
                <w:sz w:val="24"/>
                <w:szCs w:val="24"/>
              </w:rPr>
            </w:pPr>
            <w:r>
              <w:rPr>
                <w:rFonts w:ascii="宋体" w:hAnsi="宋体" w:eastAsia="宋体" w:cs="宋体"/>
                <w:color w:val="000000"/>
                <w:sz w:val="24"/>
                <w:szCs w:val="24"/>
              </w:rPr>
              <w:t>117.92</w:t>
            </w:r>
          </w:p>
        </w:tc>
        <w:tc>
          <w:tcPr>
            <w:tcW w:w="1080" w:type="dxa"/>
            <w:tcBorders>
              <w:top w:val="nil"/>
              <w:left w:val="nil"/>
              <w:bottom w:val="single" w:color="auto" w:sz="4" w:space="0"/>
              <w:right w:val="single" w:color="auto" w:sz="4" w:space="0"/>
            </w:tcBorders>
            <w:shd w:val="clear" w:color="000000" w:fill="auto"/>
            <w:vAlign w:val="bottom"/>
          </w:tcPr>
          <w:p>
            <w:pPr>
              <w:jc w:val="right"/>
              <w:rPr>
                <w:rFonts w:ascii="宋体" w:hAnsi="宋体" w:eastAsia="宋体" w:cs="宋体"/>
                <w:color w:val="000000"/>
                <w:sz w:val="24"/>
                <w:szCs w:val="24"/>
              </w:rPr>
            </w:pPr>
            <w:r>
              <w:rPr>
                <w:rFonts w:ascii="宋体" w:hAnsi="宋体" w:eastAsia="宋体" w:cs="宋体"/>
                <w:color w:val="000000"/>
                <w:sz w:val="24"/>
                <w:szCs w:val="24"/>
              </w:rPr>
              <w:t>108.37</w:t>
            </w:r>
          </w:p>
        </w:tc>
        <w:tc>
          <w:tcPr>
            <w:tcW w:w="1080" w:type="dxa"/>
            <w:tcBorders>
              <w:top w:val="nil"/>
              <w:left w:val="nil"/>
              <w:bottom w:val="single" w:color="auto" w:sz="4" w:space="0"/>
              <w:right w:val="nil"/>
            </w:tcBorders>
            <w:shd w:val="clear" w:color="000000" w:fill="auto"/>
            <w:vAlign w:val="bottom"/>
          </w:tcPr>
          <w:p>
            <w:pPr>
              <w:jc w:val="right"/>
              <w:rPr>
                <w:rFonts w:ascii="宋体" w:hAnsi="宋体" w:eastAsia="宋体" w:cs="宋体"/>
                <w:color w:val="000000"/>
                <w:sz w:val="24"/>
                <w:szCs w:val="24"/>
              </w:rPr>
            </w:pPr>
            <w:r>
              <w:rPr>
                <w:rFonts w:ascii="宋体" w:hAnsi="宋体" w:eastAsia="宋体" w:cs="宋体"/>
                <w:color w:val="000000"/>
                <w:sz w:val="24"/>
                <w:szCs w:val="24"/>
              </w:rPr>
              <w:t>8.82</w:t>
            </w:r>
          </w:p>
        </w:tc>
      </w:tr>
      <w:tr>
        <w:tblPrEx>
          <w:tblCellMar>
            <w:top w:w="0" w:type="dxa"/>
            <w:left w:w="108" w:type="dxa"/>
            <w:bottom w:w="0" w:type="dxa"/>
            <w:right w:w="108" w:type="dxa"/>
          </w:tblCellMar>
        </w:tblPrEx>
        <w:trPr>
          <w:trHeight w:val="390" w:hRule="atLeast"/>
        </w:trPr>
        <w:tc>
          <w:tcPr>
            <w:tcW w:w="2820" w:type="dxa"/>
            <w:tcBorders>
              <w:top w:val="nil"/>
              <w:left w:val="nil"/>
              <w:bottom w:val="single" w:color="auto" w:sz="4" w:space="0"/>
              <w:right w:val="single" w:color="auto" w:sz="4" w:space="0"/>
            </w:tcBorders>
            <w:shd w:val="clear" w:color="000000" w:fill="auto"/>
            <w:vAlign w:val="bottom"/>
          </w:tcPr>
          <w:p>
            <w:pPr>
              <w:jc w:val="left"/>
              <w:rPr>
                <w:rFonts w:ascii="宋体" w:hAnsi="宋体" w:eastAsia="宋体" w:cs="宋体"/>
                <w:color w:val="000000"/>
                <w:sz w:val="24"/>
                <w:szCs w:val="24"/>
              </w:rPr>
            </w:pPr>
            <w:r>
              <w:rPr>
                <w:rFonts w:ascii="宋体" w:hAnsi="宋体" w:eastAsia="宋体" w:cs="宋体"/>
                <w:color w:val="000000"/>
                <w:sz w:val="24"/>
                <w:szCs w:val="24"/>
              </w:rPr>
              <w:t>交通运输、仓储和邮政业</w:t>
            </w:r>
          </w:p>
        </w:tc>
        <w:tc>
          <w:tcPr>
            <w:tcW w:w="1080" w:type="dxa"/>
            <w:tcBorders>
              <w:top w:val="nil"/>
              <w:left w:val="nil"/>
              <w:bottom w:val="single" w:color="auto" w:sz="4" w:space="0"/>
              <w:right w:val="single" w:color="auto" w:sz="4" w:space="0"/>
            </w:tcBorders>
            <w:shd w:val="clear" w:color="000000" w:fill="auto"/>
            <w:vAlign w:val="center"/>
          </w:tcPr>
          <w:p>
            <w:pPr>
              <w:jc w:val="center"/>
              <w:rPr>
                <w:rFonts w:ascii="宋体" w:hAnsi="宋体" w:eastAsia="宋体" w:cs="宋体"/>
                <w:color w:val="000000"/>
                <w:sz w:val="24"/>
                <w:szCs w:val="24"/>
              </w:rPr>
            </w:pPr>
            <w:r>
              <w:rPr>
                <w:rFonts w:ascii="宋体" w:hAnsi="宋体" w:eastAsia="宋体" w:cs="宋体"/>
                <w:color w:val="000000"/>
                <w:sz w:val="24"/>
                <w:szCs w:val="24"/>
              </w:rPr>
              <w:t>G</w:t>
            </w:r>
          </w:p>
        </w:tc>
        <w:tc>
          <w:tcPr>
            <w:tcW w:w="1080" w:type="dxa"/>
            <w:tcBorders>
              <w:top w:val="nil"/>
              <w:left w:val="nil"/>
              <w:bottom w:val="single" w:color="auto" w:sz="4" w:space="0"/>
              <w:right w:val="single" w:color="auto" w:sz="4" w:space="0"/>
            </w:tcBorders>
            <w:shd w:val="clear" w:color="000000" w:fill="auto"/>
            <w:vAlign w:val="center"/>
          </w:tcPr>
          <w:p>
            <w:pPr>
              <w:jc w:val="center"/>
              <w:rPr>
                <w:rFonts w:ascii="宋体" w:hAnsi="宋体" w:eastAsia="宋体" w:cs="宋体"/>
                <w:color w:val="000000"/>
                <w:sz w:val="24"/>
                <w:szCs w:val="24"/>
              </w:rPr>
            </w:pPr>
            <w:r>
              <w:rPr>
                <w:rFonts w:ascii="宋体" w:hAnsi="宋体" w:eastAsia="宋体" w:cs="宋体"/>
                <w:color w:val="000000"/>
                <w:sz w:val="24"/>
                <w:szCs w:val="24"/>
              </w:rPr>
              <w:t>16</w:t>
            </w:r>
          </w:p>
        </w:tc>
        <w:tc>
          <w:tcPr>
            <w:tcW w:w="1080" w:type="dxa"/>
            <w:tcBorders>
              <w:top w:val="nil"/>
              <w:left w:val="nil"/>
              <w:bottom w:val="single" w:color="auto" w:sz="4" w:space="0"/>
              <w:right w:val="single" w:color="auto" w:sz="4" w:space="0"/>
            </w:tcBorders>
            <w:shd w:val="clear" w:color="000000" w:fill="auto"/>
            <w:vAlign w:val="bottom"/>
          </w:tcPr>
          <w:p>
            <w:pPr>
              <w:jc w:val="right"/>
              <w:rPr>
                <w:rFonts w:ascii="宋体" w:hAnsi="宋体" w:eastAsia="宋体" w:cs="宋体"/>
                <w:color w:val="000000"/>
                <w:sz w:val="24"/>
                <w:szCs w:val="24"/>
              </w:rPr>
            </w:pPr>
            <w:r>
              <w:rPr>
                <w:rFonts w:ascii="宋体" w:hAnsi="宋体" w:eastAsia="宋体" w:cs="宋体"/>
                <w:color w:val="000000"/>
                <w:sz w:val="24"/>
                <w:szCs w:val="24"/>
              </w:rPr>
              <w:t>44.82</w:t>
            </w:r>
          </w:p>
        </w:tc>
        <w:tc>
          <w:tcPr>
            <w:tcW w:w="1080" w:type="dxa"/>
            <w:tcBorders>
              <w:top w:val="nil"/>
              <w:left w:val="nil"/>
              <w:bottom w:val="single" w:color="auto" w:sz="4" w:space="0"/>
              <w:right w:val="single" w:color="auto" w:sz="4" w:space="0"/>
            </w:tcBorders>
            <w:shd w:val="clear" w:color="000000" w:fill="auto"/>
            <w:vAlign w:val="bottom"/>
          </w:tcPr>
          <w:p>
            <w:pPr>
              <w:jc w:val="right"/>
              <w:rPr>
                <w:rFonts w:ascii="宋体" w:hAnsi="宋体" w:eastAsia="宋体" w:cs="宋体"/>
                <w:color w:val="000000"/>
                <w:sz w:val="24"/>
                <w:szCs w:val="24"/>
              </w:rPr>
            </w:pPr>
            <w:r>
              <w:rPr>
                <w:rFonts w:ascii="宋体" w:hAnsi="宋体" w:eastAsia="宋体" w:cs="宋体"/>
                <w:color w:val="000000"/>
                <w:sz w:val="24"/>
                <w:szCs w:val="24"/>
              </w:rPr>
              <w:t>62.75</w:t>
            </w:r>
          </w:p>
        </w:tc>
        <w:tc>
          <w:tcPr>
            <w:tcW w:w="1080" w:type="dxa"/>
            <w:tcBorders>
              <w:top w:val="nil"/>
              <w:left w:val="nil"/>
              <w:bottom w:val="single" w:color="auto" w:sz="4" w:space="0"/>
              <w:right w:val="nil"/>
            </w:tcBorders>
            <w:shd w:val="clear" w:color="000000" w:fill="auto"/>
            <w:vAlign w:val="bottom"/>
          </w:tcPr>
          <w:p>
            <w:pPr>
              <w:jc w:val="right"/>
              <w:rPr>
                <w:rFonts w:ascii="宋体" w:hAnsi="宋体" w:eastAsia="宋体" w:cs="宋体"/>
                <w:color w:val="000000"/>
                <w:sz w:val="24"/>
                <w:szCs w:val="24"/>
              </w:rPr>
            </w:pPr>
            <w:r>
              <w:rPr>
                <w:rFonts w:ascii="宋体" w:hAnsi="宋体" w:eastAsia="宋体" w:cs="宋体"/>
                <w:color w:val="000000"/>
                <w:sz w:val="24"/>
                <w:szCs w:val="24"/>
              </w:rPr>
              <w:t>-28.58</w:t>
            </w:r>
          </w:p>
        </w:tc>
      </w:tr>
      <w:tr>
        <w:tblPrEx>
          <w:tblCellMar>
            <w:top w:w="0" w:type="dxa"/>
            <w:left w:w="108" w:type="dxa"/>
            <w:bottom w:w="0" w:type="dxa"/>
            <w:right w:w="108" w:type="dxa"/>
          </w:tblCellMar>
        </w:tblPrEx>
        <w:trPr>
          <w:trHeight w:val="570" w:hRule="atLeast"/>
        </w:trPr>
        <w:tc>
          <w:tcPr>
            <w:tcW w:w="2820" w:type="dxa"/>
            <w:tcBorders>
              <w:top w:val="nil"/>
              <w:left w:val="nil"/>
              <w:bottom w:val="single" w:color="auto" w:sz="4" w:space="0"/>
              <w:right w:val="single" w:color="auto" w:sz="4" w:space="0"/>
            </w:tcBorders>
            <w:shd w:val="clear" w:color="000000" w:fill="auto"/>
            <w:vAlign w:val="bottom"/>
          </w:tcPr>
          <w:p>
            <w:pPr>
              <w:jc w:val="left"/>
              <w:rPr>
                <w:rFonts w:ascii="宋体" w:hAnsi="宋体" w:eastAsia="宋体" w:cs="宋体"/>
                <w:color w:val="000000"/>
                <w:sz w:val="24"/>
                <w:szCs w:val="24"/>
              </w:rPr>
            </w:pPr>
            <w:r>
              <w:rPr>
                <w:rFonts w:ascii="宋体" w:hAnsi="宋体" w:eastAsia="宋体" w:cs="宋体"/>
                <w:color w:val="000000"/>
                <w:sz w:val="24"/>
                <w:szCs w:val="24"/>
              </w:rPr>
              <w:t>信息传输、软件和信息技术服务业</w:t>
            </w:r>
          </w:p>
        </w:tc>
        <w:tc>
          <w:tcPr>
            <w:tcW w:w="1080" w:type="dxa"/>
            <w:tcBorders>
              <w:top w:val="nil"/>
              <w:left w:val="nil"/>
              <w:bottom w:val="single" w:color="auto" w:sz="4" w:space="0"/>
              <w:right w:val="single" w:color="auto" w:sz="4" w:space="0"/>
            </w:tcBorders>
            <w:shd w:val="clear" w:color="000000" w:fill="auto"/>
            <w:vAlign w:val="center"/>
          </w:tcPr>
          <w:p>
            <w:pPr>
              <w:jc w:val="center"/>
              <w:rPr>
                <w:rFonts w:ascii="宋体" w:hAnsi="宋体" w:eastAsia="宋体" w:cs="宋体"/>
                <w:color w:val="000000"/>
                <w:sz w:val="24"/>
                <w:szCs w:val="24"/>
              </w:rPr>
            </w:pPr>
            <w:r>
              <w:rPr>
                <w:rFonts w:ascii="宋体" w:hAnsi="宋体" w:eastAsia="宋体" w:cs="宋体"/>
                <w:color w:val="000000"/>
                <w:sz w:val="24"/>
                <w:szCs w:val="24"/>
              </w:rPr>
              <w:t>I</w:t>
            </w:r>
          </w:p>
        </w:tc>
        <w:tc>
          <w:tcPr>
            <w:tcW w:w="1080" w:type="dxa"/>
            <w:tcBorders>
              <w:top w:val="nil"/>
              <w:left w:val="nil"/>
              <w:bottom w:val="single" w:color="auto" w:sz="4" w:space="0"/>
              <w:right w:val="single" w:color="auto" w:sz="4" w:space="0"/>
            </w:tcBorders>
            <w:shd w:val="clear" w:color="000000" w:fill="auto"/>
            <w:vAlign w:val="center"/>
          </w:tcPr>
          <w:p>
            <w:pPr>
              <w:jc w:val="center"/>
              <w:rPr>
                <w:rFonts w:ascii="宋体" w:hAnsi="宋体" w:eastAsia="宋体" w:cs="宋体"/>
                <w:color w:val="000000"/>
                <w:sz w:val="24"/>
                <w:szCs w:val="24"/>
              </w:rPr>
            </w:pPr>
            <w:r>
              <w:rPr>
                <w:rFonts w:ascii="宋体" w:hAnsi="宋体" w:eastAsia="宋体" w:cs="宋体"/>
                <w:color w:val="000000"/>
                <w:sz w:val="24"/>
                <w:szCs w:val="24"/>
              </w:rPr>
              <w:t>13</w:t>
            </w:r>
          </w:p>
        </w:tc>
        <w:tc>
          <w:tcPr>
            <w:tcW w:w="1080" w:type="dxa"/>
            <w:tcBorders>
              <w:top w:val="nil"/>
              <w:left w:val="nil"/>
              <w:bottom w:val="single" w:color="auto" w:sz="4" w:space="0"/>
              <w:right w:val="single" w:color="auto" w:sz="4" w:space="0"/>
            </w:tcBorders>
            <w:shd w:val="clear" w:color="000000" w:fill="auto"/>
            <w:vAlign w:val="bottom"/>
          </w:tcPr>
          <w:p>
            <w:pPr>
              <w:jc w:val="right"/>
              <w:rPr>
                <w:rFonts w:ascii="宋体" w:hAnsi="宋体" w:eastAsia="宋体" w:cs="宋体"/>
                <w:color w:val="000000"/>
                <w:sz w:val="24"/>
                <w:szCs w:val="24"/>
              </w:rPr>
            </w:pPr>
            <w:r>
              <w:rPr>
                <w:rFonts w:ascii="宋体" w:hAnsi="宋体" w:eastAsia="宋体" w:cs="宋体"/>
                <w:color w:val="000000"/>
                <w:sz w:val="24"/>
                <w:szCs w:val="24"/>
              </w:rPr>
              <w:t>6.40</w:t>
            </w:r>
          </w:p>
        </w:tc>
        <w:tc>
          <w:tcPr>
            <w:tcW w:w="1080" w:type="dxa"/>
            <w:tcBorders>
              <w:top w:val="nil"/>
              <w:left w:val="nil"/>
              <w:bottom w:val="single" w:color="auto" w:sz="4" w:space="0"/>
              <w:right w:val="single" w:color="auto" w:sz="4" w:space="0"/>
            </w:tcBorders>
            <w:shd w:val="clear" w:color="000000" w:fill="auto"/>
            <w:vAlign w:val="bottom"/>
          </w:tcPr>
          <w:p>
            <w:pPr>
              <w:jc w:val="right"/>
              <w:rPr>
                <w:rFonts w:ascii="宋体" w:hAnsi="宋体" w:eastAsia="宋体" w:cs="宋体"/>
                <w:color w:val="000000"/>
                <w:sz w:val="24"/>
                <w:szCs w:val="24"/>
              </w:rPr>
            </w:pPr>
            <w:r>
              <w:rPr>
                <w:rFonts w:ascii="宋体" w:hAnsi="宋体" w:eastAsia="宋体" w:cs="宋体"/>
                <w:color w:val="000000"/>
                <w:sz w:val="24"/>
                <w:szCs w:val="24"/>
              </w:rPr>
              <w:t>4.93</w:t>
            </w:r>
          </w:p>
        </w:tc>
        <w:tc>
          <w:tcPr>
            <w:tcW w:w="1080" w:type="dxa"/>
            <w:tcBorders>
              <w:top w:val="nil"/>
              <w:left w:val="nil"/>
              <w:bottom w:val="single" w:color="auto" w:sz="4" w:space="0"/>
              <w:right w:val="nil"/>
            </w:tcBorders>
            <w:shd w:val="clear" w:color="000000" w:fill="auto"/>
            <w:vAlign w:val="bottom"/>
          </w:tcPr>
          <w:p>
            <w:pPr>
              <w:jc w:val="right"/>
              <w:rPr>
                <w:rFonts w:ascii="宋体" w:hAnsi="宋体" w:eastAsia="宋体" w:cs="宋体"/>
                <w:color w:val="000000"/>
                <w:sz w:val="24"/>
                <w:szCs w:val="24"/>
              </w:rPr>
            </w:pPr>
            <w:r>
              <w:rPr>
                <w:rFonts w:ascii="宋体" w:hAnsi="宋体" w:eastAsia="宋体" w:cs="宋体"/>
                <w:color w:val="000000"/>
                <w:sz w:val="24"/>
                <w:szCs w:val="24"/>
              </w:rPr>
              <w:t>29.9</w:t>
            </w:r>
          </w:p>
        </w:tc>
      </w:tr>
      <w:tr>
        <w:tblPrEx>
          <w:tblCellMar>
            <w:top w:w="0" w:type="dxa"/>
            <w:left w:w="108" w:type="dxa"/>
            <w:bottom w:w="0" w:type="dxa"/>
            <w:right w:w="108" w:type="dxa"/>
          </w:tblCellMar>
        </w:tblPrEx>
        <w:trPr>
          <w:trHeight w:val="390" w:hRule="atLeast"/>
        </w:trPr>
        <w:tc>
          <w:tcPr>
            <w:tcW w:w="2820" w:type="dxa"/>
            <w:tcBorders>
              <w:top w:val="nil"/>
              <w:left w:val="nil"/>
              <w:bottom w:val="single" w:color="auto" w:sz="4" w:space="0"/>
              <w:right w:val="single" w:color="auto" w:sz="4" w:space="0"/>
            </w:tcBorders>
            <w:shd w:val="clear" w:color="000000" w:fill="auto"/>
            <w:vAlign w:val="bottom"/>
          </w:tcPr>
          <w:p>
            <w:pPr>
              <w:jc w:val="left"/>
              <w:rPr>
                <w:rFonts w:ascii="宋体" w:hAnsi="宋体" w:eastAsia="宋体" w:cs="宋体"/>
                <w:color w:val="000000"/>
                <w:sz w:val="24"/>
                <w:szCs w:val="24"/>
              </w:rPr>
            </w:pPr>
            <w:r>
              <w:rPr>
                <w:rFonts w:ascii="宋体" w:hAnsi="宋体" w:eastAsia="宋体" w:cs="宋体"/>
                <w:color w:val="000000"/>
                <w:sz w:val="24"/>
                <w:szCs w:val="24"/>
              </w:rPr>
              <w:t>房地产业</w:t>
            </w:r>
          </w:p>
        </w:tc>
        <w:tc>
          <w:tcPr>
            <w:tcW w:w="1080" w:type="dxa"/>
            <w:tcBorders>
              <w:top w:val="nil"/>
              <w:left w:val="nil"/>
              <w:bottom w:val="single" w:color="auto" w:sz="4" w:space="0"/>
              <w:right w:val="single" w:color="auto" w:sz="4" w:space="0"/>
            </w:tcBorders>
            <w:shd w:val="clear" w:color="000000" w:fill="auto"/>
            <w:vAlign w:val="center"/>
          </w:tcPr>
          <w:p>
            <w:pPr>
              <w:jc w:val="center"/>
              <w:rPr>
                <w:rFonts w:ascii="宋体" w:hAnsi="宋体" w:eastAsia="宋体" w:cs="宋体"/>
                <w:color w:val="000000"/>
                <w:sz w:val="24"/>
                <w:szCs w:val="24"/>
              </w:rPr>
            </w:pPr>
            <w:r>
              <w:rPr>
                <w:rFonts w:ascii="宋体" w:hAnsi="宋体" w:eastAsia="宋体" w:cs="宋体"/>
                <w:color w:val="000000"/>
                <w:sz w:val="24"/>
                <w:szCs w:val="24"/>
              </w:rPr>
              <w:t>K</w:t>
            </w:r>
          </w:p>
        </w:tc>
        <w:tc>
          <w:tcPr>
            <w:tcW w:w="1080" w:type="dxa"/>
            <w:tcBorders>
              <w:top w:val="nil"/>
              <w:left w:val="nil"/>
              <w:bottom w:val="single" w:color="auto" w:sz="4" w:space="0"/>
              <w:right w:val="single" w:color="auto" w:sz="4" w:space="0"/>
            </w:tcBorders>
            <w:shd w:val="clear" w:color="000000" w:fill="auto"/>
            <w:vAlign w:val="center"/>
          </w:tcPr>
          <w:p>
            <w:pPr>
              <w:jc w:val="center"/>
              <w:rPr>
                <w:rFonts w:ascii="宋体" w:hAnsi="宋体" w:eastAsia="宋体" w:cs="宋体"/>
                <w:color w:val="000000"/>
                <w:sz w:val="24"/>
                <w:szCs w:val="24"/>
              </w:rPr>
            </w:pPr>
            <w:r>
              <w:rPr>
                <w:rFonts w:ascii="宋体" w:hAnsi="宋体" w:eastAsia="宋体" w:cs="宋体"/>
                <w:color w:val="000000"/>
                <w:sz w:val="24"/>
                <w:szCs w:val="24"/>
              </w:rPr>
              <w:t>10</w:t>
            </w:r>
          </w:p>
        </w:tc>
        <w:tc>
          <w:tcPr>
            <w:tcW w:w="1080" w:type="dxa"/>
            <w:tcBorders>
              <w:top w:val="nil"/>
              <w:left w:val="nil"/>
              <w:bottom w:val="single" w:color="auto" w:sz="4" w:space="0"/>
              <w:right w:val="single" w:color="auto" w:sz="4" w:space="0"/>
            </w:tcBorders>
            <w:shd w:val="clear" w:color="000000" w:fill="auto"/>
            <w:vAlign w:val="bottom"/>
          </w:tcPr>
          <w:p>
            <w:pPr>
              <w:jc w:val="right"/>
              <w:rPr>
                <w:rFonts w:ascii="宋体" w:hAnsi="宋体" w:eastAsia="宋体" w:cs="宋体"/>
                <w:color w:val="000000"/>
                <w:sz w:val="24"/>
                <w:szCs w:val="24"/>
              </w:rPr>
            </w:pPr>
            <w:r>
              <w:rPr>
                <w:rFonts w:ascii="宋体" w:hAnsi="宋体" w:eastAsia="宋体" w:cs="宋体"/>
                <w:color w:val="000000"/>
                <w:sz w:val="24"/>
                <w:szCs w:val="24"/>
              </w:rPr>
              <w:t>8.68</w:t>
            </w:r>
          </w:p>
        </w:tc>
        <w:tc>
          <w:tcPr>
            <w:tcW w:w="1080" w:type="dxa"/>
            <w:tcBorders>
              <w:top w:val="nil"/>
              <w:left w:val="nil"/>
              <w:bottom w:val="single" w:color="auto" w:sz="4" w:space="0"/>
              <w:right w:val="single" w:color="auto" w:sz="4" w:space="0"/>
            </w:tcBorders>
            <w:shd w:val="clear" w:color="000000" w:fill="auto"/>
            <w:vAlign w:val="bottom"/>
          </w:tcPr>
          <w:p>
            <w:pPr>
              <w:jc w:val="right"/>
              <w:rPr>
                <w:rFonts w:ascii="宋体" w:hAnsi="宋体" w:eastAsia="宋体" w:cs="宋体"/>
                <w:color w:val="000000"/>
                <w:sz w:val="24"/>
                <w:szCs w:val="24"/>
              </w:rPr>
            </w:pPr>
            <w:r>
              <w:rPr>
                <w:rFonts w:ascii="宋体" w:hAnsi="宋体" w:eastAsia="宋体" w:cs="宋体"/>
                <w:color w:val="000000"/>
                <w:sz w:val="24"/>
                <w:szCs w:val="24"/>
              </w:rPr>
              <w:t>6.48</w:t>
            </w:r>
          </w:p>
        </w:tc>
        <w:tc>
          <w:tcPr>
            <w:tcW w:w="1080" w:type="dxa"/>
            <w:tcBorders>
              <w:top w:val="nil"/>
              <w:left w:val="nil"/>
              <w:bottom w:val="single" w:color="auto" w:sz="4" w:space="0"/>
              <w:right w:val="nil"/>
            </w:tcBorders>
            <w:shd w:val="clear" w:color="000000" w:fill="auto"/>
            <w:vAlign w:val="bottom"/>
          </w:tcPr>
          <w:p>
            <w:pPr>
              <w:jc w:val="right"/>
              <w:rPr>
                <w:rFonts w:ascii="宋体" w:hAnsi="宋体" w:eastAsia="宋体" w:cs="宋体"/>
                <w:color w:val="000000"/>
                <w:sz w:val="24"/>
                <w:szCs w:val="24"/>
              </w:rPr>
            </w:pPr>
            <w:r>
              <w:rPr>
                <w:rFonts w:ascii="宋体" w:hAnsi="宋体" w:eastAsia="宋体" w:cs="宋体"/>
                <w:color w:val="000000"/>
                <w:sz w:val="24"/>
                <w:szCs w:val="24"/>
              </w:rPr>
              <w:t>33.99</w:t>
            </w:r>
          </w:p>
        </w:tc>
      </w:tr>
      <w:tr>
        <w:tblPrEx>
          <w:tblCellMar>
            <w:top w:w="0" w:type="dxa"/>
            <w:left w:w="108" w:type="dxa"/>
            <w:bottom w:w="0" w:type="dxa"/>
            <w:right w:w="108" w:type="dxa"/>
          </w:tblCellMar>
        </w:tblPrEx>
        <w:trPr>
          <w:trHeight w:val="390" w:hRule="atLeast"/>
        </w:trPr>
        <w:tc>
          <w:tcPr>
            <w:tcW w:w="2820" w:type="dxa"/>
            <w:tcBorders>
              <w:top w:val="nil"/>
              <w:left w:val="nil"/>
              <w:bottom w:val="single" w:color="auto" w:sz="4" w:space="0"/>
              <w:right w:val="single" w:color="auto" w:sz="4" w:space="0"/>
            </w:tcBorders>
            <w:shd w:val="clear" w:color="000000" w:fill="auto"/>
            <w:vAlign w:val="bottom"/>
          </w:tcPr>
          <w:p>
            <w:pPr>
              <w:jc w:val="left"/>
              <w:rPr>
                <w:rFonts w:ascii="宋体" w:hAnsi="宋体" w:eastAsia="宋体" w:cs="宋体"/>
                <w:color w:val="000000"/>
                <w:sz w:val="24"/>
                <w:szCs w:val="24"/>
              </w:rPr>
            </w:pPr>
            <w:r>
              <w:rPr>
                <w:rFonts w:ascii="宋体" w:hAnsi="宋体" w:eastAsia="宋体" w:cs="宋体"/>
                <w:color w:val="000000"/>
                <w:sz w:val="24"/>
                <w:szCs w:val="24"/>
              </w:rPr>
              <w:t>租赁和商务服务业</w:t>
            </w:r>
          </w:p>
        </w:tc>
        <w:tc>
          <w:tcPr>
            <w:tcW w:w="1080" w:type="dxa"/>
            <w:tcBorders>
              <w:top w:val="nil"/>
              <w:left w:val="nil"/>
              <w:bottom w:val="single" w:color="auto" w:sz="4" w:space="0"/>
              <w:right w:val="single" w:color="auto" w:sz="4" w:space="0"/>
            </w:tcBorders>
            <w:shd w:val="clear" w:color="000000" w:fill="auto"/>
            <w:vAlign w:val="center"/>
          </w:tcPr>
          <w:p>
            <w:pPr>
              <w:jc w:val="center"/>
              <w:rPr>
                <w:rFonts w:ascii="宋体" w:hAnsi="宋体" w:eastAsia="宋体" w:cs="宋体"/>
                <w:color w:val="000000"/>
                <w:sz w:val="24"/>
                <w:szCs w:val="24"/>
              </w:rPr>
            </w:pPr>
            <w:r>
              <w:rPr>
                <w:rFonts w:ascii="宋体" w:hAnsi="宋体" w:eastAsia="宋体" w:cs="宋体"/>
                <w:color w:val="000000"/>
                <w:sz w:val="24"/>
                <w:szCs w:val="24"/>
              </w:rPr>
              <w:t>L</w:t>
            </w:r>
          </w:p>
        </w:tc>
        <w:tc>
          <w:tcPr>
            <w:tcW w:w="1080" w:type="dxa"/>
            <w:tcBorders>
              <w:top w:val="nil"/>
              <w:left w:val="nil"/>
              <w:bottom w:val="single" w:color="auto" w:sz="4" w:space="0"/>
              <w:right w:val="single" w:color="auto" w:sz="4" w:space="0"/>
            </w:tcBorders>
            <w:shd w:val="clear" w:color="000000" w:fill="auto"/>
            <w:vAlign w:val="center"/>
          </w:tcPr>
          <w:p>
            <w:pPr>
              <w:jc w:val="center"/>
              <w:rPr>
                <w:rFonts w:ascii="宋体" w:hAnsi="宋体" w:eastAsia="宋体" w:cs="宋体"/>
                <w:color w:val="000000"/>
                <w:sz w:val="24"/>
                <w:szCs w:val="24"/>
              </w:rPr>
            </w:pPr>
            <w:r>
              <w:rPr>
                <w:rFonts w:ascii="宋体" w:hAnsi="宋体" w:eastAsia="宋体" w:cs="宋体"/>
                <w:color w:val="000000"/>
                <w:sz w:val="24"/>
                <w:szCs w:val="24"/>
              </w:rPr>
              <w:t>14</w:t>
            </w:r>
          </w:p>
        </w:tc>
        <w:tc>
          <w:tcPr>
            <w:tcW w:w="1080" w:type="dxa"/>
            <w:tcBorders>
              <w:top w:val="nil"/>
              <w:left w:val="nil"/>
              <w:bottom w:val="single" w:color="auto" w:sz="4" w:space="0"/>
              <w:right w:val="single" w:color="auto" w:sz="4" w:space="0"/>
            </w:tcBorders>
            <w:shd w:val="clear" w:color="000000" w:fill="auto"/>
            <w:vAlign w:val="bottom"/>
          </w:tcPr>
          <w:p>
            <w:pPr>
              <w:jc w:val="right"/>
              <w:rPr>
                <w:rFonts w:ascii="宋体" w:hAnsi="宋体" w:eastAsia="宋体" w:cs="宋体"/>
                <w:color w:val="000000"/>
                <w:sz w:val="24"/>
                <w:szCs w:val="24"/>
              </w:rPr>
            </w:pPr>
            <w:r>
              <w:rPr>
                <w:rFonts w:ascii="宋体" w:hAnsi="宋体" w:eastAsia="宋体" w:cs="宋体"/>
                <w:color w:val="000000"/>
                <w:sz w:val="24"/>
                <w:szCs w:val="24"/>
              </w:rPr>
              <w:t>14.05</w:t>
            </w:r>
          </w:p>
        </w:tc>
        <w:tc>
          <w:tcPr>
            <w:tcW w:w="1080" w:type="dxa"/>
            <w:tcBorders>
              <w:top w:val="nil"/>
              <w:left w:val="nil"/>
              <w:bottom w:val="single" w:color="auto" w:sz="4" w:space="0"/>
              <w:right w:val="single" w:color="auto" w:sz="4" w:space="0"/>
            </w:tcBorders>
            <w:shd w:val="clear" w:color="000000" w:fill="auto"/>
            <w:vAlign w:val="bottom"/>
          </w:tcPr>
          <w:p>
            <w:pPr>
              <w:jc w:val="right"/>
              <w:rPr>
                <w:rFonts w:ascii="宋体" w:hAnsi="宋体" w:eastAsia="宋体" w:cs="宋体"/>
                <w:color w:val="000000"/>
                <w:sz w:val="24"/>
                <w:szCs w:val="24"/>
              </w:rPr>
            </w:pPr>
            <w:r>
              <w:rPr>
                <w:rFonts w:ascii="宋体" w:hAnsi="宋体" w:eastAsia="宋体" w:cs="宋体"/>
                <w:color w:val="000000"/>
                <w:sz w:val="24"/>
                <w:szCs w:val="24"/>
              </w:rPr>
              <w:t>11.27</w:t>
            </w:r>
          </w:p>
        </w:tc>
        <w:tc>
          <w:tcPr>
            <w:tcW w:w="1080" w:type="dxa"/>
            <w:tcBorders>
              <w:top w:val="nil"/>
              <w:left w:val="nil"/>
              <w:bottom w:val="single" w:color="auto" w:sz="4" w:space="0"/>
              <w:right w:val="nil"/>
            </w:tcBorders>
            <w:shd w:val="clear" w:color="000000" w:fill="auto"/>
            <w:vAlign w:val="bottom"/>
          </w:tcPr>
          <w:p>
            <w:pPr>
              <w:jc w:val="right"/>
              <w:rPr>
                <w:rFonts w:ascii="宋体" w:hAnsi="宋体" w:eastAsia="宋体" w:cs="宋体"/>
                <w:color w:val="000000"/>
                <w:sz w:val="24"/>
                <w:szCs w:val="24"/>
              </w:rPr>
            </w:pPr>
            <w:r>
              <w:rPr>
                <w:rFonts w:ascii="宋体" w:hAnsi="宋体" w:eastAsia="宋体" w:cs="宋体"/>
                <w:color w:val="000000"/>
                <w:sz w:val="24"/>
                <w:szCs w:val="24"/>
              </w:rPr>
              <w:t>24.66</w:t>
            </w:r>
          </w:p>
        </w:tc>
      </w:tr>
      <w:tr>
        <w:tblPrEx>
          <w:tblCellMar>
            <w:top w:w="0" w:type="dxa"/>
            <w:left w:w="108" w:type="dxa"/>
            <w:bottom w:w="0" w:type="dxa"/>
            <w:right w:w="108" w:type="dxa"/>
          </w:tblCellMar>
        </w:tblPrEx>
        <w:trPr>
          <w:trHeight w:val="390" w:hRule="atLeast"/>
        </w:trPr>
        <w:tc>
          <w:tcPr>
            <w:tcW w:w="2820" w:type="dxa"/>
            <w:tcBorders>
              <w:top w:val="nil"/>
              <w:left w:val="nil"/>
              <w:bottom w:val="single" w:color="auto" w:sz="4" w:space="0"/>
              <w:right w:val="single" w:color="auto" w:sz="4" w:space="0"/>
            </w:tcBorders>
            <w:shd w:val="clear" w:color="000000" w:fill="auto"/>
            <w:vAlign w:val="bottom"/>
          </w:tcPr>
          <w:p>
            <w:pPr>
              <w:jc w:val="left"/>
              <w:rPr>
                <w:rFonts w:ascii="宋体" w:hAnsi="宋体" w:eastAsia="宋体" w:cs="宋体"/>
                <w:color w:val="000000"/>
                <w:sz w:val="24"/>
                <w:szCs w:val="24"/>
              </w:rPr>
            </w:pPr>
            <w:r>
              <w:rPr>
                <w:rFonts w:ascii="宋体" w:hAnsi="宋体" w:eastAsia="宋体" w:cs="宋体"/>
                <w:color w:val="000000"/>
                <w:sz w:val="24"/>
                <w:szCs w:val="24"/>
              </w:rPr>
              <w:t>科学研究和技术服务业</w:t>
            </w:r>
          </w:p>
        </w:tc>
        <w:tc>
          <w:tcPr>
            <w:tcW w:w="1080" w:type="dxa"/>
            <w:tcBorders>
              <w:top w:val="nil"/>
              <w:left w:val="nil"/>
              <w:bottom w:val="single" w:color="auto" w:sz="4" w:space="0"/>
              <w:right w:val="single" w:color="auto" w:sz="4" w:space="0"/>
            </w:tcBorders>
            <w:shd w:val="clear" w:color="000000" w:fill="auto"/>
            <w:vAlign w:val="center"/>
          </w:tcPr>
          <w:p>
            <w:pPr>
              <w:jc w:val="center"/>
              <w:rPr>
                <w:rFonts w:ascii="宋体" w:hAnsi="宋体" w:eastAsia="宋体" w:cs="宋体"/>
                <w:color w:val="000000"/>
                <w:sz w:val="24"/>
                <w:szCs w:val="24"/>
              </w:rPr>
            </w:pPr>
            <w:r>
              <w:rPr>
                <w:rFonts w:ascii="宋体" w:hAnsi="宋体" w:eastAsia="宋体" w:cs="宋体"/>
                <w:color w:val="000000"/>
                <w:sz w:val="24"/>
                <w:szCs w:val="24"/>
              </w:rPr>
              <w:t>M</w:t>
            </w:r>
          </w:p>
        </w:tc>
        <w:tc>
          <w:tcPr>
            <w:tcW w:w="1080" w:type="dxa"/>
            <w:tcBorders>
              <w:top w:val="nil"/>
              <w:left w:val="nil"/>
              <w:bottom w:val="single" w:color="auto" w:sz="4" w:space="0"/>
              <w:right w:val="single" w:color="auto" w:sz="4" w:space="0"/>
            </w:tcBorders>
            <w:shd w:val="clear" w:color="000000" w:fill="auto"/>
            <w:vAlign w:val="center"/>
          </w:tcPr>
          <w:p>
            <w:pPr>
              <w:jc w:val="center"/>
              <w:rPr>
                <w:rFonts w:ascii="宋体" w:hAnsi="宋体" w:eastAsia="宋体" w:cs="宋体"/>
                <w:color w:val="000000"/>
                <w:sz w:val="24"/>
                <w:szCs w:val="24"/>
              </w:rPr>
            </w:pPr>
            <w:r>
              <w:rPr>
                <w:rFonts w:ascii="宋体" w:hAnsi="宋体" w:eastAsia="宋体" w:cs="宋体"/>
                <w:color w:val="000000"/>
                <w:sz w:val="24"/>
                <w:szCs w:val="24"/>
              </w:rPr>
              <w:t>15</w:t>
            </w:r>
          </w:p>
        </w:tc>
        <w:tc>
          <w:tcPr>
            <w:tcW w:w="1080" w:type="dxa"/>
            <w:tcBorders>
              <w:top w:val="nil"/>
              <w:left w:val="nil"/>
              <w:bottom w:val="single" w:color="auto" w:sz="4" w:space="0"/>
              <w:right w:val="single" w:color="auto" w:sz="4" w:space="0"/>
            </w:tcBorders>
            <w:shd w:val="clear" w:color="000000" w:fill="auto"/>
            <w:vAlign w:val="bottom"/>
          </w:tcPr>
          <w:p>
            <w:pPr>
              <w:jc w:val="right"/>
              <w:rPr>
                <w:rFonts w:ascii="宋体" w:hAnsi="宋体" w:eastAsia="宋体" w:cs="宋体"/>
                <w:color w:val="000000"/>
                <w:sz w:val="24"/>
                <w:szCs w:val="24"/>
              </w:rPr>
            </w:pPr>
            <w:r>
              <w:rPr>
                <w:rFonts w:ascii="宋体" w:hAnsi="宋体" w:eastAsia="宋体" w:cs="宋体"/>
                <w:color w:val="000000"/>
                <w:sz w:val="24"/>
                <w:szCs w:val="24"/>
              </w:rPr>
              <w:t>7.94</w:t>
            </w:r>
          </w:p>
        </w:tc>
        <w:tc>
          <w:tcPr>
            <w:tcW w:w="1080" w:type="dxa"/>
            <w:tcBorders>
              <w:top w:val="nil"/>
              <w:left w:val="nil"/>
              <w:bottom w:val="single" w:color="auto" w:sz="4" w:space="0"/>
              <w:right w:val="single" w:color="auto" w:sz="4" w:space="0"/>
            </w:tcBorders>
            <w:shd w:val="clear" w:color="000000" w:fill="auto"/>
            <w:vAlign w:val="bottom"/>
          </w:tcPr>
          <w:p>
            <w:pPr>
              <w:jc w:val="right"/>
              <w:rPr>
                <w:rFonts w:ascii="宋体" w:hAnsi="宋体" w:eastAsia="宋体" w:cs="宋体"/>
                <w:color w:val="000000"/>
                <w:sz w:val="24"/>
                <w:szCs w:val="24"/>
              </w:rPr>
            </w:pPr>
            <w:r>
              <w:rPr>
                <w:rFonts w:ascii="宋体" w:hAnsi="宋体" w:eastAsia="宋体" w:cs="宋体"/>
                <w:color w:val="000000"/>
                <w:sz w:val="24"/>
                <w:szCs w:val="24"/>
              </w:rPr>
              <w:t>7.95</w:t>
            </w:r>
          </w:p>
        </w:tc>
        <w:tc>
          <w:tcPr>
            <w:tcW w:w="1080" w:type="dxa"/>
            <w:tcBorders>
              <w:top w:val="nil"/>
              <w:left w:val="nil"/>
              <w:bottom w:val="single" w:color="auto" w:sz="4" w:space="0"/>
              <w:right w:val="nil"/>
            </w:tcBorders>
            <w:shd w:val="clear" w:color="000000" w:fill="auto"/>
            <w:vAlign w:val="bottom"/>
          </w:tcPr>
          <w:p>
            <w:pPr>
              <w:jc w:val="right"/>
              <w:rPr>
                <w:rFonts w:ascii="宋体" w:hAnsi="宋体" w:eastAsia="宋体" w:cs="宋体"/>
                <w:color w:val="000000"/>
                <w:sz w:val="24"/>
                <w:szCs w:val="24"/>
              </w:rPr>
            </w:pPr>
            <w:r>
              <w:rPr>
                <w:rFonts w:ascii="宋体" w:hAnsi="宋体" w:eastAsia="宋体" w:cs="宋体"/>
                <w:color w:val="000000"/>
                <w:sz w:val="24"/>
                <w:szCs w:val="24"/>
              </w:rPr>
              <w:t>-0.09</w:t>
            </w:r>
          </w:p>
        </w:tc>
      </w:tr>
      <w:tr>
        <w:tblPrEx>
          <w:tblCellMar>
            <w:top w:w="0" w:type="dxa"/>
            <w:left w:w="108" w:type="dxa"/>
            <w:bottom w:w="0" w:type="dxa"/>
            <w:right w:w="108" w:type="dxa"/>
          </w:tblCellMar>
        </w:tblPrEx>
        <w:trPr>
          <w:trHeight w:val="570" w:hRule="atLeast"/>
        </w:trPr>
        <w:tc>
          <w:tcPr>
            <w:tcW w:w="2820" w:type="dxa"/>
            <w:tcBorders>
              <w:top w:val="nil"/>
              <w:left w:val="nil"/>
              <w:bottom w:val="single" w:color="auto" w:sz="4" w:space="0"/>
              <w:right w:val="single" w:color="auto" w:sz="4" w:space="0"/>
            </w:tcBorders>
            <w:shd w:val="clear" w:color="000000" w:fill="auto"/>
            <w:vAlign w:val="bottom"/>
          </w:tcPr>
          <w:p>
            <w:pPr>
              <w:jc w:val="left"/>
              <w:rPr>
                <w:rFonts w:ascii="宋体" w:hAnsi="宋体" w:eastAsia="宋体" w:cs="宋体"/>
                <w:color w:val="000000"/>
                <w:sz w:val="24"/>
                <w:szCs w:val="24"/>
              </w:rPr>
            </w:pPr>
            <w:r>
              <w:rPr>
                <w:rFonts w:ascii="宋体" w:hAnsi="宋体" w:eastAsia="宋体" w:cs="宋体"/>
                <w:color w:val="000000"/>
                <w:sz w:val="24"/>
                <w:szCs w:val="24"/>
              </w:rPr>
              <w:t>水利、环境和公共设施管理业</w:t>
            </w:r>
          </w:p>
        </w:tc>
        <w:tc>
          <w:tcPr>
            <w:tcW w:w="1080" w:type="dxa"/>
            <w:tcBorders>
              <w:top w:val="nil"/>
              <w:left w:val="nil"/>
              <w:bottom w:val="single" w:color="auto" w:sz="4" w:space="0"/>
              <w:right w:val="single" w:color="auto" w:sz="4" w:space="0"/>
            </w:tcBorders>
            <w:shd w:val="clear" w:color="000000" w:fill="auto"/>
            <w:vAlign w:val="center"/>
          </w:tcPr>
          <w:p>
            <w:pPr>
              <w:jc w:val="center"/>
              <w:rPr>
                <w:rFonts w:ascii="宋体" w:hAnsi="宋体" w:eastAsia="宋体" w:cs="宋体"/>
                <w:color w:val="000000"/>
                <w:sz w:val="24"/>
                <w:szCs w:val="24"/>
              </w:rPr>
            </w:pPr>
            <w:r>
              <w:rPr>
                <w:rFonts w:ascii="宋体" w:hAnsi="宋体" w:eastAsia="宋体" w:cs="宋体"/>
                <w:color w:val="000000"/>
                <w:sz w:val="24"/>
                <w:szCs w:val="24"/>
              </w:rPr>
              <w:t>N</w:t>
            </w:r>
          </w:p>
        </w:tc>
        <w:tc>
          <w:tcPr>
            <w:tcW w:w="1080" w:type="dxa"/>
            <w:tcBorders>
              <w:top w:val="nil"/>
              <w:left w:val="nil"/>
              <w:bottom w:val="single" w:color="auto" w:sz="4" w:space="0"/>
              <w:right w:val="single" w:color="auto" w:sz="4" w:space="0"/>
            </w:tcBorders>
            <w:shd w:val="clear" w:color="000000" w:fill="auto"/>
            <w:vAlign w:val="center"/>
          </w:tcPr>
          <w:p>
            <w:pPr>
              <w:jc w:val="center"/>
              <w:rPr>
                <w:rFonts w:ascii="宋体" w:hAnsi="宋体" w:eastAsia="宋体" w:cs="宋体"/>
                <w:color w:val="000000"/>
                <w:sz w:val="24"/>
                <w:szCs w:val="24"/>
              </w:rPr>
            </w:pPr>
            <w:r>
              <w:rPr>
                <w:rFonts w:ascii="宋体" w:hAnsi="宋体" w:eastAsia="宋体" w:cs="宋体"/>
                <w:color w:val="000000"/>
                <w:sz w:val="24"/>
                <w:szCs w:val="24"/>
              </w:rPr>
              <w:t>4</w:t>
            </w:r>
          </w:p>
        </w:tc>
        <w:tc>
          <w:tcPr>
            <w:tcW w:w="1080" w:type="dxa"/>
            <w:tcBorders>
              <w:top w:val="nil"/>
              <w:left w:val="nil"/>
              <w:bottom w:val="single" w:color="auto" w:sz="4" w:space="0"/>
              <w:right w:val="single" w:color="auto" w:sz="4" w:space="0"/>
            </w:tcBorders>
            <w:shd w:val="clear" w:color="000000" w:fill="auto"/>
            <w:vAlign w:val="bottom"/>
          </w:tcPr>
          <w:p>
            <w:pPr>
              <w:jc w:val="right"/>
              <w:rPr>
                <w:rFonts w:ascii="宋体" w:hAnsi="宋体" w:eastAsia="宋体" w:cs="宋体"/>
                <w:color w:val="000000"/>
                <w:sz w:val="24"/>
                <w:szCs w:val="24"/>
              </w:rPr>
            </w:pPr>
            <w:r>
              <w:rPr>
                <w:rFonts w:ascii="宋体" w:hAnsi="宋体" w:eastAsia="宋体" w:cs="宋体"/>
                <w:color w:val="000000"/>
                <w:sz w:val="24"/>
                <w:szCs w:val="24"/>
              </w:rPr>
              <w:t>33.52</w:t>
            </w:r>
          </w:p>
        </w:tc>
        <w:tc>
          <w:tcPr>
            <w:tcW w:w="1080" w:type="dxa"/>
            <w:tcBorders>
              <w:top w:val="nil"/>
              <w:left w:val="nil"/>
              <w:bottom w:val="single" w:color="auto" w:sz="4" w:space="0"/>
              <w:right w:val="single" w:color="auto" w:sz="4" w:space="0"/>
            </w:tcBorders>
            <w:shd w:val="clear" w:color="000000" w:fill="auto"/>
            <w:vAlign w:val="bottom"/>
          </w:tcPr>
          <w:p>
            <w:pPr>
              <w:jc w:val="right"/>
              <w:rPr>
                <w:rFonts w:ascii="宋体" w:hAnsi="宋体" w:eastAsia="宋体" w:cs="宋体"/>
                <w:color w:val="000000"/>
                <w:sz w:val="24"/>
                <w:szCs w:val="24"/>
              </w:rPr>
            </w:pPr>
            <w:r>
              <w:rPr>
                <w:rFonts w:ascii="宋体" w:hAnsi="宋体" w:eastAsia="宋体" w:cs="宋体"/>
                <w:color w:val="000000"/>
                <w:sz w:val="24"/>
                <w:szCs w:val="24"/>
              </w:rPr>
              <w:t>12.55</w:t>
            </w:r>
          </w:p>
        </w:tc>
        <w:tc>
          <w:tcPr>
            <w:tcW w:w="1080" w:type="dxa"/>
            <w:tcBorders>
              <w:top w:val="nil"/>
              <w:left w:val="nil"/>
              <w:bottom w:val="single" w:color="auto" w:sz="4" w:space="0"/>
              <w:right w:val="nil"/>
            </w:tcBorders>
            <w:shd w:val="clear" w:color="000000" w:fill="auto"/>
            <w:vAlign w:val="bottom"/>
          </w:tcPr>
          <w:p>
            <w:pPr>
              <w:jc w:val="right"/>
              <w:rPr>
                <w:rFonts w:ascii="宋体" w:hAnsi="宋体" w:eastAsia="宋体" w:cs="宋体"/>
                <w:color w:val="000000"/>
                <w:sz w:val="24"/>
                <w:szCs w:val="24"/>
              </w:rPr>
            </w:pPr>
            <w:r>
              <w:rPr>
                <w:rFonts w:ascii="宋体" w:hAnsi="宋体" w:eastAsia="宋体" w:cs="宋体"/>
                <w:color w:val="000000"/>
                <w:sz w:val="24"/>
                <w:szCs w:val="24"/>
              </w:rPr>
              <w:t>167.19</w:t>
            </w:r>
          </w:p>
        </w:tc>
      </w:tr>
      <w:tr>
        <w:tblPrEx>
          <w:tblCellMar>
            <w:top w:w="0" w:type="dxa"/>
            <w:left w:w="108" w:type="dxa"/>
            <w:bottom w:w="0" w:type="dxa"/>
            <w:right w:w="108" w:type="dxa"/>
          </w:tblCellMar>
        </w:tblPrEx>
        <w:trPr>
          <w:trHeight w:val="570" w:hRule="atLeast"/>
        </w:trPr>
        <w:tc>
          <w:tcPr>
            <w:tcW w:w="2820" w:type="dxa"/>
            <w:tcBorders>
              <w:top w:val="nil"/>
              <w:left w:val="nil"/>
              <w:bottom w:val="single" w:color="auto" w:sz="4" w:space="0"/>
              <w:right w:val="single" w:color="auto" w:sz="4" w:space="0"/>
            </w:tcBorders>
            <w:shd w:val="clear" w:color="000000" w:fill="auto"/>
            <w:vAlign w:val="bottom"/>
          </w:tcPr>
          <w:p>
            <w:pPr>
              <w:jc w:val="left"/>
              <w:rPr>
                <w:rFonts w:ascii="宋体" w:hAnsi="宋体" w:eastAsia="宋体" w:cs="宋体"/>
                <w:color w:val="000000"/>
                <w:sz w:val="24"/>
                <w:szCs w:val="24"/>
              </w:rPr>
            </w:pPr>
            <w:r>
              <w:rPr>
                <w:rFonts w:ascii="宋体" w:hAnsi="宋体" w:eastAsia="宋体" w:cs="宋体"/>
                <w:color w:val="000000"/>
                <w:sz w:val="24"/>
                <w:szCs w:val="24"/>
              </w:rPr>
              <w:t>居民服务、修理和其他服务业</w:t>
            </w:r>
          </w:p>
        </w:tc>
        <w:tc>
          <w:tcPr>
            <w:tcW w:w="1080" w:type="dxa"/>
            <w:tcBorders>
              <w:top w:val="nil"/>
              <w:left w:val="nil"/>
              <w:bottom w:val="single" w:color="auto" w:sz="4" w:space="0"/>
              <w:right w:val="single" w:color="auto" w:sz="4" w:space="0"/>
            </w:tcBorders>
            <w:shd w:val="clear" w:color="000000" w:fill="auto"/>
            <w:vAlign w:val="center"/>
          </w:tcPr>
          <w:p>
            <w:pPr>
              <w:jc w:val="center"/>
              <w:rPr>
                <w:rFonts w:ascii="宋体" w:hAnsi="宋体" w:eastAsia="宋体" w:cs="宋体"/>
                <w:color w:val="000000"/>
                <w:sz w:val="24"/>
                <w:szCs w:val="24"/>
              </w:rPr>
            </w:pPr>
            <w:r>
              <w:rPr>
                <w:rFonts w:ascii="宋体" w:hAnsi="宋体" w:eastAsia="宋体" w:cs="宋体"/>
                <w:color w:val="000000"/>
                <w:sz w:val="24"/>
                <w:szCs w:val="24"/>
              </w:rPr>
              <w:t xml:space="preserve">O </w:t>
            </w:r>
          </w:p>
        </w:tc>
        <w:tc>
          <w:tcPr>
            <w:tcW w:w="1080" w:type="dxa"/>
            <w:tcBorders>
              <w:top w:val="nil"/>
              <w:left w:val="nil"/>
              <w:bottom w:val="single" w:color="auto" w:sz="4" w:space="0"/>
              <w:right w:val="single" w:color="auto" w:sz="4" w:space="0"/>
            </w:tcBorders>
            <w:shd w:val="clear" w:color="000000" w:fill="auto"/>
            <w:vAlign w:val="center"/>
          </w:tcPr>
          <w:p>
            <w:pPr>
              <w:jc w:val="center"/>
              <w:rPr>
                <w:rFonts w:ascii="宋体" w:hAnsi="宋体" w:eastAsia="宋体" w:cs="宋体"/>
                <w:color w:val="000000"/>
                <w:sz w:val="24"/>
                <w:szCs w:val="24"/>
              </w:rPr>
            </w:pPr>
            <w:r>
              <w:rPr>
                <w:rFonts w:ascii="宋体" w:hAnsi="宋体" w:eastAsia="宋体" w:cs="宋体"/>
                <w:color w:val="000000"/>
                <w:sz w:val="24"/>
                <w:szCs w:val="24"/>
              </w:rPr>
              <w:t>4</w:t>
            </w:r>
          </w:p>
        </w:tc>
        <w:tc>
          <w:tcPr>
            <w:tcW w:w="1080" w:type="dxa"/>
            <w:tcBorders>
              <w:top w:val="nil"/>
              <w:left w:val="nil"/>
              <w:bottom w:val="single" w:color="auto" w:sz="4" w:space="0"/>
              <w:right w:val="single" w:color="auto" w:sz="4" w:space="0"/>
            </w:tcBorders>
            <w:shd w:val="clear" w:color="000000" w:fill="auto"/>
            <w:vAlign w:val="bottom"/>
          </w:tcPr>
          <w:p>
            <w:pPr>
              <w:jc w:val="right"/>
              <w:rPr>
                <w:rFonts w:ascii="宋体" w:hAnsi="宋体" w:eastAsia="宋体" w:cs="宋体"/>
                <w:color w:val="000000"/>
                <w:sz w:val="24"/>
                <w:szCs w:val="24"/>
              </w:rPr>
            </w:pPr>
            <w:r>
              <w:rPr>
                <w:rFonts w:ascii="宋体" w:hAnsi="宋体" w:eastAsia="宋体" w:cs="宋体"/>
                <w:color w:val="000000"/>
                <w:sz w:val="24"/>
                <w:szCs w:val="24"/>
              </w:rPr>
              <w:t>1.12</w:t>
            </w:r>
          </w:p>
        </w:tc>
        <w:tc>
          <w:tcPr>
            <w:tcW w:w="1080" w:type="dxa"/>
            <w:tcBorders>
              <w:top w:val="nil"/>
              <w:left w:val="nil"/>
              <w:bottom w:val="single" w:color="auto" w:sz="4" w:space="0"/>
              <w:right w:val="single" w:color="auto" w:sz="4" w:space="0"/>
            </w:tcBorders>
            <w:shd w:val="clear" w:color="000000" w:fill="auto"/>
            <w:vAlign w:val="bottom"/>
          </w:tcPr>
          <w:p>
            <w:pPr>
              <w:jc w:val="right"/>
              <w:rPr>
                <w:rFonts w:ascii="宋体" w:hAnsi="宋体" w:eastAsia="宋体" w:cs="宋体"/>
                <w:color w:val="000000"/>
                <w:sz w:val="24"/>
                <w:szCs w:val="24"/>
              </w:rPr>
            </w:pPr>
            <w:r>
              <w:rPr>
                <w:rFonts w:ascii="宋体" w:hAnsi="宋体" w:eastAsia="宋体" w:cs="宋体"/>
                <w:color w:val="000000"/>
                <w:sz w:val="24"/>
                <w:szCs w:val="24"/>
              </w:rPr>
              <w:t>1.14</w:t>
            </w:r>
          </w:p>
        </w:tc>
        <w:tc>
          <w:tcPr>
            <w:tcW w:w="1080" w:type="dxa"/>
            <w:tcBorders>
              <w:top w:val="nil"/>
              <w:left w:val="nil"/>
              <w:bottom w:val="single" w:color="auto" w:sz="4" w:space="0"/>
              <w:right w:val="nil"/>
            </w:tcBorders>
            <w:shd w:val="clear" w:color="000000" w:fill="auto"/>
            <w:vAlign w:val="bottom"/>
          </w:tcPr>
          <w:p>
            <w:pPr>
              <w:jc w:val="right"/>
              <w:rPr>
                <w:rFonts w:ascii="宋体" w:hAnsi="宋体" w:eastAsia="宋体" w:cs="宋体"/>
                <w:color w:val="000000"/>
                <w:sz w:val="24"/>
                <w:szCs w:val="24"/>
              </w:rPr>
            </w:pPr>
            <w:r>
              <w:rPr>
                <w:rFonts w:ascii="宋体" w:hAnsi="宋体" w:eastAsia="宋体" w:cs="宋体"/>
                <w:color w:val="000000"/>
                <w:sz w:val="24"/>
                <w:szCs w:val="24"/>
              </w:rPr>
              <w:t>-1.88</w:t>
            </w:r>
          </w:p>
        </w:tc>
      </w:tr>
      <w:tr>
        <w:tblPrEx>
          <w:tblCellMar>
            <w:top w:w="0" w:type="dxa"/>
            <w:left w:w="108" w:type="dxa"/>
            <w:bottom w:w="0" w:type="dxa"/>
            <w:right w:w="108" w:type="dxa"/>
          </w:tblCellMar>
        </w:tblPrEx>
        <w:trPr>
          <w:trHeight w:val="390" w:hRule="atLeast"/>
        </w:trPr>
        <w:tc>
          <w:tcPr>
            <w:tcW w:w="2820" w:type="dxa"/>
            <w:tcBorders>
              <w:top w:val="nil"/>
              <w:left w:val="nil"/>
              <w:bottom w:val="single" w:color="auto" w:sz="4" w:space="0"/>
              <w:right w:val="single" w:color="auto" w:sz="4" w:space="0"/>
            </w:tcBorders>
            <w:shd w:val="clear" w:color="000000" w:fill="auto"/>
            <w:vAlign w:val="bottom"/>
          </w:tcPr>
          <w:p>
            <w:pPr>
              <w:jc w:val="left"/>
              <w:rPr>
                <w:rFonts w:ascii="Calibri" w:hAnsi="宋体" w:eastAsia="宋体" w:cs="宋体"/>
                <w:color w:val="000000"/>
                <w:sz w:val="21"/>
                <w:szCs w:val="21"/>
              </w:rPr>
            </w:pPr>
            <w:r>
              <w:rPr>
                <w:rFonts w:ascii="Calibri" w:hAnsi="宋体" w:eastAsia="宋体" w:cs="宋体"/>
                <w:color w:val="000000"/>
                <w:sz w:val="21"/>
                <w:szCs w:val="21"/>
              </w:rPr>
              <w:t>教育</w:t>
            </w:r>
          </w:p>
        </w:tc>
        <w:tc>
          <w:tcPr>
            <w:tcW w:w="1080" w:type="dxa"/>
            <w:tcBorders>
              <w:top w:val="nil"/>
              <w:left w:val="nil"/>
              <w:bottom w:val="single" w:color="auto" w:sz="4" w:space="0"/>
              <w:right w:val="single" w:color="auto" w:sz="4" w:space="0"/>
            </w:tcBorders>
            <w:shd w:val="clear" w:color="000000" w:fill="auto"/>
            <w:vAlign w:val="center"/>
          </w:tcPr>
          <w:p>
            <w:pPr>
              <w:jc w:val="center"/>
              <w:rPr>
                <w:rFonts w:ascii="Calibri" w:hAnsi="宋体" w:eastAsia="宋体" w:cs="宋体"/>
                <w:color w:val="000000"/>
                <w:sz w:val="21"/>
                <w:szCs w:val="21"/>
              </w:rPr>
            </w:pPr>
            <w:r>
              <w:rPr>
                <w:rFonts w:ascii="Calibri" w:hAnsi="宋体" w:eastAsia="宋体" w:cs="宋体"/>
                <w:color w:val="000000"/>
                <w:sz w:val="21"/>
                <w:szCs w:val="21"/>
              </w:rPr>
              <w:t>P</w:t>
            </w:r>
          </w:p>
        </w:tc>
        <w:tc>
          <w:tcPr>
            <w:tcW w:w="1080" w:type="dxa"/>
            <w:tcBorders>
              <w:top w:val="nil"/>
              <w:left w:val="nil"/>
              <w:bottom w:val="single" w:color="auto" w:sz="4" w:space="0"/>
              <w:right w:val="single" w:color="auto" w:sz="4" w:space="0"/>
            </w:tcBorders>
            <w:shd w:val="clear" w:color="000000" w:fill="auto"/>
            <w:vAlign w:val="center"/>
          </w:tcPr>
          <w:p>
            <w:pPr>
              <w:jc w:val="center"/>
              <w:rPr>
                <w:rFonts w:ascii="Calibri" w:hAnsi="宋体" w:eastAsia="宋体" w:cs="宋体"/>
                <w:color w:val="000000"/>
                <w:sz w:val="21"/>
                <w:szCs w:val="21"/>
              </w:rPr>
            </w:pPr>
            <w:r>
              <w:rPr>
                <w:rFonts w:ascii="Calibri" w:hAnsi="宋体" w:eastAsia="宋体" w:cs="宋体"/>
                <w:color w:val="000000"/>
                <w:sz w:val="21"/>
                <w:szCs w:val="21"/>
              </w:rPr>
              <w:t>0</w:t>
            </w:r>
          </w:p>
        </w:tc>
        <w:tc>
          <w:tcPr>
            <w:tcW w:w="1080" w:type="dxa"/>
            <w:tcBorders>
              <w:top w:val="nil"/>
              <w:left w:val="nil"/>
              <w:bottom w:val="single" w:color="auto" w:sz="4" w:space="0"/>
              <w:right w:val="single" w:color="auto" w:sz="4" w:space="0"/>
            </w:tcBorders>
            <w:shd w:val="clear" w:color="000000" w:fill="auto"/>
            <w:vAlign w:val="bottom"/>
          </w:tcPr>
          <w:p>
            <w:pPr>
              <w:jc w:val="right"/>
              <w:rPr>
                <w:rFonts w:ascii="Calibri" w:hAnsi="宋体" w:eastAsia="宋体" w:cs="宋体"/>
                <w:color w:val="000000"/>
                <w:sz w:val="21"/>
                <w:szCs w:val="21"/>
              </w:rPr>
            </w:pPr>
            <w:r>
              <w:rPr>
                <w:rFonts w:ascii="Calibri" w:hAnsi="宋体" w:eastAsia="宋体" w:cs="宋体"/>
                <w:color w:val="000000"/>
                <w:sz w:val="21"/>
                <w:szCs w:val="21"/>
              </w:rPr>
              <w:t>- -</w:t>
            </w:r>
          </w:p>
        </w:tc>
        <w:tc>
          <w:tcPr>
            <w:tcW w:w="1080" w:type="dxa"/>
            <w:tcBorders>
              <w:top w:val="nil"/>
              <w:left w:val="nil"/>
              <w:bottom w:val="single" w:color="auto" w:sz="4" w:space="0"/>
              <w:right w:val="single" w:color="auto" w:sz="4" w:space="0"/>
            </w:tcBorders>
            <w:shd w:val="clear" w:color="000000" w:fill="auto"/>
            <w:vAlign w:val="bottom"/>
          </w:tcPr>
          <w:p>
            <w:pPr>
              <w:jc w:val="right"/>
              <w:rPr>
                <w:rFonts w:ascii="Calibri" w:hAnsi="宋体" w:eastAsia="宋体" w:cs="宋体"/>
                <w:color w:val="000000"/>
                <w:sz w:val="21"/>
                <w:szCs w:val="21"/>
              </w:rPr>
            </w:pPr>
            <w:r>
              <w:rPr>
                <w:rFonts w:ascii="Calibri" w:hAnsi="宋体" w:eastAsia="宋体" w:cs="宋体"/>
                <w:color w:val="000000"/>
                <w:sz w:val="21"/>
                <w:szCs w:val="21"/>
              </w:rPr>
              <w:t>- -</w:t>
            </w:r>
          </w:p>
        </w:tc>
        <w:tc>
          <w:tcPr>
            <w:tcW w:w="1080" w:type="dxa"/>
            <w:tcBorders>
              <w:top w:val="nil"/>
              <w:left w:val="nil"/>
              <w:bottom w:val="single" w:color="auto" w:sz="4" w:space="0"/>
              <w:right w:val="nil"/>
            </w:tcBorders>
            <w:shd w:val="clear" w:color="000000" w:fill="auto"/>
            <w:vAlign w:val="bottom"/>
          </w:tcPr>
          <w:p>
            <w:pPr>
              <w:jc w:val="right"/>
              <w:rPr>
                <w:rFonts w:ascii="Calibri" w:hAnsi="宋体" w:eastAsia="宋体" w:cs="宋体"/>
                <w:color w:val="000000"/>
                <w:sz w:val="21"/>
                <w:szCs w:val="21"/>
              </w:rPr>
            </w:pPr>
            <w:r>
              <w:rPr>
                <w:rFonts w:ascii="Calibri" w:hAnsi="宋体" w:eastAsia="宋体" w:cs="宋体"/>
                <w:color w:val="000000"/>
                <w:sz w:val="21"/>
                <w:szCs w:val="21"/>
              </w:rPr>
              <w:t>- -</w:t>
            </w:r>
          </w:p>
        </w:tc>
      </w:tr>
      <w:tr>
        <w:tblPrEx>
          <w:tblCellMar>
            <w:top w:w="0" w:type="dxa"/>
            <w:left w:w="108" w:type="dxa"/>
            <w:bottom w:w="0" w:type="dxa"/>
            <w:right w:w="108" w:type="dxa"/>
          </w:tblCellMar>
        </w:tblPrEx>
        <w:trPr>
          <w:trHeight w:val="390" w:hRule="atLeast"/>
        </w:trPr>
        <w:tc>
          <w:tcPr>
            <w:tcW w:w="2820" w:type="dxa"/>
            <w:tcBorders>
              <w:top w:val="nil"/>
              <w:left w:val="nil"/>
              <w:bottom w:val="single" w:color="auto" w:sz="4" w:space="0"/>
              <w:right w:val="single" w:color="auto" w:sz="4" w:space="0"/>
            </w:tcBorders>
            <w:shd w:val="clear" w:color="000000" w:fill="auto"/>
            <w:vAlign w:val="bottom"/>
          </w:tcPr>
          <w:p>
            <w:pPr>
              <w:jc w:val="left"/>
              <w:rPr>
                <w:rFonts w:ascii="Calibri" w:hAnsi="宋体" w:eastAsia="宋体" w:cs="宋体"/>
                <w:color w:val="000000"/>
                <w:sz w:val="21"/>
                <w:szCs w:val="21"/>
              </w:rPr>
            </w:pPr>
            <w:r>
              <w:rPr>
                <w:rFonts w:ascii="Calibri" w:hAnsi="宋体" w:eastAsia="宋体" w:cs="宋体"/>
                <w:color w:val="000000"/>
                <w:sz w:val="21"/>
                <w:szCs w:val="21"/>
              </w:rPr>
              <w:t>卫生和社会工作</w:t>
            </w:r>
          </w:p>
        </w:tc>
        <w:tc>
          <w:tcPr>
            <w:tcW w:w="1080" w:type="dxa"/>
            <w:tcBorders>
              <w:top w:val="nil"/>
              <w:left w:val="nil"/>
              <w:bottom w:val="single" w:color="auto" w:sz="4" w:space="0"/>
              <w:right w:val="single" w:color="auto" w:sz="4" w:space="0"/>
            </w:tcBorders>
            <w:shd w:val="clear" w:color="000000" w:fill="auto"/>
            <w:vAlign w:val="center"/>
          </w:tcPr>
          <w:p>
            <w:pPr>
              <w:jc w:val="center"/>
              <w:rPr>
                <w:rFonts w:ascii="Calibri" w:hAnsi="宋体" w:eastAsia="宋体" w:cs="宋体"/>
                <w:color w:val="000000"/>
                <w:sz w:val="21"/>
                <w:szCs w:val="21"/>
              </w:rPr>
            </w:pPr>
            <w:r>
              <w:rPr>
                <w:rFonts w:ascii="Calibri" w:hAnsi="宋体" w:eastAsia="宋体" w:cs="宋体"/>
                <w:color w:val="000000"/>
                <w:sz w:val="21"/>
                <w:szCs w:val="21"/>
              </w:rPr>
              <w:t>Q</w:t>
            </w:r>
          </w:p>
        </w:tc>
        <w:tc>
          <w:tcPr>
            <w:tcW w:w="1080" w:type="dxa"/>
            <w:tcBorders>
              <w:top w:val="nil"/>
              <w:left w:val="nil"/>
              <w:bottom w:val="single" w:color="auto" w:sz="4" w:space="0"/>
              <w:right w:val="single" w:color="auto" w:sz="4" w:space="0"/>
            </w:tcBorders>
            <w:shd w:val="clear" w:color="000000" w:fill="auto"/>
            <w:vAlign w:val="center"/>
          </w:tcPr>
          <w:p>
            <w:pPr>
              <w:jc w:val="center"/>
              <w:rPr>
                <w:rFonts w:ascii="Calibri" w:hAnsi="宋体" w:eastAsia="宋体" w:cs="宋体"/>
                <w:color w:val="000000"/>
                <w:sz w:val="21"/>
                <w:szCs w:val="21"/>
              </w:rPr>
            </w:pPr>
            <w:r>
              <w:rPr>
                <w:rFonts w:ascii="Calibri" w:hAnsi="宋体" w:eastAsia="宋体" w:cs="宋体"/>
                <w:color w:val="000000"/>
                <w:sz w:val="21"/>
                <w:szCs w:val="21"/>
              </w:rPr>
              <w:t>2</w:t>
            </w:r>
          </w:p>
        </w:tc>
        <w:tc>
          <w:tcPr>
            <w:tcW w:w="1080" w:type="dxa"/>
            <w:tcBorders>
              <w:top w:val="nil"/>
              <w:left w:val="nil"/>
              <w:bottom w:val="single" w:color="auto" w:sz="4" w:space="0"/>
              <w:right w:val="single" w:color="auto" w:sz="4" w:space="0"/>
            </w:tcBorders>
            <w:shd w:val="clear" w:color="000000" w:fill="auto"/>
            <w:vAlign w:val="bottom"/>
          </w:tcPr>
          <w:p>
            <w:pPr>
              <w:jc w:val="right"/>
              <w:rPr>
                <w:rFonts w:ascii="Calibri" w:hAnsi="宋体" w:eastAsia="宋体" w:cs="宋体"/>
                <w:color w:val="000000"/>
                <w:sz w:val="21"/>
                <w:szCs w:val="21"/>
              </w:rPr>
            </w:pPr>
            <w:r>
              <w:rPr>
                <w:rFonts w:ascii="Calibri" w:hAnsi="宋体" w:eastAsia="宋体" w:cs="宋体"/>
                <w:color w:val="000000"/>
                <w:sz w:val="21"/>
                <w:szCs w:val="21"/>
              </w:rPr>
              <w:t>0.78</w:t>
            </w:r>
          </w:p>
        </w:tc>
        <w:tc>
          <w:tcPr>
            <w:tcW w:w="1080" w:type="dxa"/>
            <w:tcBorders>
              <w:top w:val="nil"/>
              <w:left w:val="nil"/>
              <w:bottom w:val="single" w:color="auto" w:sz="4" w:space="0"/>
              <w:right w:val="single" w:color="auto" w:sz="4" w:space="0"/>
            </w:tcBorders>
            <w:shd w:val="clear" w:color="000000" w:fill="auto"/>
            <w:vAlign w:val="bottom"/>
          </w:tcPr>
          <w:p>
            <w:pPr>
              <w:jc w:val="right"/>
              <w:rPr>
                <w:rFonts w:ascii="Calibri" w:hAnsi="宋体" w:eastAsia="宋体" w:cs="宋体"/>
                <w:color w:val="000000"/>
                <w:sz w:val="21"/>
                <w:szCs w:val="21"/>
              </w:rPr>
            </w:pPr>
            <w:r>
              <w:rPr>
                <w:rFonts w:ascii="Calibri" w:hAnsi="宋体" w:eastAsia="宋体" w:cs="宋体"/>
                <w:color w:val="000000"/>
                <w:sz w:val="21"/>
                <w:szCs w:val="21"/>
              </w:rPr>
              <w:t>0.69</w:t>
            </w:r>
          </w:p>
        </w:tc>
        <w:tc>
          <w:tcPr>
            <w:tcW w:w="1080" w:type="dxa"/>
            <w:tcBorders>
              <w:top w:val="nil"/>
              <w:left w:val="nil"/>
              <w:bottom w:val="single" w:color="auto" w:sz="4" w:space="0"/>
              <w:right w:val="nil"/>
            </w:tcBorders>
            <w:shd w:val="clear" w:color="000000" w:fill="auto"/>
            <w:vAlign w:val="bottom"/>
          </w:tcPr>
          <w:p>
            <w:pPr>
              <w:jc w:val="right"/>
              <w:rPr>
                <w:rFonts w:ascii="Calibri" w:hAnsi="宋体" w:eastAsia="宋体" w:cs="宋体"/>
                <w:color w:val="000000"/>
                <w:sz w:val="21"/>
                <w:szCs w:val="21"/>
              </w:rPr>
            </w:pPr>
            <w:r>
              <w:rPr>
                <w:rFonts w:ascii="Calibri" w:hAnsi="宋体" w:eastAsia="宋体" w:cs="宋体"/>
                <w:color w:val="000000"/>
                <w:sz w:val="21"/>
                <w:szCs w:val="21"/>
              </w:rPr>
              <w:t>12.96</w:t>
            </w:r>
          </w:p>
        </w:tc>
      </w:tr>
      <w:tr>
        <w:tblPrEx>
          <w:tblCellMar>
            <w:top w:w="0" w:type="dxa"/>
            <w:left w:w="108" w:type="dxa"/>
            <w:bottom w:w="0" w:type="dxa"/>
            <w:right w:w="108" w:type="dxa"/>
          </w:tblCellMar>
        </w:tblPrEx>
        <w:trPr>
          <w:trHeight w:val="390" w:hRule="atLeast"/>
        </w:trPr>
        <w:tc>
          <w:tcPr>
            <w:tcW w:w="2820" w:type="dxa"/>
            <w:tcBorders>
              <w:top w:val="nil"/>
              <w:left w:val="nil"/>
              <w:bottom w:val="single" w:color="auto" w:sz="4" w:space="0"/>
              <w:right w:val="single" w:color="auto" w:sz="4" w:space="0"/>
            </w:tcBorders>
            <w:shd w:val="clear" w:color="000000" w:fill="auto"/>
            <w:vAlign w:val="bottom"/>
          </w:tcPr>
          <w:p>
            <w:pPr>
              <w:jc w:val="left"/>
              <w:rPr>
                <w:rFonts w:ascii="Calibri" w:hAnsi="宋体" w:eastAsia="宋体" w:cs="宋体"/>
                <w:color w:val="000000"/>
                <w:sz w:val="21"/>
                <w:szCs w:val="21"/>
              </w:rPr>
            </w:pPr>
            <w:r>
              <w:rPr>
                <w:rFonts w:ascii="Calibri" w:hAnsi="宋体" w:eastAsia="宋体" w:cs="宋体"/>
                <w:color w:val="000000"/>
                <w:sz w:val="21"/>
                <w:szCs w:val="21"/>
              </w:rPr>
              <w:t>文化、体育和娱乐业</w:t>
            </w:r>
          </w:p>
        </w:tc>
        <w:tc>
          <w:tcPr>
            <w:tcW w:w="1080" w:type="dxa"/>
            <w:tcBorders>
              <w:top w:val="nil"/>
              <w:left w:val="nil"/>
              <w:bottom w:val="single" w:color="auto" w:sz="4" w:space="0"/>
              <w:right w:val="single" w:color="auto" w:sz="4" w:space="0"/>
            </w:tcBorders>
            <w:shd w:val="clear" w:color="000000" w:fill="auto"/>
            <w:vAlign w:val="center"/>
          </w:tcPr>
          <w:p>
            <w:pPr>
              <w:jc w:val="center"/>
              <w:rPr>
                <w:rFonts w:ascii="Calibri" w:hAnsi="宋体" w:eastAsia="宋体" w:cs="宋体"/>
                <w:color w:val="000000"/>
                <w:sz w:val="21"/>
                <w:szCs w:val="21"/>
              </w:rPr>
            </w:pPr>
            <w:r>
              <w:rPr>
                <w:rFonts w:ascii="Calibri" w:hAnsi="宋体" w:eastAsia="宋体" w:cs="宋体"/>
                <w:color w:val="000000"/>
                <w:sz w:val="21"/>
                <w:szCs w:val="21"/>
              </w:rPr>
              <w:t>R</w:t>
            </w:r>
          </w:p>
        </w:tc>
        <w:tc>
          <w:tcPr>
            <w:tcW w:w="1080" w:type="dxa"/>
            <w:tcBorders>
              <w:top w:val="nil"/>
              <w:left w:val="nil"/>
              <w:bottom w:val="single" w:color="auto" w:sz="4" w:space="0"/>
              <w:right w:val="single" w:color="auto" w:sz="4" w:space="0"/>
            </w:tcBorders>
            <w:shd w:val="clear" w:color="000000" w:fill="auto"/>
            <w:vAlign w:val="center"/>
          </w:tcPr>
          <w:p>
            <w:pPr>
              <w:jc w:val="center"/>
              <w:rPr>
                <w:rFonts w:ascii="Calibri" w:hAnsi="宋体" w:eastAsia="宋体" w:cs="宋体"/>
                <w:color w:val="000000"/>
                <w:sz w:val="21"/>
                <w:szCs w:val="21"/>
              </w:rPr>
            </w:pPr>
            <w:r>
              <w:rPr>
                <w:rFonts w:ascii="Calibri" w:hAnsi="宋体" w:eastAsia="宋体" w:cs="宋体"/>
                <w:color w:val="000000"/>
                <w:sz w:val="21"/>
                <w:szCs w:val="21"/>
              </w:rPr>
              <w:t>4</w:t>
            </w:r>
          </w:p>
        </w:tc>
        <w:tc>
          <w:tcPr>
            <w:tcW w:w="1080" w:type="dxa"/>
            <w:tcBorders>
              <w:top w:val="nil"/>
              <w:left w:val="nil"/>
              <w:bottom w:val="single" w:color="auto" w:sz="4" w:space="0"/>
              <w:right w:val="single" w:color="auto" w:sz="4" w:space="0"/>
            </w:tcBorders>
            <w:shd w:val="clear" w:color="000000" w:fill="auto"/>
            <w:vAlign w:val="bottom"/>
          </w:tcPr>
          <w:p>
            <w:pPr>
              <w:jc w:val="right"/>
              <w:rPr>
                <w:rFonts w:ascii="Calibri" w:hAnsi="宋体" w:eastAsia="宋体" w:cs="宋体"/>
                <w:color w:val="000000"/>
                <w:sz w:val="21"/>
                <w:szCs w:val="21"/>
              </w:rPr>
            </w:pPr>
            <w:r>
              <w:rPr>
                <w:rFonts w:ascii="Calibri" w:hAnsi="宋体" w:eastAsia="宋体" w:cs="宋体"/>
                <w:color w:val="000000"/>
                <w:sz w:val="21"/>
                <w:szCs w:val="21"/>
              </w:rPr>
              <w:t>0.58</w:t>
            </w:r>
          </w:p>
        </w:tc>
        <w:tc>
          <w:tcPr>
            <w:tcW w:w="1080" w:type="dxa"/>
            <w:tcBorders>
              <w:top w:val="nil"/>
              <w:left w:val="nil"/>
              <w:bottom w:val="single" w:color="auto" w:sz="4" w:space="0"/>
              <w:right w:val="single" w:color="auto" w:sz="4" w:space="0"/>
            </w:tcBorders>
            <w:shd w:val="clear" w:color="000000" w:fill="auto"/>
            <w:vAlign w:val="bottom"/>
          </w:tcPr>
          <w:p>
            <w:pPr>
              <w:jc w:val="right"/>
              <w:rPr>
                <w:rFonts w:ascii="Calibri" w:hAnsi="宋体" w:eastAsia="宋体" w:cs="宋体"/>
                <w:color w:val="000000"/>
                <w:sz w:val="21"/>
                <w:szCs w:val="21"/>
              </w:rPr>
            </w:pPr>
            <w:r>
              <w:rPr>
                <w:rFonts w:ascii="Calibri" w:hAnsi="宋体" w:eastAsia="宋体" w:cs="宋体"/>
                <w:color w:val="000000"/>
                <w:sz w:val="21"/>
                <w:szCs w:val="21"/>
              </w:rPr>
              <w:t>0.60</w:t>
            </w:r>
          </w:p>
        </w:tc>
        <w:tc>
          <w:tcPr>
            <w:tcW w:w="1080" w:type="dxa"/>
            <w:tcBorders>
              <w:top w:val="nil"/>
              <w:left w:val="nil"/>
              <w:bottom w:val="single" w:color="auto" w:sz="4" w:space="0"/>
              <w:right w:val="nil"/>
            </w:tcBorders>
            <w:shd w:val="clear" w:color="000000" w:fill="auto"/>
            <w:vAlign w:val="bottom"/>
          </w:tcPr>
          <w:p>
            <w:pPr>
              <w:jc w:val="right"/>
              <w:rPr>
                <w:rFonts w:ascii="Calibri" w:hAnsi="宋体" w:eastAsia="宋体" w:cs="宋体"/>
                <w:color w:val="000000"/>
                <w:sz w:val="21"/>
                <w:szCs w:val="21"/>
              </w:rPr>
            </w:pPr>
            <w:r>
              <w:rPr>
                <w:rFonts w:ascii="Calibri" w:hAnsi="宋体" w:eastAsia="宋体" w:cs="宋体"/>
                <w:color w:val="000000"/>
                <w:sz w:val="21"/>
                <w:szCs w:val="21"/>
              </w:rPr>
              <w:t>-1.81</w:t>
            </w:r>
          </w:p>
        </w:tc>
      </w:tr>
    </w:tbl>
    <w:p>
      <w:pPr>
        <w:spacing w:line="560" w:lineRule="exact"/>
        <w:ind w:firstLine="643"/>
        <w:rPr>
          <w:rFonts w:ascii="仿宋_GB2312" w:hAnsi="仿宋_GB2312" w:eastAsia="仿宋_GB2312" w:cs="仿宋_GB2312"/>
          <w:color w:val="000000"/>
          <w:sz w:val="32"/>
          <w:szCs w:val="32"/>
        </w:rPr>
      </w:pPr>
      <w:r>
        <w:rPr>
          <w:rFonts w:ascii="仿宋_GB2312" w:hAnsi="仿宋_GB2312" w:eastAsia="仿宋_GB2312" w:cs="仿宋_GB2312"/>
          <w:b/>
          <w:color w:val="000000"/>
          <w:sz w:val="32"/>
          <w:szCs w:val="32"/>
        </w:rPr>
        <w:t>2.发展质量逐步提高</w:t>
      </w:r>
      <w:r>
        <w:rPr>
          <w:rFonts w:ascii="仿宋_GB2312" w:hAnsi="仿宋_GB2312" w:eastAsia="仿宋_GB2312" w:cs="仿宋_GB2312"/>
          <w:color w:val="000000"/>
          <w:sz w:val="32"/>
          <w:szCs w:val="32"/>
        </w:rPr>
        <w:t>。在减税降费大背景下，服务业日益成为全区税收增长的主要动力，2019年全区服务业实现税收1.35   亿元，占地方财政一般预算收入25.34亿元的5.3%。</w:t>
      </w:r>
      <w:r>
        <w:rPr>
          <w:rFonts w:ascii="Times New Roman" w:hAnsi="仿宋_GB2312" w:eastAsia="仿宋_GB2312" w:cs="仿宋_GB2312"/>
          <w:color w:val="000000"/>
          <w:sz w:val="32"/>
          <w:szCs w:val="32"/>
        </w:rPr>
        <w:t>随着产业持续快速发展，现代服务业对社会贡献进一步加大。截止2019年，全区</w:t>
      </w:r>
      <w:r>
        <w:rPr>
          <w:rFonts w:ascii="仿宋_GB2312" w:hAnsi="仿宋_GB2312" w:eastAsia="仿宋_GB2312" w:cs="仿宋_GB2312"/>
          <w:color w:val="000000"/>
          <w:sz w:val="32"/>
          <w:szCs w:val="32"/>
        </w:rPr>
        <w:t>服务业市场主体达到1万多户，约占全区市场主体总量的70%；服务业从业人员达1.725万人，占全社会从业人数的45%，服务业对创业就业的拉动作用明显增强。</w:t>
      </w:r>
    </w:p>
    <w:p>
      <w:pPr>
        <w:spacing w:line="560" w:lineRule="exact"/>
        <w:ind w:firstLine="643"/>
        <w:rPr>
          <w:rFonts w:ascii="仿宋_GB2312" w:hAnsi="仿宋_GB2312" w:eastAsia="仿宋_GB2312" w:cs="仿宋_GB2312"/>
          <w:color w:val="000000"/>
          <w:sz w:val="32"/>
          <w:szCs w:val="32"/>
        </w:rPr>
      </w:pPr>
      <w:r>
        <w:rPr>
          <w:rFonts w:ascii="仿宋_GB2312" w:hAnsi="仿宋_GB2312" w:eastAsia="仿宋_GB2312" w:cs="仿宋_GB2312"/>
          <w:b/>
          <w:color w:val="000000"/>
          <w:sz w:val="32"/>
          <w:szCs w:val="32"/>
        </w:rPr>
        <w:t>3.大数据产业快速发展</w:t>
      </w:r>
      <w:r>
        <w:rPr>
          <w:rFonts w:ascii="仿宋_GB2312" w:hAnsi="仿宋_GB2312" w:eastAsia="仿宋_GB2312" w:cs="仿宋_GB2312"/>
          <w:color w:val="000000"/>
          <w:sz w:val="32"/>
          <w:szCs w:val="32"/>
        </w:rPr>
        <w:t>。</w:t>
      </w:r>
      <w:r>
        <w:rPr>
          <w:rFonts w:ascii="仿宋_GB2312" w:hAnsi="仿宋_GB2312" w:eastAsia="仿宋_GB2312" w:cs="仿宋_GB2312"/>
          <w:sz w:val="32"/>
          <w:szCs w:val="32"/>
        </w:rPr>
        <w:t>信息产业园区一期落地项目总投资达235亿元；二期储备项目计划总投资超过210亿元。“云上云”行动计划加快实施，先后引入微软、中兴通讯、浪潮集团等知名信息产业企业，云南省信息化中心（首期）、呈贡科技信息产业创新孵化中心等一批重点项目建成并发挥效能。</w:t>
      </w:r>
      <w:r>
        <w:rPr>
          <w:rFonts w:ascii="仿宋_GB2312" w:hAnsi="仿宋_GB2312" w:eastAsia="仿宋_GB2312" w:cstheme="minorBidi"/>
          <w:sz w:val="32"/>
          <w:szCs w:val="32"/>
        </w:rPr>
        <w:t>云上小镇已完成5G试点基站安装、调试工作，广场、交通枢纽等公共场所实现wifi热点全覆盖。</w:t>
      </w:r>
      <w:r>
        <w:rPr>
          <w:rFonts w:ascii="仿宋_GB2312" w:hAnsi="仿宋_GB2312" w:eastAsia="仿宋_GB2312" w:cs="仿宋_GB2312"/>
          <w:color w:val="000000"/>
          <w:sz w:val="32"/>
          <w:szCs w:val="32"/>
        </w:rPr>
        <w:t>截止2019年底，云上小镇片区累计有服务企业744家，在孵企业538家，注册资金总额144.5亿元。“云上云”行动计划加快实施，先后引入微软、中兴通讯、浪潮集团等知名信息产业企业，云南省信息化中心（首期）、呈贡科技信息产业创新孵化中心等一批重点项目建成并发挥效能。</w:t>
      </w:r>
    </w:p>
    <w:p>
      <w:pPr>
        <w:spacing w:line="560" w:lineRule="exact"/>
        <w:ind w:firstLine="643"/>
        <w:rPr>
          <w:rFonts w:ascii="仿宋_GB2312" w:hAnsi="仿宋_GB2312" w:eastAsia="仿宋_GB2312" w:cs="仿宋_GB2312"/>
          <w:color w:val="000000"/>
          <w:sz w:val="32"/>
          <w:szCs w:val="32"/>
        </w:rPr>
      </w:pPr>
      <w:r>
        <w:rPr>
          <w:rFonts w:ascii="仿宋_GB2312" w:hAnsi="仿宋_GB2312" w:eastAsia="仿宋_GB2312" w:cs="仿宋_GB2312"/>
          <w:b/>
          <w:color w:val="000000"/>
          <w:sz w:val="32"/>
          <w:szCs w:val="32"/>
        </w:rPr>
        <w:t>4.健康服务业深入推进。</w:t>
      </w:r>
      <w:r>
        <w:rPr>
          <w:rFonts w:ascii="仿宋_GB2312" w:hAnsi="仿宋_GB2312" w:eastAsia="仿宋_GB2312" w:cs="仿宋_GB2312"/>
          <w:color w:val="000000"/>
          <w:sz w:val="32"/>
          <w:szCs w:val="32"/>
        </w:rPr>
        <w:t>康美昆明健康城项目总投资300亿元，云南白药集团总部、物流项目已建成，白药牙膏生产线调试运营；云南白药健康产业园、启迪清华科技园、中林大健康产业城、中国电子医疗健康大数据、复华大健康等一批储备项目正加紧推进。编制完成了</w:t>
      </w:r>
      <w:r>
        <w:rPr>
          <w:rFonts w:ascii="仿宋_GB2312" w:hAnsi="仿宋_GB2312" w:eastAsia="仿宋_GB2312" w:cs="仿宋_GB2312"/>
          <w:color w:val="000000"/>
          <w:sz w:val="32"/>
          <w:szCs w:val="32"/>
          <w:highlight w:val="white"/>
        </w:rPr>
        <w:t>《昆明市呈贡区大健康发展规划（2017-2025年）》。</w:t>
      </w:r>
      <w:r>
        <w:rPr>
          <w:rFonts w:ascii="仿宋_GB2312" w:hAnsi="仿宋_GB2312" w:eastAsia="仿宋_GB2312" w:cs="仿宋_GB2312"/>
          <w:color w:val="000000"/>
          <w:sz w:val="32"/>
          <w:szCs w:val="32"/>
        </w:rPr>
        <w:t>云南白药集团、亚灵生物科技等一批规模以上龙头医药企业加快发展，为“新医药研发、新医药产业孵化、医药制造、医药交易物流服务”提供了有效支持。重点打造“中国健康之城”品牌，全面推进中国昆明大健康产业示范区建设，在“医药养健游食”六个细分领域谋划实施70余个重点项目，计划总投资3500多亿元。</w:t>
      </w:r>
      <w:r>
        <w:rPr>
          <w:rFonts w:ascii="仿宋_GB2312" w:hAnsi="仿宋_GB2312" w:eastAsia="仿宋_GB2312" w:cs="仿宋_GB2312"/>
          <w:color w:val="000000"/>
          <w:sz w:val="32"/>
          <w:szCs w:val="32"/>
          <w:highlight w:val="white"/>
        </w:rPr>
        <w:t>昆明医科大学、云南中医大学、云南附属医院、昆明市中医院等知名院校和医院入驻呈贡，</w:t>
      </w:r>
      <w:r>
        <w:rPr>
          <w:rFonts w:ascii="仿宋_GB2312" w:hAnsi="仿宋_GB2312" w:eastAsia="仿宋_GB2312" w:cs="仿宋_GB2312"/>
          <w:color w:val="000000"/>
          <w:sz w:val="32"/>
          <w:szCs w:val="32"/>
        </w:rPr>
        <w:t>带来雄厚的医疗技术力量支持，提高了医疗服务能级；昆明市延安医院呈贡医院（呈贡区人民医院与延安医院）合作办医，分级诊疗、专项转诊制度取得明显成效，对呈贡区医疗卫生事业发展起到良好的承上启下的作用。</w:t>
      </w:r>
    </w:p>
    <w:p>
      <w:pPr>
        <w:spacing w:line="560" w:lineRule="exact"/>
        <w:ind w:firstLine="643"/>
        <w:rPr>
          <w:rFonts w:ascii="仿宋_GB2312" w:hAnsi="仿宋_GB2312" w:eastAsia="仿宋_GB2312" w:cs="仿宋_GB2312"/>
          <w:color w:val="000000"/>
          <w:sz w:val="32"/>
          <w:szCs w:val="32"/>
        </w:rPr>
      </w:pPr>
      <w:r>
        <w:rPr>
          <w:rFonts w:ascii="仿宋_GB2312" w:hAnsi="仿宋_GB2312" w:eastAsia="仿宋_GB2312" w:cs="仿宋_GB2312"/>
          <w:b/>
          <w:color w:val="000000"/>
          <w:sz w:val="32"/>
          <w:szCs w:val="32"/>
        </w:rPr>
        <w:t>5.花卉服务业方兴未艾。</w:t>
      </w:r>
      <w:r>
        <w:rPr>
          <w:rFonts w:ascii="仿宋_GB2312" w:hAnsi="仿宋_GB2312" w:eastAsia="仿宋_GB2312" w:cs="仿宋_GB2312"/>
          <w:color w:val="000000"/>
          <w:sz w:val="32"/>
          <w:szCs w:val="32"/>
        </w:rPr>
        <w:t>2019年，鲜切花交易量突破92.31亿枝，交易额74.36亿元，占全国72%的市场份额，连续23年交易量、交易额、现金流、交易人次居全国第一，是中国花卉的“市场风向标”和“价格晴雨表”。斗南花卉产业在拉动地方经济发展的同时，通过平台作用，形成了“全国花卉看云南，云南花卉看斗南”的发展格局。目前，斗南花卉小镇聚集了2000余家花卉经营及物流企业，形成了集花卉种植、包装、交易、冷链物流、科技研发、人才培训、花卉工业、旅游等全程标准化的现代花卉产业集群。独具地域特色、产业特色、民俗特色、文化特色的斗南花卉小镇正加快建设。</w:t>
      </w:r>
    </w:p>
    <w:p>
      <w:pPr>
        <w:spacing w:line="560" w:lineRule="exact"/>
        <w:ind w:firstLine="643"/>
        <w:rPr>
          <w:rFonts w:hint="eastAsia" w:ascii="Times New Roman" w:hAnsi="仿宋_GB2312" w:eastAsia="仿宋_GB2312" w:cs="仿宋_GB2312"/>
          <w:color w:val="000000"/>
          <w:sz w:val="32"/>
          <w:szCs w:val="32"/>
        </w:rPr>
      </w:pPr>
      <w:r>
        <w:rPr>
          <w:rFonts w:ascii="仿宋_GB2312" w:hAnsi="仿宋_GB2312" w:eastAsia="仿宋_GB2312" w:cs="仿宋_GB2312"/>
          <w:b/>
          <w:color w:val="000000"/>
          <w:sz w:val="32"/>
          <w:szCs w:val="32"/>
        </w:rPr>
        <w:t>6.文化创意业活力显现。</w:t>
      </w:r>
      <w:r>
        <w:rPr>
          <w:rFonts w:ascii="仿宋_GB2312" w:hAnsi="仿宋_GB2312" w:eastAsia="仿宋_GB2312" w:cs="仿宋_GB2312"/>
          <w:color w:val="000000"/>
          <w:sz w:val="32"/>
          <w:szCs w:val="32"/>
        </w:rPr>
        <w:t>制定出台了《呈贡区文产专项资金扶持办法》《关于加快推进呈贡区文化创意产业发展的实施意见》《呈贡区关于建设区域性国际人文交流中心先行区的实施方案》《呈贡区关于推进中华优秀传统文化传承发展工程的实施意见》等一批文件，为文化创意产业的发展提供了政策支撑。建立财政专项资金，对文化创意产业实施扶持。</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十三五</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期间，省市区共投入文产专项资金400多万元，对全区14个（次）有市场竞争力、有特色内涵、有“双创”驱动、有发展潜力的文化创意企业进行了扶持。截止</w:t>
      </w:r>
      <w:r>
        <w:rPr>
          <w:rFonts w:hint="eastAsia" w:ascii="仿宋_GB2312" w:hAnsi="仿宋_GB2312" w:eastAsia="仿宋_GB2312" w:cs="仿宋_GB2312"/>
          <w:color w:val="000000"/>
          <w:sz w:val="32"/>
          <w:szCs w:val="32"/>
        </w:rPr>
        <w:t>2018年底</w:t>
      </w:r>
      <w:r>
        <w:rPr>
          <w:rFonts w:ascii="仿宋_GB2312" w:hAnsi="仿宋_GB2312" w:eastAsia="仿宋_GB2312" w:cs="仿宋_GB2312"/>
          <w:color w:val="000000"/>
          <w:sz w:val="32"/>
          <w:szCs w:val="32"/>
        </w:rPr>
        <w:t>，呈贡区规模以上文化企业在册14家，其中：规模以上文化制造业4家，文化批零业1家，文化服务业9家。文化服务业数量占全区服务业企业的17.07%。2019年，全区实现</w:t>
      </w:r>
      <w:r>
        <w:rPr>
          <w:rFonts w:ascii="Times New Roman" w:hAnsi="仿宋_GB2312" w:eastAsia="仿宋_GB2312" w:cs="仿宋_GB2312"/>
          <w:color w:val="000000"/>
          <w:sz w:val="32"/>
          <w:szCs w:val="32"/>
        </w:rPr>
        <w:t>文化及相关产业营业收入38.69亿元，同比增长91.9%；营业利润6.16，同比增长167.1%。</w:t>
      </w:r>
    </w:p>
    <w:p>
      <w:pPr>
        <w:spacing w:line="720" w:lineRule="auto"/>
        <w:ind w:firstLine="641"/>
        <w:rPr>
          <w:rFonts w:ascii="Times New Roman" w:hAnsi="仿宋_GB2312" w:eastAsia="仿宋_GB2312" w:cs="仿宋_GB2312"/>
          <w:color w:val="000000"/>
          <w:sz w:val="32"/>
          <w:szCs w:val="32"/>
        </w:rPr>
      </w:pPr>
      <w:r>
        <w:rPr>
          <w:sz w:val="20"/>
        </w:rPr>
        <w:drawing>
          <wp:inline distT="0" distB="0" distL="0" distR="0">
            <wp:extent cx="4906010" cy="4003675"/>
            <wp:effectExtent l="0" t="0" r="0" b="0"/>
            <wp:docPr id="2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a:xfrm>
                      <a:off x="0" y="0"/>
                      <a:ext cx="4906645" cy="4004310"/>
                    </a:xfrm>
                    <a:prstGeom prst="rect">
                      <a:avLst/>
                    </a:prstGeom>
                    <a:ln cap="flat"/>
                  </pic:spPr>
                </pic:pic>
              </a:graphicData>
            </a:graphic>
          </wp:inline>
        </w:drawing>
      </w:r>
    </w:p>
    <w:p>
      <w:pPr>
        <w:spacing w:line="560" w:lineRule="exact"/>
        <w:ind w:firstLine="643"/>
        <w:rPr>
          <w:rFonts w:ascii="Times New Roman" w:hAnsi="仿宋_GB2312" w:eastAsia="仿宋_GB2312" w:cs="仿宋_GB2312"/>
          <w:color w:val="000000"/>
          <w:sz w:val="32"/>
          <w:szCs w:val="32"/>
        </w:rPr>
      </w:pPr>
      <w:r>
        <w:rPr>
          <w:rFonts w:ascii="Times New Roman" w:hAnsi="仿宋_GB2312" w:eastAsia="仿宋_GB2312" w:cs="仿宋_GB2312"/>
          <w:b/>
          <w:color w:val="000000"/>
          <w:sz w:val="32"/>
          <w:szCs w:val="32"/>
        </w:rPr>
        <w:t>7</w:t>
      </w:r>
      <w:r>
        <w:rPr>
          <w:rFonts w:hint="eastAsia" w:ascii="Times New Roman" w:hAnsi="仿宋_GB2312" w:eastAsia="仿宋_GB2312" w:cs="仿宋_GB2312"/>
          <w:b/>
          <w:color w:val="000000"/>
          <w:sz w:val="32"/>
          <w:szCs w:val="32"/>
        </w:rPr>
        <w:t>.</w:t>
      </w:r>
      <w:r>
        <w:rPr>
          <w:rFonts w:ascii="Times New Roman" w:hAnsi="仿宋_GB2312" w:eastAsia="仿宋_GB2312" w:cs="仿宋_GB2312"/>
          <w:b/>
          <w:color w:val="000000"/>
          <w:sz w:val="32"/>
          <w:szCs w:val="32"/>
        </w:rPr>
        <w:t>教育服务业提质增效。</w:t>
      </w:r>
      <w:r>
        <w:rPr>
          <w:rFonts w:ascii="Times New Roman" w:hAnsi="仿宋_GB2312" w:eastAsia="仿宋_GB2312" w:cs="仿宋_GB2312"/>
          <w:color w:val="000000"/>
          <w:sz w:val="32"/>
          <w:szCs w:val="32"/>
        </w:rPr>
        <w:t>实施“教育兴区”战略，推进教育发展“321”计划和“三名”工程。积极开展名校、名师、名长引进和培养工作。通过“名校融校、品牌输入”，实现了呈贡区优质资源扩容增质、集聚发展。探索政府、学校、企业三方合作办学模式，提升合作办学公益普惠性。目前，衡水中学、国际青苗外语学校、昆三中、云师大附中、昆明中华小学、川大附小、民大附小等一批省内外知名学校云集呈贡，一批名师、名</w:t>
      </w:r>
      <w:r>
        <w:rPr>
          <w:rFonts w:hint="eastAsia" w:ascii="Times New Roman" w:hAnsi="仿宋_GB2312" w:eastAsia="仿宋_GB2312" w:cs="仿宋_GB2312"/>
          <w:color w:val="000000"/>
          <w:sz w:val="32"/>
          <w:szCs w:val="32"/>
        </w:rPr>
        <w:t>校(园)</w:t>
      </w:r>
      <w:r>
        <w:rPr>
          <w:rFonts w:ascii="Times New Roman" w:hAnsi="仿宋_GB2312" w:eastAsia="仿宋_GB2312" w:cs="仿宋_GB2312"/>
          <w:color w:val="000000"/>
          <w:sz w:val="32"/>
          <w:szCs w:val="32"/>
        </w:rPr>
        <w:t>长活跃在教育战线上。与昆三中、云师大附中、</w:t>
      </w:r>
      <w:r>
        <w:rPr>
          <w:rFonts w:hint="eastAsia" w:ascii="Times New Roman" w:hAnsi="仿宋_GB2312" w:eastAsia="仿宋_GB2312" w:cs="仿宋_GB2312"/>
          <w:color w:val="000000"/>
          <w:sz w:val="32"/>
          <w:szCs w:val="32"/>
        </w:rPr>
        <w:t>云南</w:t>
      </w:r>
      <w:r>
        <w:rPr>
          <w:rFonts w:ascii="Times New Roman" w:hAnsi="仿宋_GB2312" w:eastAsia="仿宋_GB2312" w:cs="仿宋_GB2312"/>
          <w:color w:val="000000"/>
          <w:sz w:val="32"/>
          <w:szCs w:val="32"/>
        </w:rPr>
        <w:t>民族大学、蓝光集团等一批名校名企建立了合作办学或托管关系。优质教育资源的集聚和扩容，使呈贡正在逐步成为云南基础教育的示范区，不仅有力地促进了呈贡教育水平的整体提升，而且有效地拉动了呈贡区的就业、消费、房产租购等</w:t>
      </w:r>
      <w:r>
        <w:rPr>
          <w:rFonts w:hint="eastAsia" w:ascii="Times New Roman" w:hAnsi="仿宋_GB2312" w:eastAsia="仿宋_GB2312" w:cs="仿宋_GB2312"/>
          <w:color w:val="000000"/>
          <w:sz w:val="32"/>
          <w:szCs w:val="32"/>
        </w:rPr>
        <w:t>业态</w:t>
      </w:r>
      <w:r>
        <w:rPr>
          <w:rFonts w:ascii="Times New Roman" w:hAnsi="仿宋_GB2312" w:eastAsia="仿宋_GB2312" w:cs="仿宋_GB2312"/>
          <w:color w:val="000000"/>
          <w:sz w:val="32"/>
          <w:szCs w:val="32"/>
        </w:rPr>
        <w:t>的快速发展。</w:t>
      </w:r>
    </w:p>
    <w:p>
      <w:pPr>
        <w:spacing w:line="560" w:lineRule="exact"/>
        <w:ind w:firstLine="643"/>
        <w:rPr>
          <w:rFonts w:ascii="Times New Roman" w:hAnsi="仿宋_GB2312" w:eastAsia="仿宋_GB2312" w:cs="仿宋_GB2312"/>
          <w:color w:val="000000"/>
          <w:sz w:val="32"/>
          <w:szCs w:val="32"/>
        </w:rPr>
      </w:pPr>
      <w:r>
        <w:rPr>
          <w:rFonts w:ascii="Times New Roman" w:hAnsi="仿宋_GB2312" w:eastAsia="仿宋_GB2312" w:cs="仿宋_GB2312"/>
          <w:b/>
          <w:color w:val="000000"/>
          <w:sz w:val="32"/>
          <w:szCs w:val="32"/>
        </w:rPr>
        <w:t>8.金融服务业初见成效。</w:t>
      </w:r>
      <w:r>
        <w:rPr>
          <w:rFonts w:ascii="仿宋_GB2312" w:hAnsi="仿宋_GB2312" w:eastAsia="仿宋_GB2312" w:cs="仿宋_GB2312"/>
          <w:color w:val="000000"/>
          <w:sz w:val="32"/>
          <w:szCs w:val="32"/>
        </w:rPr>
        <w:t>按照</w:t>
      </w:r>
      <w:r>
        <w:rPr>
          <w:rFonts w:ascii="楷体_GB2312" w:hAnsi="楷体_GB2312" w:eastAsia="楷体_GB2312" w:cs="楷体_GB2312"/>
          <w:color w:val="000000"/>
          <w:sz w:val="32"/>
          <w:szCs w:val="32"/>
        </w:rPr>
        <w:t>“</w:t>
      </w:r>
      <w:r>
        <w:rPr>
          <w:rFonts w:ascii="Times New Roman" w:hAnsi="仿宋_GB2312" w:eastAsia="仿宋_GB2312" w:cs="仿宋_GB2312"/>
          <w:color w:val="000000"/>
          <w:sz w:val="32"/>
          <w:szCs w:val="32"/>
        </w:rPr>
        <w:t>以金融为核心产业，以银行业、保险业、证券业等行业为重点，吸引国内外有实力的银行总部、非银行金融机构、大型企业总部进驻园区，努力打造一流的高端服务业，引导和助推区域经济发展”的园区功能定位，成立了以区长为组长的呈贡金融产业园区发展建设领导小组，并建立了联席会议机制。制定出台了《关于加快推进昆明金融产业园区呈贡片区建设发展的实施意见（试行）》《关于印发贯彻落实昆明金融产业园区呈贡片区建设发展意见实施细则（试行）的通知》等扶持政策，“十三五”期间累计兑付扶持资金2437.54万元。片区已批已建及在建的12个项目</w:t>
      </w:r>
      <w:r>
        <w:rPr>
          <w:rFonts w:hint="eastAsia" w:ascii="Times New Roman" w:hAnsi="仿宋_GB2312" w:eastAsia="仿宋_GB2312" w:cs="仿宋_GB2312"/>
          <w:color w:val="000000"/>
          <w:sz w:val="32"/>
          <w:szCs w:val="32"/>
        </w:rPr>
        <w:t>，</w:t>
      </w:r>
      <w:r>
        <w:rPr>
          <w:rFonts w:ascii="Times New Roman" w:hAnsi="仿宋_GB2312" w:eastAsia="仿宋_GB2312" w:cs="仿宋_GB2312"/>
          <w:color w:val="000000"/>
          <w:sz w:val="32"/>
          <w:szCs w:val="32"/>
        </w:rPr>
        <w:t>总建筑面积约465万平方米。上海东盟商务大厦、新南亚风情园、中国移动云南有限公司呈贡通信生产楼和区域服务中心投入运营，城市综合体商业氛围浓厚，七彩云南第壹城、置信银河广场、实力心城花千坊商业投入使用。新南亚第壹国际、滇池明珠广场、涌鑫哈佛中心、大成金融商务中心、新都昌商业广场、呈贡万达广场、</w:t>
      </w:r>
      <w:r>
        <w:rPr>
          <w:rFonts w:hint="eastAsia" w:ascii="Times New Roman" w:hAnsi="仿宋_GB2312" w:eastAsia="仿宋_GB2312" w:cs="仿宋_GB2312"/>
          <w:color w:val="000000"/>
          <w:sz w:val="32"/>
          <w:szCs w:val="32"/>
        </w:rPr>
        <w:t xml:space="preserve"> </w:t>
      </w:r>
      <w:r>
        <w:rPr>
          <w:rFonts w:ascii="Times New Roman" w:hAnsi="仿宋_GB2312" w:eastAsia="仿宋_GB2312" w:cs="仿宋_GB2312"/>
          <w:color w:val="000000"/>
          <w:sz w:val="32"/>
          <w:szCs w:val="32"/>
        </w:rPr>
        <w:t>呈贡吾悦广场等综合体项目基本建成。通过招商推介，中信银行、华夏银行、招商银行、交通银行、光大银行先后到呈贡区设立一级支行。西部证券、云南云投股权投资基金管理有限公司、上海光大光证股权投资基金管理有限公司，中国水利水电第八工程局、泰康人寿保险等30余家企业入驻上海东盟商务大厦；农业银行呈贡区支行、居然之家等企业与新都昌商业广场签订了入驻合约。中国中铁西南区域总部及配套项目、中海油云南销售总部落户园区。目前，园区已具备了一定的金融产业聚集和以金融业为核心的高端服务业的配套服务功能，能够承载境内外知名金融机构在园区设立国际性区域性管理总部、业务运营总部、后援服务中心和培训基地。</w:t>
      </w:r>
    </w:p>
    <w:p>
      <w:pPr>
        <w:spacing w:line="560" w:lineRule="exact"/>
        <w:ind w:firstLine="640"/>
        <w:rPr>
          <w:rFonts w:ascii="楷体_GB2312" w:hAnsi="楷体_GB2312" w:eastAsia="楷体_GB2312" w:cs="楷体_GB2312"/>
          <w:color w:val="000000"/>
          <w:sz w:val="32"/>
          <w:szCs w:val="32"/>
        </w:rPr>
      </w:pPr>
      <w:bookmarkStart w:id="10" w:name="_Toc19297"/>
      <w:bookmarkStart w:id="11" w:name="_Toc9064"/>
      <w:r>
        <w:rPr>
          <w:rFonts w:ascii="楷体_GB2312" w:hAnsi="楷体_GB2312" w:eastAsia="楷体_GB2312" w:cs="楷体_GB2312"/>
          <w:color w:val="000000"/>
          <w:sz w:val="32"/>
          <w:szCs w:val="32"/>
        </w:rPr>
        <w:t>（二）存在问题</w:t>
      </w:r>
      <w:bookmarkEnd w:id="10"/>
      <w:bookmarkEnd w:id="11"/>
    </w:p>
    <w:p>
      <w:pPr>
        <w:spacing w:line="560" w:lineRule="exact"/>
        <w:ind w:firstLine="64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呈贡现代服务业的发展虽然有了一定的基础，但在转型升级、高质量发展上仍然存在着一定的差距和问题。一是机制、政策创新不多，导向资金、用地保障、项目推进、环境营造等要素聚集和整合不够，发展环境有待优化；二是电子信息、康养医疗、现代金融等现代服务业发展虽然有了新的突破，但平台经济、分享经济、服务外包等新兴产业发展不足，服务功能有待深化；三是资源优势发挥不充分，无论从发展的数量看还是质量看，现代服务业的发展与呈贡的交通区位、环境资源等还不够匹配；四是规模以上现代服务企业不多，对经济社会发展的拉动作用还不够明显，尤其是缺乏对地方经济社会发展有影响力、带动力的独角兽现代服务企业；五是区域发展不平衡，现代服务业主要集中在信息产业园、金融产业园、斗南花卉产业园片区，其他区域多数以传统服务业主，现代服务业空间布局还需要进一步优化。</w:t>
      </w:r>
    </w:p>
    <w:p>
      <w:pPr>
        <w:spacing w:line="560" w:lineRule="exact"/>
        <w:ind w:firstLine="640"/>
        <w:rPr>
          <w:rFonts w:ascii="仿宋_GB2312" w:hAnsi="仿宋_GB2312" w:eastAsia="仿宋_GB2312" w:cs="仿宋_GB2312"/>
          <w:color w:val="000000"/>
          <w:sz w:val="32"/>
          <w:szCs w:val="32"/>
        </w:rPr>
      </w:pPr>
      <w:bookmarkStart w:id="12" w:name="_Toc11965"/>
      <w:bookmarkStart w:id="13" w:name="_Toc21144"/>
      <w:r>
        <w:rPr>
          <w:rFonts w:ascii="楷体_GB2312" w:hAnsi="楷体_GB2312" w:eastAsia="楷体_GB2312" w:cs="楷体_GB2312"/>
          <w:color w:val="000000"/>
          <w:sz w:val="32"/>
          <w:szCs w:val="32"/>
        </w:rPr>
        <w:t>（三）发展环境</w:t>
      </w:r>
      <w:bookmarkEnd w:id="12"/>
      <w:bookmarkEnd w:id="13"/>
      <w:r>
        <w:rPr>
          <w:rFonts w:ascii="楷体_GB2312" w:hAnsi="楷体_GB2312" w:eastAsia="楷体_GB2312" w:cs="楷体_GB2312"/>
          <w:color w:val="000000"/>
          <w:sz w:val="32"/>
          <w:szCs w:val="32"/>
        </w:rPr>
        <w:t xml:space="preserve"> </w:t>
      </w:r>
      <w:r>
        <w:rPr>
          <w:rFonts w:ascii="仿宋_GB2312" w:hAnsi="仿宋_GB2312" w:eastAsia="仿宋_GB2312" w:cs="仿宋_GB2312"/>
          <w:color w:val="000000"/>
          <w:sz w:val="32"/>
          <w:szCs w:val="32"/>
        </w:rPr>
        <w:t xml:space="preserve"> </w:t>
      </w:r>
    </w:p>
    <w:p>
      <w:pPr>
        <w:spacing w:line="560" w:lineRule="exact"/>
        <w:ind w:firstLine="64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1.外部环境</w:t>
      </w:r>
    </w:p>
    <w:p>
      <w:pPr>
        <w:spacing w:line="560" w:lineRule="exact"/>
        <w:ind w:firstLine="640"/>
        <w:rPr>
          <w:rFonts w:ascii="Times New Roman" w:hAnsi="仿宋_GB2312" w:eastAsia="仿宋_GB2312" w:cs="仿宋_GB2312"/>
          <w:color w:val="000000"/>
          <w:sz w:val="30"/>
          <w:szCs w:val="30"/>
        </w:rPr>
      </w:pPr>
      <w:r>
        <w:rPr>
          <w:rFonts w:ascii="仿宋_GB2312" w:hAnsi="仿宋_GB2312" w:eastAsia="仿宋_GB2312" w:cs="仿宋_GB2312"/>
          <w:color w:val="000000"/>
          <w:sz w:val="32"/>
          <w:szCs w:val="32"/>
        </w:rPr>
        <w:t>一是在新一轮科技革命驱动下，全球服务业正在向数字化、智能化方向发展，全球服务分工格局深刻变化，服务业新模式、新业态不断涌现，服务业已经成为国际产业竞争的新战场。随着“一带一路”建设和自由贸易区建设的深入推进，现代服务业发展大环境稳中向好。二是“十四五”时期，我国将进入服务业主导的经济发展阶段，加快现代服务业高质量发展必然成为建设现代产业体系的重要内容。随着长江经济带、泛珠江区域合作战略的深入实施，各地在金融、数字贸易、科技服务、人力资源、医疗、教育、旅游等现代服务业领域的对外开放和制度创新方面相继探索出一系列有效做法，现代服务业领域的开放必然将成为构建对外开放新格局的重要内容和重点任务。特别是</w:t>
      </w:r>
      <w:r>
        <w:rPr>
          <w:rFonts w:ascii="Times New Roman" w:hAnsi="仿宋_GB2312" w:eastAsia="仿宋_GB2312" w:cs="仿宋_GB2312"/>
          <w:color w:val="000000"/>
          <w:spacing w:val="0"/>
          <w:sz w:val="32"/>
          <w:szCs w:val="32"/>
          <w:rtl w:val="0"/>
        </w:rPr>
        <w:t>后疫情时代国家加快宏观政策调整，数字经济在催生线上服务等现代服务业新业态、新模式的同时，带来项目、资金和政策机遇。</w:t>
      </w:r>
      <w:r>
        <w:rPr>
          <w:rFonts w:ascii="仿宋_GB2312" w:hAnsi="仿宋_GB2312" w:eastAsia="仿宋_GB2312" w:cs="仿宋_GB2312"/>
          <w:color w:val="000000"/>
          <w:sz w:val="32"/>
          <w:szCs w:val="32"/>
          <w:shd w:val="clear" w:color="949494" w:fill="FFFFFF"/>
        </w:rPr>
        <w:t>三是云南潜力巨大、特色突出、优势明显、前景广阔的发展省情更加突出，随着</w:t>
      </w:r>
      <w:r>
        <w:rPr>
          <w:rFonts w:ascii="仿宋_GB2312" w:hAnsi="仿宋_GB2312" w:eastAsia="仿宋_GB2312" w:cs="仿宋_GB2312"/>
          <w:color w:val="000000"/>
          <w:sz w:val="32"/>
          <w:szCs w:val="32"/>
        </w:rPr>
        <w:t>滇中城市经济圈不断形成和全省经济结构的优化调整，现代服务业发展必将全面提速。四是昆明作为滇中城市群的核心和全省现代服务业发展龙头，在高效集聚现代服务业生产要素上有着先天优势。作为全省经济发展的发动机、对外开放的排头兵、体制改革的先行者、跨境通道的始发站的昆明必将在与南亚东南亚沿线国家开展现代服务业全方位深度合作、打造辐射南亚东南亚的现代服务业新高地方面发挥不可替代的重要作用。</w:t>
      </w:r>
    </w:p>
    <w:p>
      <w:pPr>
        <w:shd w:val="clear" w:color="000000" w:fill="FFFFFF"/>
        <w:spacing w:before="140" w:line="560" w:lineRule="exact"/>
        <w:ind w:firstLine="640"/>
        <w:jc w:val="left"/>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2.内部环境</w:t>
      </w:r>
    </w:p>
    <w:p>
      <w:pPr>
        <w:shd w:val="clear" w:color="000000" w:fill="FFFFFF"/>
        <w:spacing w:before="140" w:line="560" w:lineRule="exact"/>
        <w:ind w:firstLine="640"/>
        <w:jc w:val="left"/>
        <w:rPr>
          <w:rFonts w:ascii="Times New Roman" w:hAnsi="仿宋_GB2312" w:eastAsia="仿宋_GB2312" w:cs="仿宋_GB2312"/>
          <w:color w:val="000000"/>
          <w:sz w:val="32"/>
          <w:szCs w:val="32"/>
        </w:rPr>
      </w:pPr>
      <w:r>
        <w:rPr>
          <w:rFonts w:ascii="仿宋_GB2312" w:hAnsi="仿宋_GB2312" w:eastAsia="仿宋_GB2312" w:cs="仿宋_GB2312"/>
          <w:color w:val="000000"/>
          <w:sz w:val="32"/>
          <w:szCs w:val="32"/>
        </w:rPr>
        <w:t>呈贡作为昆明市市级行政中心，多条高铁始发站，经济社会快速发展，环境优美，位置优越，高校云集，宜居宜业，高质量发展现代服务业具有许多优势。一是区委、区政府加快实施现代科创新城、世界春城花都、健康颐养新区、国际枢纽门户“四大”品牌战略，不仅给呈贡现代服务业的发展拓展了空间，而且预示了广阔的前景；二是随着呈贡信息产业园区、大健康产业园、斗南花卉产业园、呈贡金融产业园区和四个托管片区的快速推进，呈贡现代服务业将迎来扩容增量、提质增效的黄金发展期；三是随着城市化快速推进，人气、商气的不断集聚，高铁、地铁、大学、医院、名校和各种新兴业态落户呈贡，为呈贡现代服务业的发展奠定了坚实的基础；四是信息产业园区云计算等大数据平台建设为现代服务业规范化、信息化、智能化发展增添了科技动力；五是云南十所高校云集呈贡，高端型、高层次人才密集，为呈贡现代服务业的高质量发展</w:t>
      </w:r>
      <w:r>
        <w:rPr>
          <w:rFonts w:hint="eastAsia" w:ascii="仿宋_GB2312" w:hAnsi="仿宋_GB2312" w:eastAsia="仿宋_GB2312" w:cs="仿宋_GB2312"/>
          <w:color w:val="000000"/>
          <w:sz w:val="32"/>
          <w:szCs w:val="32"/>
        </w:rPr>
        <w:t>提供了</w:t>
      </w:r>
      <w:r>
        <w:rPr>
          <w:rFonts w:ascii="仿宋_GB2312" w:hAnsi="仿宋_GB2312" w:eastAsia="仿宋_GB2312" w:cs="仿宋_GB2312"/>
          <w:color w:val="000000"/>
          <w:sz w:val="32"/>
          <w:szCs w:val="32"/>
        </w:rPr>
        <w:t>智力支持；</w:t>
      </w:r>
      <w:r>
        <w:rPr>
          <w:rFonts w:hint="eastAsia" w:ascii="仿宋_GB2312" w:hAnsi="仿宋_GB2312" w:eastAsia="仿宋_GB2312" w:cs="仿宋_GB2312"/>
          <w:b/>
          <w:color w:val="000000"/>
          <w:sz w:val="32"/>
          <w:szCs w:val="32"/>
        </w:rPr>
        <w:t>六</w:t>
      </w:r>
      <w:r>
        <w:rPr>
          <w:rFonts w:ascii="仿宋_GB2312" w:hAnsi="仿宋_GB2312" w:eastAsia="仿宋_GB2312" w:cs="仿宋_GB2312"/>
          <w:color w:val="000000"/>
          <w:sz w:val="32"/>
          <w:szCs w:val="32"/>
        </w:rPr>
        <w:t>是经过长期的探索实践，呈贡逐步走出了一条</w:t>
      </w:r>
      <w:r>
        <w:rPr>
          <w:rFonts w:ascii="Times New Roman" w:hAnsi="仿宋_GB2312" w:eastAsia="仿宋_GB2312" w:cs="仿宋_GB2312"/>
          <w:color w:val="000000"/>
          <w:sz w:val="32"/>
          <w:szCs w:val="32"/>
        </w:rPr>
        <w:t>与本地发展基础、资源禀赋、产业结构以及公共服务水平相匹配的具有地方特色的现代服务业发展之路。</w:t>
      </w:r>
    </w:p>
    <w:p>
      <w:pPr>
        <w:shd w:val="clear" w:color="000000" w:fill="FFFFFF"/>
        <w:spacing w:before="140" w:line="560" w:lineRule="exact"/>
        <w:ind w:firstLine="640"/>
        <w:jc w:val="left"/>
        <w:rPr>
          <w:rFonts w:ascii="Times New Roman" w:hAnsi="仿宋_GB2312" w:eastAsia="仿宋_GB2312" w:cs="仿宋_GB2312"/>
          <w:color w:val="000000"/>
          <w:sz w:val="32"/>
          <w:szCs w:val="32"/>
        </w:rPr>
      </w:pPr>
      <w:r>
        <w:rPr>
          <w:rFonts w:ascii="Times New Roman" w:hAnsi="仿宋_GB2312" w:eastAsia="仿宋_GB2312" w:cs="仿宋_GB2312"/>
          <w:color w:val="000000"/>
          <w:sz w:val="32"/>
          <w:szCs w:val="32"/>
        </w:rPr>
        <w:t>3.面临挑战</w:t>
      </w:r>
    </w:p>
    <w:p>
      <w:pPr>
        <w:shd w:val="clear" w:color="000000" w:fill="FFFFFF"/>
        <w:spacing w:before="140" w:line="560" w:lineRule="exact"/>
        <w:ind w:firstLine="640"/>
        <w:jc w:val="left"/>
        <w:rPr>
          <w:rFonts w:ascii="仿宋_GB2312" w:hAnsi="仿宋_GB2312" w:eastAsia="仿宋_GB2312" w:cs="仿宋_GB2312"/>
          <w:color w:val="000000"/>
          <w:sz w:val="32"/>
          <w:szCs w:val="32"/>
        </w:rPr>
      </w:pPr>
      <w:r>
        <w:rPr>
          <w:rFonts w:ascii="仿宋_GB2312" w:hAnsi="仿宋_GB2312" w:eastAsia="仿宋_GB2312" w:cs="仿宋_GB2312"/>
          <w:b/>
          <w:color w:val="000000"/>
          <w:sz w:val="32"/>
          <w:szCs w:val="32"/>
          <w:highlight w:val="white"/>
        </w:rPr>
        <w:t>一是</w:t>
      </w:r>
      <w:r>
        <w:rPr>
          <w:rFonts w:ascii="仿宋_GB2312" w:hAnsi="仿宋_GB2312" w:eastAsia="仿宋_GB2312" w:cs="仿宋_GB2312"/>
          <w:color w:val="000000"/>
          <w:sz w:val="32"/>
          <w:szCs w:val="32"/>
        </w:rPr>
        <w:t>从宏观环境看，</w:t>
      </w:r>
      <w:r>
        <w:rPr>
          <w:rFonts w:hint="eastAsia" w:ascii="仿宋_GB2312" w:hAnsi="仿宋_GB2312" w:eastAsia="仿宋_GB2312" w:cs="仿宋_GB2312"/>
          <w:color w:val="000000"/>
          <w:sz w:val="32"/>
          <w:szCs w:val="32"/>
        </w:rPr>
        <w:t>当前世界经济增长持续放缓，全球动荡源和风险点显著增多，</w:t>
      </w:r>
      <w:r>
        <w:rPr>
          <w:rFonts w:hint="eastAsia" w:ascii="仿宋_GB2312" w:hAnsi="仿宋_GB2312" w:eastAsia="仿宋_GB2312" w:cs="仿宋_GB2312"/>
          <w:color w:val="000000"/>
          <w:sz w:val="32"/>
          <w:szCs w:val="32"/>
          <w:highlight w:val="white"/>
        </w:rPr>
        <w:t>国内外风险挑战明显上升，</w:t>
      </w:r>
      <w:r>
        <w:rPr>
          <w:rFonts w:hint="eastAsia" w:ascii="仿宋_GB2312" w:hAnsi="仿宋_GB2312" w:eastAsia="仿宋_GB2312" w:cs="仿宋_GB2312"/>
          <w:color w:val="000000"/>
          <w:sz w:val="32"/>
          <w:szCs w:val="32"/>
        </w:rPr>
        <w:t>中国</w:t>
      </w:r>
      <w:r>
        <w:rPr>
          <w:rFonts w:ascii="仿宋_GB2312" w:hAnsi="仿宋_GB2312" w:eastAsia="仿宋_GB2312" w:cs="仿宋_GB2312"/>
          <w:color w:val="000000"/>
          <w:sz w:val="32"/>
          <w:szCs w:val="32"/>
          <w:highlight w:val="white"/>
        </w:rPr>
        <w:t>经济下行压力</w:t>
      </w:r>
      <w:r>
        <w:rPr>
          <w:rFonts w:hint="eastAsia" w:ascii="仿宋_GB2312" w:hAnsi="仿宋_GB2312" w:eastAsia="仿宋_GB2312" w:cs="仿宋_GB2312"/>
          <w:color w:val="000000"/>
          <w:sz w:val="32"/>
          <w:szCs w:val="32"/>
          <w:highlight w:val="white"/>
        </w:rPr>
        <w:t>加大</w:t>
      </w:r>
      <w:r>
        <w:rPr>
          <w:rFonts w:ascii="仿宋_GB2312" w:hAnsi="仿宋_GB2312" w:eastAsia="仿宋_GB2312" w:cs="仿宋_GB2312"/>
          <w:color w:val="000000"/>
          <w:sz w:val="32"/>
          <w:szCs w:val="32"/>
          <w:highlight w:val="white"/>
        </w:rPr>
        <w:t>，必将通过各种传导机制给现代服务业发展带来不利影响。</w:t>
      </w:r>
      <w:r>
        <w:rPr>
          <w:rFonts w:ascii="仿宋_GB2312" w:hAnsi="仿宋_GB2312" w:eastAsia="仿宋_GB2312" w:cs="仿宋_GB2312"/>
          <w:b/>
          <w:color w:val="000000"/>
          <w:sz w:val="32"/>
          <w:szCs w:val="32"/>
          <w:highlight w:val="white"/>
        </w:rPr>
        <w:t>二是</w:t>
      </w:r>
      <w:r>
        <w:rPr>
          <w:rFonts w:ascii="仿宋_GB2312" w:hAnsi="仿宋_GB2312" w:eastAsia="仿宋_GB2312" w:cs="仿宋_GB2312"/>
          <w:color w:val="000000"/>
          <w:sz w:val="32"/>
          <w:szCs w:val="32"/>
          <w:highlight w:val="white"/>
        </w:rPr>
        <w:t>发展现代服务业存在着“拼资源、拼政策”、区域统筹不够等现象，各地对高端人才、优质重大项目的竞争更趋激烈。</w:t>
      </w:r>
      <w:r>
        <w:rPr>
          <w:rFonts w:ascii="仿宋_GB2312" w:hAnsi="仿宋_GB2312" w:eastAsia="仿宋_GB2312" w:cs="仿宋_GB2312"/>
          <w:b/>
          <w:color w:val="000000"/>
          <w:sz w:val="32"/>
          <w:szCs w:val="32"/>
          <w:highlight w:val="white"/>
        </w:rPr>
        <w:t>三是</w:t>
      </w:r>
      <w:r>
        <w:rPr>
          <w:rFonts w:ascii="仿宋_GB2312" w:hAnsi="仿宋_GB2312" w:eastAsia="仿宋_GB2312" w:cs="仿宋_GB2312"/>
          <w:color w:val="000000"/>
          <w:sz w:val="32"/>
          <w:szCs w:val="32"/>
          <w:highlight w:val="white"/>
        </w:rPr>
        <w:t>资源优势转化率不高，区位、资源等发展优势未能有效激活和充分利用。</w:t>
      </w:r>
      <w:r>
        <w:rPr>
          <w:rFonts w:ascii="仿宋_GB2312" w:hAnsi="仿宋_GB2312" w:eastAsia="仿宋_GB2312" w:cs="仿宋_GB2312"/>
          <w:b/>
          <w:color w:val="000000"/>
          <w:sz w:val="32"/>
          <w:szCs w:val="32"/>
          <w:highlight w:val="white"/>
        </w:rPr>
        <w:t>四是</w:t>
      </w:r>
      <w:r>
        <w:rPr>
          <w:rFonts w:ascii="仿宋_GB2312" w:hAnsi="仿宋_GB2312" w:eastAsia="仿宋_GB2312" w:cs="仿宋_GB2312"/>
          <w:color w:val="000000"/>
          <w:sz w:val="32"/>
          <w:szCs w:val="32"/>
          <w:highlight w:val="white"/>
        </w:rPr>
        <w:t>呈</w:t>
      </w:r>
      <w:r>
        <w:rPr>
          <w:rFonts w:ascii="仿宋_GB2312" w:hAnsi="仿宋_GB2312" w:eastAsia="仿宋_GB2312" w:cs="仿宋_GB2312"/>
          <w:color w:val="000000"/>
          <w:sz w:val="32"/>
          <w:szCs w:val="32"/>
        </w:rPr>
        <w:t>贡信息产业园区、大健康产业园、呈贡金融产业园区等现代服务业发展重点园区</w:t>
      </w:r>
      <w:r>
        <w:rPr>
          <w:rFonts w:ascii="仿宋_GB2312" w:hAnsi="仿宋_GB2312" w:eastAsia="仿宋_GB2312" w:cs="仿宋_GB2312"/>
          <w:color w:val="000000"/>
          <w:sz w:val="32"/>
          <w:szCs w:val="32"/>
          <w:highlight w:val="white"/>
        </w:rPr>
        <w:t>建设还处于起步阶段，产业支撑体系不强，带动力、辐射力强的现代服务业龙头企业缺乏。</w:t>
      </w:r>
      <w:r>
        <w:rPr>
          <w:rFonts w:ascii="仿宋_GB2312" w:hAnsi="仿宋_GB2312" w:eastAsia="仿宋_GB2312" w:cs="仿宋_GB2312"/>
          <w:b/>
          <w:color w:val="000000"/>
          <w:sz w:val="32"/>
          <w:szCs w:val="32"/>
          <w:highlight w:val="white"/>
        </w:rPr>
        <w:t>五是</w:t>
      </w:r>
      <w:r>
        <w:rPr>
          <w:rFonts w:ascii="仿宋_GB2312" w:hAnsi="仿宋_GB2312" w:eastAsia="仿宋_GB2312" w:cs="仿宋_GB2312"/>
          <w:color w:val="000000"/>
          <w:sz w:val="32"/>
          <w:szCs w:val="32"/>
          <w:highlight w:val="white"/>
        </w:rPr>
        <w:t>投融资体系和要素市场有等完善，高端型人才和复合型人才短缺。六是制约现代服务业发展不在确定因素增多。如受新冠疫情影响，</w:t>
      </w:r>
      <w:r>
        <w:rPr>
          <w:rFonts w:hint="eastAsia" w:ascii="仿宋_GB2312" w:hAnsi="仿宋_GB2312" w:eastAsia="仿宋_GB2312" w:cs="仿宋_GB2312"/>
          <w:color w:val="000000"/>
          <w:sz w:val="32"/>
          <w:szCs w:val="32"/>
          <w:highlight w:val="white"/>
        </w:rPr>
        <w:t>2020年</w:t>
      </w:r>
      <w:r>
        <w:rPr>
          <w:rFonts w:ascii="仿宋_GB2312" w:hAnsi="仿宋_GB2312" w:eastAsia="仿宋_GB2312" w:cs="仿宋_GB2312"/>
          <w:color w:val="000000"/>
          <w:sz w:val="32"/>
          <w:szCs w:val="32"/>
          <w:highlight w:val="white"/>
        </w:rPr>
        <w:t>上半年人气、商气、消费等低迷不振，服务业</w:t>
      </w:r>
      <w:r>
        <w:rPr>
          <w:rFonts w:hint="eastAsia" w:ascii="仿宋_GB2312" w:hAnsi="仿宋_GB2312" w:eastAsia="仿宋_GB2312" w:cs="仿宋_GB2312"/>
          <w:color w:val="000000"/>
          <w:sz w:val="32"/>
          <w:szCs w:val="32"/>
          <w:highlight w:val="white"/>
        </w:rPr>
        <w:t>产值</w:t>
      </w:r>
      <w:r>
        <w:rPr>
          <w:rFonts w:ascii="仿宋_GB2312" w:hAnsi="仿宋_GB2312" w:eastAsia="仿宋_GB2312" w:cs="仿宋_GB2312"/>
          <w:color w:val="000000"/>
          <w:sz w:val="32"/>
          <w:szCs w:val="32"/>
          <w:highlight w:val="white"/>
        </w:rPr>
        <w:t>将严重下滑。虽然新冠疫情影响是暂时性的，但在一定程度上也反映出仍然有诸多不确定因素制约着现代服务业发展。</w:t>
      </w:r>
    </w:p>
    <w:p>
      <w:pPr>
        <w:snapToGrid w:val="0"/>
        <w:spacing w:line="560" w:lineRule="exact"/>
        <w:ind w:firstLine="64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highlight w:val="white"/>
        </w:rPr>
        <w:t>总之，“十四五”时期呈贡现代服务业发展的机遇与挑战并存,但机遇大于挑战。新形势下，全区上下需要进一步增强危机意识、竞争意识和发展意识，努力推动现代服务业高质量发展。</w:t>
      </w:r>
    </w:p>
    <w:p>
      <w:pPr>
        <w:spacing w:line="560" w:lineRule="exact"/>
        <w:ind w:firstLine="640"/>
        <w:rPr>
          <w:rFonts w:ascii="黑体" w:hAnsi="黑体" w:eastAsia="黑体" w:cs="黑体"/>
          <w:color w:val="000000"/>
          <w:spacing w:val="-6"/>
          <w:sz w:val="32"/>
          <w:szCs w:val="32"/>
        </w:rPr>
      </w:pPr>
      <w:bookmarkStart w:id="14" w:name="_Toc17074"/>
      <w:bookmarkStart w:id="15" w:name="_Toc19854"/>
      <w:r>
        <w:rPr>
          <w:rFonts w:hint="eastAsia" w:ascii="黑体" w:hAnsi="黑体" w:eastAsia="黑体" w:cs="黑体"/>
          <w:color w:val="000000"/>
          <w:sz w:val="32"/>
          <w:szCs w:val="32"/>
        </w:rPr>
        <w:t>二</w:t>
      </w:r>
      <w:r>
        <w:rPr>
          <w:rFonts w:ascii="黑体" w:hAnsi="黑体" w:eastAsia="黑体" w:cs="黑体"/>
          <w:color w:val="000000"/>
          <w:sz w:val="32"/>
          <w:szCs w:val="32"/>
        </w:rPr>
        <w:t>、</w:t>
      </w:r>
      <w:r>
        <w:rPr>
          <w:rFonts w:ascii="黑体" w:hAnsi="黑体" w:eastAsia="黑体" w:cs="黑体"/>
          <w:color w:val="000000"/>
          <w:spacing w:val="-6"/>
          <w:sz w:val="32"/>
          <w:szCs w:val="32"/>
        </w:rPr>
        <w:t>发展要求</w:t>
      </w:r>
      <w:bookmarkEnd w:id="14"/>
      <w:bookmarkEnd w:id="15"/>
    </w:p>
    <w:p>
      <w:pPr>
        <w:spacing w:line="560" w:lineRule="exact"/>
        <w:ind w:firstLine="640"/>
        <w:rPr>
          <w:rFonts w:ascii="楷体_GB2312" w:hAnsi="楷体_GB2312" w:eastAsia="楷体_GB2312" w:cs="楷体_GB2312"/>
          <w:color w:val="000000"/>
          <w:sz w:val="32"/>
          <w:szCs w:val="32"/>
        </w:rPr>
      </w:pPr>
      <w:bookmarkStart w:id="16" w:name="_Toc19228"/>
      <w:bookmarkStart w:id="17" w:name="_Toc7193"/>
      <w:r>
        <w:rPr>
          <w:rFonts w:ascii="楷体_GB2312" w:hAnsi="楷体_GB2312" w:eastAsia="楷体_GB2312" w:cs="楷体_GB2312"/>
          <w:color w:val="000000"/>
          <w:sz w:val="32"/>
          <w:szCs w:val="32"/>
        </w:rPr>
        <w:t>（一）指导思想</w:t>
      </w:r>
      <w:bookmarkEnd w:id="16"/>
      <w:bookmarkEnd w:id="17"/>
    </w:p>
    <w:p>
      <w:pPr>
        <w:spacing w:line="560" w:lineRule="exact"/>
        <w:ind w:firstLine="64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以习近平新时代中国特色社会主义思想为指导，全面贯彻党的十九大及十九届二中、三中、四中、五中全会精神，深入贯彻习近平总书记考察云南重要讲话精神，牢固树立新发展理念，</w:t>
      </w:r>
      <w:r>
        <w:rPr>
          <w:rFonts w:ascii="仿宋_GB2312" w:hAnsi="仿宋_GB2312" w:eastAsia="仿宋_GB2312" w:cs="仿宋_GB2312"/>
          <w:sz w:val="32"/>
          <w:szCs w:val="32"/>
        </w:rPr>
        <w:t>围绕建设世界春城花都展示区、现代科教创新城的总体目标，</w:t>
      </w:r>
      <w:r>
        <w:rPr>
          <w:rFonts w:ascii="仿宋_GB2312" w:hAnsi="仿宋_GB2312" w:eastAsia="仿宋_GB2312" w:cs="仿宋_GB2312"/>
          <w:color w:val="000000"/>
          <w:sz w:val="32"/>
          <w:szCs w:val="32"/>
        </w:rPr>
        <w:t>坚持“创新驱动、开放引领、产城互动、培引结合”的现代服务业发展战略，以推动服务业供给侧结构性改革为主线，以扩大总量和优化结构为主攻方向，以构建大数据、大健康、大文创、大旅游、大教育为着力点，坚持以“服务创造价值、服务提升产业、服务改善生活”的新理念发展新产业、新业态、新模式，优化发展布局，壮大产业规模，培育具有呈贡特色的现代服务业产业体系，全面提升呈贡现代服务业在全市全省的影响力、竞争力和辐射力。</w:t>
      </w:r>
    </w:p>
    <w:p>
      <w:pPr>
        <w:spacing w:line="560" w:lineRule="exact"/>
        <w:ind w:firstLine="640"/>
        <w:rPr>
          <w:rFonts w:ascii="楷体_GB2312" w:hAnsi="楷体_GB2312" w:eastAsia="楷体_GB2312" w:cs="楷体_GB2312"/>
          <w:color w:val="000000"/>
          <w:sz w:val="32"/>
          <w:szCs w:val="32"/>
        </w:rPr>
      </w:pPr>
      <w:bookmarkStart w:id="18" w:name="_Toc27316"/>
      <w:bookmarkStart w:id="19" w:name="_Toc26211"/>
      <w:r>
        <w:rPr>
          <w:rFonts w:ascii="楷体_GB2312" w:hAnsi="楷体_GB2312" w:eastAsia="楷体_GB2312" w:cs="楷体_GB2312"/>
          <w:color w:val="000000"/>
          <w:sz w:val="32"/>
          <w:szCs w:val="32"/>
        </w:rPr>
        <w:t>（</w:t>
      </w:r>
      <w:r>
        <w:rPr>
          <w:rFonts w:hint="eastAsia" w:ascii="楷体_GB2312" w:hAnsi="楷体_GB2312" w:eastAsia="楷体_GB2312" w:cs="楷体_GB2312"/>
          <w:color w:val="000000"/>
          <w:sz w:val="32"/>
          <w:szCs w:val="32"/>
        </w:rPr>
        <w:t>二</w:t>
      </w:r>
      <w:r>
        <w:rPr>
          <w:rFonts w:ascii="楷体_GB2312" w:hAnsi="楷体_GB2312" w:eastAsia="楷体_GB2312" w:cs="楷体_GB2312"/>
          <w:color w:val="000000"/>
          <w:sz w:val="32"/>
          <w:szCs w:val="32"/>
        </w:rPr>
        <w:t>）基本原则</w:t>
      </w:r>
      <w:bookmarkEnd w:id="18"/>
      <w:bookmarkEnd w:id="19"/>
    </w:p>
    <w:p>
      <w:pPr>
        <w:spacing w:line="560" w:lineRule="exact"/>
        <w:ind w:firstLine="64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坚持市场化、产业化、社会化方向，推动服务业供给侧结构性改革，构建适应信息经济和创新发展需要的现代服务业体系，以更高水平的服务业推动经济、社会、城市和人的全面发展。</w:t>
      </w:r>
    </w:p>
    <w:p>
      <w:pPr>
        <w:spacing w:line="560" w:lineRule="exact"/>
        <w:ind w:firstLine="643"/>
        <w:rPr>
          <w:rFonts w:ascii="仿宋_GB2312" w:hAnsi="仿宋_GB2312" w:eastAsia="仿宋_GB2312" w:cs="仿宋_GB2312"/>
          <w:color w:val="000000"/>
          <w:sz w:val="32"/>
          <w:szCs w:val="32"/>
        </w:rPr>
      </w:pPr>
      <w:r>
        <w:rPr>
          <w:rFonts w:ascii="仿宋_GB2312" w:hAnsi="仿宋_GB2312" w:eastAsia="仿宋_GB2312" w:cs="仿宋_GB2312"/>
          <w:b/>
          <w:color w:val="000000"/>
          <w:sz w:val="32"/>
          <w:szCs w:val="32"/>
        </w:rPr>
        <w:t>——</w:t>
      </w:r>
      <w:r>
        <w:rPr>
          <w:rFonts w:ascii="仿宋_GB2312" w:hAnsi="仿宋_GB2312" w:eastAsia="仿宋_GB2312" w:cs="仿宋_GB2312"/>
          <w:color w:val="000000"/>
          <w:sz w:val="32"/>
          <w:szCs w:val="32"/>
        </w:rPr>
        <w:t>坚持市场导向、审慎监管</w:t>
      </w:r>
      <w:r>
        <w:rPr>
          <w:rFonts w:ascii="仿宋_GB2312" w:hAnsi="仿宋_GB2312" w:eastAsia="仿宋_GB2312" w:cs="仿宋_GB2312"/>
          <w:b w:val="0"/>
          <w:color w:val="000000"/>
          <w:sz w:val="32"/>
          <w:szCs w:val="32"/>
        </w:rPr>
        <w:t>。</w:t>
      </w:r>
      <w:r>
        <w:rPr>
          <w:rFonts w:ascii="仿宋_GB2312" w:hAnsi="仿宋_GB2312" w:eastAsia="仿宋_GB2312" w:cs="仿宋_GB2312"/>
          <w:color w:val="000000"/>
          <w:sz w:val="32"/>
          <w:szCs w:val="32"/>
        </w:rPr>
        <w:t>发挥市场在资源配置中的决定性作用，创新政府对服务业发展的引导作用，顺应新形势新要求，维护市场规则秩序，促进市场公平竞争，强化企业市场主体地位，激发企业创新活力，营造市场主体良性互动、要素资源高效利用的服务业发展环境。打造现代服务业特色公共服务体系，系统性降低现代服务业的协同创新和产业升级成本。针对产业发展过程中涌现出的新技术、新业态和新模式，进一步构建包容审慎的监管体系和公平竞争的市场秩序，有效消除监管不到位和过度监管并存、事中事后监管能力和水平较低等问题，推动现代服务业规范健康发展。</w:t>
      </w:r>
    </w:p>
    <w:p>
      <w:pPr>
        <w:spacing w:line="560" w:lineRule="exact"/>
        <w:ind w:firstLine="640"/>
        <w:jc w:val="left"/>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坚持创新发展、培育优势。抢抓产业跨界融合发展新机遇，深化改革开放，推动服务业业态模式创新，开发适合工农业生产和居民消费的服务需求，培育满足消费高端化、绿色化、个性化需求的新业态新模式，提升辐射服务功能。</w:t>
      </w:r>
      <w:r>
        <w:rPr>
          <w:rFonts w:hint="eastAsia" w:ascii="仿宋_GB2312" w:hAnsi="仿宋_GB2312" w:eastAsia="仿宋_GB2312" w:cs="仿宋_GB2312"/>
          <w:color w:val="000000"/>
          <w:sz w:val="32"/>
          <w:szCs w:val="32"/>
        </w:rPr>
        <w:t>结合呈贡区校地合作优势，积极挖掘“人才红利”，为创新发展提供软实力支撑。</w:t>
      </w:r>
      <w:r>
        <w:rPr>
          <w:rFonts w:ascii="仿宋_GB2312" w:hAnsi="仿宋_GB2312" w:eastAsia="仿宋_GB2312" w:cs="仿宋_GB2312"/>
          <w:color w:val="000000"/>
          <w:sz w:val="32"/>
          <w:szCs w:val="32"/>
        </w:rPr>
        <w:t>深化云计算、大数据、物联网等在服务业的应用，以“互联网+”“大健康+”不断推进业态创新、模式创新、制度创新，形成以创新为引领的产业优势和制度优势。</w:t>
      </w:r>
    </w:p>
    <w:p>
      <w:pPr>
        <w:spacing w:line="560" w:lineRule="exact"/>
        <w:ind w:firstLine="643"/>
        <w:rPr>
          <w:rFonts w:ascii="仿宋_GB2312" w:hAnsi="仿宋_GB2312" w:eastAsia="仿宋_GB2312" w:cs="仿宋_GB2312"/>
          <w:color w:val="000000"/>
          <w:sz w:val="32"/>
          <w:szCs w:val="32"/>
        </w:rPr>
      </w:pPr>
      <w:r>
        <w:rPr>
          <w:rFonts w:ascii="仿宋_GB2312" w:hAnsi="仿宋_GB2312" w:eastAsia="仿宋_GB2312" w:cs="仿宋_GB2312"/>
          <w:b/>
          <w:color w:val="000000"/>
          <w:sz w:val="32"/>
          <w:szCs w:val="32"/>
        </w:rPr>
        <w:t>——</w:t>
      </w:r>
      <w:r>
        <w:rPr>
          <w:rFonts w:ascii="仿宋_GB2312" w:hAnsi="仿宋_GB2312" w:eastAsia="仿宋_GB2312" w:cs="仿宋_GB2312"/>
          <w:color w:val="000000"/>
          <w:sz w:val="32"/>
          <w:szCs w:val="32"/>
        </w:rPr>
        <w:t>坚持厚植基础、高端发展。巩固服务业优势领域，着力提升服务业发展能级，推动服务产业链和价值链向高端攀升。重点发展体现世界春城花都、现代科创新城、健康颐养新区和国际门户枢纽四大功能定位相适应的高端服务行业，提升呈贡现代服务业的竞争力，抢占产业发展制高点。</w:t>
      </w:r>
    </w:p>
    <w:p>
      <w:pPr>
        <w:spacing w:line="560" w:lineRule="exact"/>
        <w:ind w:firstLine="643"/>
        <w:rPr>
          <w:rFonts w:ascii="仿宋_GB2312" w:hAnsi="仿宋_GB2312" w:eastAsia="仿宋_GB2312" w:cs="仿宋_GB2312"/>
          <w:color w:val="000000"/>
          <w:sz w:val="32"/>
          <w:szCs w:val="32"/>
        </w:rPr>
      </w:pPr>
      <w:r>
        <w:rPr>
          <w:rFonts w:ascii="仿宋_GB2312" w:hAnsi="仿宋_GB2312" w:eastAsia="仿宋_GB2312" w:cs="仿宋_GB2312"/>
          <w:b/>
          <w:color w:val="000000"/>
          <w:sz w:val="32"/>
          <w:szCs w:val="32"/>
        </w:rPr>
        <w:t>——</w:t>
      </w:r>
      <w:r>
        <w:rPr>
          <w:rFonts w:ascii="仿宋_GB2312" w:hAnsi="仿宋_GB2312" w:eastAsia="仿宋_GB2312" w:cs="仿宋_GB2312"/>
          <w:color w:val="000000"/>
          <w:sz w:val="32"/>
          <w:szCs w:val="32"/>
        </w:rPr>
        <w:t>坚持产城融合、以人为本。强化服务业对城市功能支撑，促进形成产业、城市与人三者之间的良性互动。注重人民群众日益增长的多元化、多层次的服务需求，扩大供给总量，优化供给结构，促进新消费需求及时转化为新供给，以服务业发展提升呈贡宜居宜业品质。</w:t>
      </w:r>
    </w:p>
    <w:p>
      <w:pPr>
        <w:spacing w:line="560" w:lineRule="exact"/>
        <w:ind w:firstLine="640"/>
        <w:jc w:val="left"/>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坚持特色发展，重点突破。结合呈贡的发展禀赋和服务资源优势，着力在电子信息、现代制造、商贸金融、文化旅游、健康医养等领域培育特色化的产品和服务，实现服务业差异化、特色化、个性化发展。加强现代服务业分类指导，聚焦关键领域和薄弱环节，综合施策，形成合力，实现重点突破，增强示范带动效应。</w:t>
      </w:r>
    </w:p>
    <w:p>
      <w:pPr>
        <w:shd w:val="clear" w:color="000000" w:fill="FFFFFF"/>
        <w:spacing w:before="150" w:line="560" w:lineRule="exact"/>
        <w:ind w:firstLine="640"/>
        <w:jc w:val="left"/>
        <w:rPr>
          <w:rFonts w:ascii="楷体_GB2312" w:hAnsi="楷体_GB2312" w:eastAsia="楷体_GB2312" w:cs="楷体_GB2312"/>
          <w:color w:val="000000"/>
          <w:sz w:val="32"/>
          <w:szCs w:val="32"/>
        </w:rPr>
      </w:pPr>
      <w:bookmarkStart w:id="20" w:name="_Toc13035"/>
      <w:bookmarkStart w:id="21" w:name="_Toc9889"/>
      <w:r>
        <w:rPr>
          <w:rFonts w:ascii="楷体_GB2312" w:hAnsi="楷体_GB2312" w:eastAsia="楷体_GB2312" w:cs="楷体_GB2312"/>
          <w:color w:val="000000"/>
          <w:sz w:val="32"/>
          <w:szCs w:val="32"/>
        </w:rPr>
        <w:t>（三）发展目标</w:t>
      </w:r>
      <w:bookmarkEnd w:id="20"/>
      <w:bookmarkEnd w:id="21"/>
    </w:p>
    <w:p>
      <w:pPr>
        <w:shd w:val="clear" w:color="000000" w:fill="FFFFFF"/>
        <w:spacing w:before="150" w:line="560" w:lineRule="exact"/>
        <w:ind w:firstLine="640"/>
        <w:jc w:val="left"/>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 xml:space="preserve">远景目标：充分利用呈贡区位及资源优势，突出重点、合理布局、优化功能、强化扶持，通过坚持不懈的努力，到2035年，把呈贡建设成为云南省现代服务业的示范窗口、昆明市现代服务业发展高地。 </w:t>
      </w:r>
    </w:p>
    <w:p>
      <w:pPr>
        <w:shd w:val="clear" w:color="000000" w:fill="FFFFFF"/>
        <w:spacing w:before="150" w:line="560" w:lineRule="exact"/>
        <w:ind w:firstLine="640"/>
        <w:jc w:val="left"/>
        <w:rPr>
          <w:rFonts w:ascii="Times New Roman" w:hAnsi="Times New Roman" w:eastAsia="Times New Roman" w:cs="Times New Roman"/>
          <w:color w:val="000000"/>
          <w:sz w:val="32"/>
          <w:szCs w:val="32"/>
        </w:rPr>
      </w:pPr>
      <w:r>
        <w:rPr>
          <w:rFonts w:ascii="仿宋_GB2312" w:hAnsi="仿宋_GB2312" w:eastAsia="仿宋_GB2312" w:cs="仿宋_GB2312"/>
          <w:color w:val="000000"/>
          <w:sz w:val="32"/>
          <w:szCs w:val="32"/>
        </w:rPr>
        <w:t>阶段目标：“十四五”时期，服务业发展实力显著提升、产业结构显著优化、发展竞争力显著增强，高质量发展格局基本形成，现代服务业成为区域经济重要支撑。</w:t>
      </w:r>
    </w:p>
    <w:p>
      <w:pPr>
        <w:tabs>
          <w:tab w:val="left" w:pos="2264"/>
        </w:tabs>
        <w:spacing w:line="560" w:lineRule="exact"/>
        <w:ind w:firstLine="64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——政策体系不断完善。</w:t>
      </w:r>
      <w:r>
        <w:rPr>
          <w:rFonts w:ascii="Times New Roman" w:hAnsi="仿宋_GB2312" w:eastAsia="仿宋_GB2312" w:cs="仿宋_GB2312"/>
          <w:color w:val="000000"/>
          <w:sz w:val="32"/>
          <w:szCs w:val="32"/>
        </w:rPr>
        <w:t>现代服务业相关产业政策供给不断增加，现代服务业的创新活力和迭代动力明显提升。形成针对现代服务业发展常态化的政策宣传和效果评估机制，各类市场化参与主体对政策的知晓度进一步提高。</w:t>
      </w:r>
    </w:p>
    <w:p>
      <w:pPr>
        <w:spacing w:line="560" w:lineRule="exact"/>
        <w:ind w:firstLine="64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——发展实力显著增强。保持新常态下服务业科学合理增长,现代服务业对经济社会发展的拉动作用明显增强。到2025年，</w:t>
      </w:r>
      <w:r>
        <w:rPr>
          <w:rFonts w:ascii="Times New Roman" w:hAnsi="仿宋_GB2312" w:eastAsia="仿宋_GB2312" w:cs="仿宋_GB2312"/>
          <w:color w:val="000000"/>
          <w:sz w:val="32"/>
          <w:szCs w:val="32"/>
        </w:rPr>
        <w:t>服务业增加值力争实现</w:t>
      </w:r>
      <w:r>
        <w:rPr>
          <w:rFonts w:hint="eastAsia" w:ascii="Times New Roman" w:hAnsi="仿宋_GB2312" w:eastAsia="仿宋_GB2312" w:cs="仿宋_GB2312"/>
          <w:color w:val="000000"/>
          <w:sz w:val="32"/>
          <w:szCs w:val="32"/>
          <w:lang w:val="en-US" w:eastAsia="zh-CN"/>
        </w:rPr>
        <w:t>260</w:t>
      </w:r>
      <w:r>
        <w:rPr>
          <w:rFonts w:ascii="Times New Roman" w:hAnsi="仿宋_GB2312" w:eastAsia="仿宋_GB2312" w:cs="仿宋_GB2312"/>
          <w:color w:val="000000"/>
          <w:sz w:val="32"/>
          <w:szCs w:val="32"/>
        </w:rPr>
        <w:t>亿元，</w:t>
      </w:r>
      <w:r>
        <w:rPr>
          <w:rFonts w:ascii="仿宋_GB2312" w:hAnsi="仿宋_GB2312" w:eastAsia="仿宋_GB2312" w:cs="仿宋_GB2312"/>
          <w:color w:val="000000"/>
          <w:sz w:val="32"/>
          <w:szCs w:val="32"/>
        </w:rPr>
        <w:t>服务业增加值占GDP比重达</w:t>
      </w:r>
      <w:r>
        <w:rPr>
          <w:rFonts w:hint="eastAsia" w:ascii="仿宋_GB2312" w:hAnsi="仿宋_GB2312" w:eastAsia="仿宋_GB2312" w:cs="仿宋_GB2312"/>
          <w:color w:val="000000"/>
          <w:sz w:val="32"/>
          <w:szCs w:val="32"/>
          <w:lang w:val="en-US" w:eastAsia="zh-CN"/>
        </w:rPr>
        <w:t>65</w:t>
      </w:r>
      <w:r>
        <w:rPr>
          <w:rFonts w:ascii="仿宋_GB2312" w:hAnsi="仿宋_GB2312" w:eastAsia="仿宋_GB2312" w:cs="仿宋_GB2312"/>
          <w:color w:val="000000"/>
          <w:sz w:val="32"/>
          <w:szCs w:val="32"/>
        </w:rPr>
        <w:t>%以上，</w:t>
      </w:r>
      <w:r>
        <w:rPr>
          <w:rFonts w:ascii="Times New Roman" w:hAnsi="仿宋_GB2312" w:eastAsia="仿宋_GB2312" w:cs="仿宋_GB2312"/>
          <w:color w:val="000000"/>
          <w:sz w:val="32"/>
          <w:szCs w:val="32"/>
        </w:rPr>
        <w:t>服务业就业占全区就业的比重达到50%以上。</w:t>
      </w:r>
    </w:p>
    <w:p>
      <w:pPr>
        <w:spacing w:line="560" w:lineRule="exact"/>
        <w:ind w:firstLine="643"/>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——发展质量稳步提高。</w:t>
      </w:r>
      <w:r>
        <w:rPr>
          <w:rFonts w:ascii="Times New Roman" w:hAnsi="仿宋_GB2312" w:eastAsia="仿宋_GB2312" w:cs="仿宋_GB2312"/>
          <w:color w:val="000000"/>
          <w:sz w:val="32"/>
          <w:szCs w:val="32"/>
        </w:rPr>
        <w:t>以现代物流、旅游休闲、健康养老、信息服务、现代金融、科技服务、文化创意、会展服务等为支撑的现代服务业产业体系日趋成熟，</w:t>
      </w:r>
      <w:r>
        <w:rPr>
          <w:rFonts w:ascii="仿宋_GB2312" w:hAnsi="仿宋_GB2312" w:eastAsia="仿宋_GB2312" w:cs="仿宋_GB2312"/>
          <w:color w:val="000000"/>
          <w:sz w:val="32"/>
          <w:szCs w:val="32"/>
        </w:rPr>
        <w:t>新技术、新产业、新模式、新业态集中涌现。</w:t>
      </w:r>
    </w:p>
    <w:p>
      <w:pPr>
        <w:spacing w:line="560" w:lineRule="exact"/>
        <w:ind w:firstLine="643"/>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——竞争实力持续强劲。培育、发展一批</w:t>
      </w:r>
      <w:r>
        <w:rPr>
          <w:rFonts w:ascii="Times New Roman" w:hAnsi="仿宋_GB2312" w:eastAsia="仿宋_GB2312" w:cs="仿宋_GB2312"/>
          <w:color w:val="000000"/>
          <w:sz w:val="32"/>
          <w:szCs w:val="32"/>
        </w:rPr>
        <w:t>在南亚东南亚具有较强竞争力的龙头企业</w:t>
      </w:r>
      <w:r>
        <w:rPr>
          <w:rFonts w:ascii="仿宋_GB2312" w:hAnsi="仿宋_GB2312" w:eastAsia="仿宋_GB2312" w:cs="仿宋_GB2312"/>
          <w:color w:val="000000"/>
          <w:sz w:val="32"/>
          <w:szCs w:val="32"/>
        </w:rPr>
        <w:t>和知名品牌，以更加优质的服务主导区域经济合作进程。</w:t>
      </w:r>
      <w:bookmarkStart w:id="22" w:name="_Toc9131"/>
      <w:bookmarkStart w:id="23" w:name="_Toc4876"/>
    </w:p>
    <w:p>
      <w:pPr>
        <w:spacing w:line="560" w:lineRule="exact"/>
        <w:ind w:firstLine="640"/>
        <w:jc w:val="center"/>
        <w:rPr>
          <w:rFonts w:ascii="仿宋_GB2312" w:hAnsi="仿宋_GB2312" w:eastAsia="仿宋_GB2312" w:cs="仿宋_GB2312"/>
          <w:color w:val="000000"/>
          <w:sz w:val="32"/>
          <w:szCs w:val="32"/>
        </w:rPr>
      </w:pPr>
    </w:p>
    <w:p>
      <w:pPr>
        <w:spacing w:line="560" w:lineRule="exact"/>
        <w:ind w:firstLine="640"/>
        <w:jc w:val="center"/>
        <w:rPr>
          <w:rFonts w:ascii="仿宋_GB2312" w:hAnsi="仿宋_GB2312" w:eastAsia="仿宋_GB2312" w:cs="仿宋_GB2312"/>
          <w:color w:val="000000"/>
          <w:sz w:val="32"/>
          <w:szCs w:val="32"/>
        </w:rPr>
      </w:pPr>
    </w:p>
    <w:p>
      <w:pPr>
        <w:spacing w:line="560" w:lineRule="exact"/>
        <w:jc w:val="center"/>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呈贡区“十四五”现代服务业高质量发展规划目标</w:t>
      </w:r>
      <w:bookmarkEnd w:id="22"/>
      <w:bookmarkEnd w:id="23"/>
    </w:p>
    <w:tbl>
      <w:tblPr>
        <w:tblStyle w:val="10"/>
        <w:tblW w:w="9298" w:type="dxa"/>
        <w:tblInd w:w="-185" w:type="dxa"/>
        <w:tblBorders>
          <w:top w:val="single" w:color="000000" w:sz="12" w:space="0"/>
          <w:left w:val="single" w:color="000000" w:sz="6" w:space="0"/>
          <w:bottom w:val="single" w:color="000000" w:sz="12" w:space="0"/>
          <w:right w:val="single" w:color="000000" w:sz="6" w:space="0"/>
          <w:insideH w:val="single" w:color="000000" w:sz="0" w:space="0"/>
          <w:insideV w:val="single" w:color="000000" w:sz="0" w:space="0"/>
        </w:tblBorders>
        <w:tblLayout w:type="fixed"/>
        <w:tblCellMar>
          <w:top w:w="0" w:type="dxa"/>
          <w:left w:w="0" w:type="dxa"/>
          <w:bottom w:w="0" w:type="dxa"/>
          <w:right w:w="0" w:type="dxa"/>
        </w:tblCellMar>
      </w:tblPr>
      <w:tblGrid>
        <w:gridCol w:w="787"/>
        <w:gridCol w:w="3077"/>
        <w:gridCol w:w="1767"/>
        <w:gridCol w:w="1600"/>
        <w:gridCol w:w="2067"/>
      </w:tblGrid>
      <w:tr>
        <w:tblPrEx>
          <w:tblBorders>
            <w:top w:val="single" w:color="000000" w:sz="12" w:space="0"/>
            <w:left w:val="single" w:color="000000" w:sz="6" w:space="0"/>
            <w:bottom w:val="single" w:color="000000" w:sz="12" w:space="0"/>
            <w:right w:val="single" w:color="000000" w:sz="6" w:space="0"/>
            <w:insideH w:val="single" w:color="000000" w:sz="0" w:space="0"/>
            <w:insideV w:val="single" w:color="000000" w:sz="0" w:space="0"/>
          </w:tblBorders>
          <w:tblCellMar>
            <w:top w:w="0" w:type="dxa"/>
            <w:left w:w="0" w:type="dxa"/>
            <w:bottom w:w="0" w:type="dxa"/>
            <w:right w:w="0" w:type="dxa"/>
          </w:tblCellMar>
        </w:tblPrEx>
        <w:trPr>
          <w:trHeight w:val="1236" w:hRule="atLeast"/>
        </w:trPr>
        <w:tc>
          <w:tcPr>
            <w:tcW w:w="78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napToGrid w:val="0"/>
              <w:spacing w:line="560" w:lineRule="exact"/>
              <w:jc w:val="center"/>
              <w:rPr>
                <w:rFonts w:ascii="宋体"/>
                <w:b/>
                <w:color w:val="000000"/>
                <w:sz w:val="22"/>
                <w:szCs w:val="22"/>
              </w:rPr>
            </w:pPr>
            <w:r>
              <w:rPr>
                <w:rFonts w:ascii="宋体"/>
                <w:b/>
                <w:color w:val="000000"/>
                <w:sz w:val="22"/>
                <w:szCs w:val="22"/>
              </w:rPr>
              <w:t>序号</w:t>
            </w:r>
          </w:p>
        </w:tc>
        <w:tc>
          <w:tcPr>
            <w:tcW w:w="307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napToGrid w:val="0"/>
              <w:spacing w:line="560" w:lineRule="exact"/>
              <w:ind w:firstLine="442"/>
              <w:jc w:val="center"/>
              <w:rPr>
                <w:rFonts w:ascii="宋体"/>
                <w:b/>
                <w:color w:val="000000"/>
                <w:sz w:val="22"/>
                <w:szCs w:val="22"/>
              </w:rPr>
            </w:pPr>
            <w:r>
              <w:rPr>
                <w:rFonts w:ascii="宋体"/>
                <w:b/>
                <w:color w:val="000000"/>
                <w:sz w:val="22"/>
                <w:szCs w:val="22"/>
              </w:rPr>
              <w:t>指标名称</w:t>
            </w:r>
          </w:p>
        </w:tc>
        <w:tc>
          <w:tcPr>
            <w:tcW w:w="176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napToGrid w:val="0"/>
              <w:spacing w:line="560" w:lineRule="exact"/>
              <w:jc w:val="center"/>
              <w:rPr>
                <w:rFonts w:hint="eastAsia" w:ascii="宋体" w:eastAsia="宋体"/>
                <w:b/>
                <w:color w:val="000000"/>
                <w:sz w:val="22"/>
                <w:szCs w:val="22"/>
                <w:lang w:eastAsia="zh-CN"/>
              </w:rPr>
            </w:pPr>
            <w:r>
              <w:rPr>
                <w:rFonts w:ascii="宋体"/>
                <w:b/>
                <w:color w:val="000000"/>
                <w:sz w:val="22"/>
                <w:szCs w:val="22"/>
              </w:rPr>
              <w:t>2020年</w:t>
            </w:r>
            <w:r>
              <w:rPr>
                <w:rFonts w:hint="eastAsia" w:ascii="宋体"/>
                <w:b/>
                <w:color w:val="000000"/>
                <w:sz w:val="22"/>
                <w:szCs w:val="22"/>
                <w:lang w:eastAsia="zh-CN"/>
              </w:rPr>
              <w:t>数据</w:t>
            </w:r>
          </w:p>
        </w:tc>
        <w:tc>
          <w:tcPr>
            <w:tcW w:w="160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napToGrid w:val="0"/>
              <w:spacing w:line="560" w:lineRule="exact"/>
              <w:jc w:val="center"/>
              <w:rPr>
                <w:rFonts w:ascii="宋体"/>
                <w:b/>
                <w:color w:val="000000"/>
                <w:sz w:val="22"/>
                <w:szCs w:val="22"/>
              </w:rPr>
            </w:pPr>
            <w:r>
              <w:rPr>
                <w:rFonts w:ascii="宋体"/>
                <w:b/>
                <w:color w:val="000000"/>
                <w:sz w:val="22"/>
                <w:szCs w:val="22"/>
              </w:rPr>
              <w:t>2025年目标</w:t>
            </w:r>
          </w:p>
        </w:tc>
        <w:tc>
          <w:tcPr>
            <w:tcW w:w="206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napToGrid w:val="0"/>
              <w:spacing w:line="560" w:lineRule="exact"/>
              <w:jc w:val="center"/>
              <w:rPr>
                <w:rFonts w:ascii="宋体"/>
                <w:b/>
                <w:color w:val="000000"/>
                <w:sz w:val="22"/>
                <w:szCs w:val="22"/>
              </w:rPr>
            </w:pPr>
            <w:r>
              <w:rPr>
                <w:rFonts w:ascii="宋体"/>
                <w:b/>
                <w:color w:val="000000"/>
                <w:sz w:val="22"/>
                <w:szCs w:val="22"/>
              </w:rPr>
              <w:t>指标属性</w:t>
            </w:r>
          </w:p>
        </w:tc>
      </w:tr>
      <w:tr>
        <w:tblPrEx>
          <w:tblBorders>
            <w:top w:val="single" w:color="000000" w:sz="12" w:space="0"/>
            <w:left w:val="single" w:color="000000" w:sz="6" w:space="0"/>
            <w:bottom w:val="single" w:color="000000" w:sz="12" w:space="0"/>
            <w:right w:val="single" w:color="000000" w:sz="6" w:space="0"/>
            <w:insideH w:val="single" w:color="000000" w:sz="0" w:space="0"/>
            <w:insideV w:val="single" w:color="000000" w:sz="0" w:space="0"/>
          </w:tblBorders>
          <w:tblCellMar>
            <w:top w:w="0" w:type="dxa"/>
            <w:left w:w="0" w:type="dxa"/>
            <w:bottom w:w="0" w:type="dxa"/>
            <w:right w:w="0" w:type="dxa"/>
          </w:tblCellMar>
        </w:tblPrEx>
        <w:trPr>
          <w:cantSplit/>
          <w:trHeight w:val="340" w:hRule="atLeast"/>
        </w:trPr>
        <w:tc>
          <w:tcPr>
            <w:tcW w:w="78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jc w:val="center"/>
              <w:rPr>
                <w:rFonts w:ascii="Calibri" w:hAnsi="宋体" w:eastAsia="宋体" w:cs="宋体"/>
                <w:color w:val="000000"/>
                <w:sz w:val="21"/>
                <w:szCs w:val="21"/>
              </w:rPr>
            </w:pPr>
            <w:r>
              <w:rPr>
                <w:rFonts w:ascii="Calibri" w:hAnsi="宋体" w:eastAsia="宋体" w:cs="宋体"/>
                <w:color w:val="000000"/>
                <w:sz w:val="21"/>
                <w:szCs w:val="21"/>
              </w:rPr>
              <w:t>1</w:t>
            </w:r>
          </w:p>
        </w:tc>
        <w:tc>
          <w:tcPr>
            <w:tcW w:w="307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ind w:firstLine="0"/>
              <w:jc w:val="center"/>
              <w:rPr>
                <w:rFonts w:ascii="Calibri" w:hAnsi="宋体" w:eastAsia="宋体" w:cs="宋体"/>
                <w:color w:val="000000"/>
                <w:sz w:val="21"/>
                <w:szCs w:val="21"/>
              </w:rPr>
            </w:pPr>
          </w:p>
          <w:p>
            <w:pPr>
              <w:jc w:val="center"/>
              <w:rPr>
                <w:rFonts w:ascii="Calibri" w:hAnsi="宋体" w:eastAsia="宋体" w:cs="宋体"/>
                <w:color w:val="000000"/>
                <w:sz w:val="21"/>
                <w:szCs w:val="21"/>
              </w:rPr>
            </w:pPr>
            <w:r>
              <w:rPr>
                <w:rFonts w:ascii="Calibri" w:hAnsi="宋体" w:eastAsia="宋体" w:cs="宋体"/>
                <w:color w:val="000000"/>
                <w:sz w:val="21"/>
                <w:szCs w:val="21"/>
              </w:rPr>
              <w:t>服务业增加值（亿元）</w:t>
            </w:r>
          </w:p>
          <w:p>
            <w:pPr>
              <w:ind w:firstLine="0"/>
              <w:jc w:val="center"/>
              <w:rPr>
                <w:rFonts w:ascii="Calibri" w:hAnsi="宋体" w:eastAsia="宋体" w:cs="宋体"/>
                <w:color w:val="000000"/>
                <w:sz w:val="21"/>
                <w:szCs w:val="21"/>
              </w:rPr>
            </w:pPr>
          </w:p>
        </w:tc>
        <w:tc>
          <w:tcPr>
            <w:tcW w:w="176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ind w:firstLine="0"/>
              <w:jc w:val="center"/>
              <w:rPr>
                <w:rFonts w:ascii="Calibri" w:hAnsi="宋体" w:eastAsia="宋体" w:cs="宋体"/>
                <w:color w:val="000000"/>
                <w:sz w:val="21"/>
                <w:szCs w:val="21"/>
              </w:rPr>
            </w:pPr>
            <w:r>
              <w:rPr>
                <w:rFonts w:ascii="Calibri" w:hAnsi="宋体" w:eastAsia="宋体" w:cs="宋体"/>
                <w:color w:val="000000"/>
                <w:sz w:val="21"/>
                <w:szCs w:val="21"/>
              </w:rPr>
              <w:t>170亿元</w:t>
            </w:r>
          </w:p>
        </w:tc>
        <w:tc>
          <w:tcPr>
            <w:tcW w:w="160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ind w:firstLine="0"/>
              <w:jc w:val="center"/>
              <w:rPr>
                <w:rFonts w:ascii="Calibri" w:hAnsi="宋体" w:eastAsia="宋体" w:cs="宋体"/>
                <w:color w:val="000000"/>
                <w:sz w:val="21"/>
                <w:szCs w:val="21"/>
              </w:rPr>
            </w:pPr>
            <w:r>
              <w:rPr>
                <w:rFonts w:hint="eastAsia" w:cs="宋体"/>
                <w:color w:val="000000"/>
                <w:sz w:val="21"/>
                <w:szCs w:val="21"/>
                <w:lang w:val="en-US" w:eastAsia="zh-CN"/>
              </w:rPr>
              <w:t>260</w:t>
            </w:r>
            <w:r>
              <w:rPr>
                <w:rFonts w:ascii="Calibri" w:hAnsi="宋体" w:eastAsia="宋体" w:cs="宋体"/>
                <w:color w:val="000000"/>
                <w:sz w:val="21"/>
                <w:szCs w:val="21"/>
              </w:rPr>
              <w:t>亿元</w:t>
            </w:r>
          </w:p>
        </w:tc>
        <w:tc>
          <w:tcPr>
            <w:tcW w:w="206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ind w:firstLine="0"/>
              <w:jc w:val="center"/>
              <w:rPr>
                <w:rFonts w:ascii="Calibri" w:hAnsi="宋体" w:eastAsia="宋体" w:cs="宋体"/>
                <w:color w:val="000000"/>
                <w:sz w:val="21"/>
                <w:szCs w:val="21"/>
              </w:rPr>
            </w:pPr>
            <w:r>
              <w:rPr>
                <w:rFonts w:ascii="Calibri" w:hAnsi="宋体" w:eastAsia="宋体" w:cs="宋体"/>
                <w:color w:val="000000"/>
                <w:sz w:val="21"/>
                <w:szCs w:val="21"/>
              </w:rPr>
              <w:t>预期性</w:t>
            </w:r>
          </w:p>
        </w:tc>
      </w:tr>
      <w:tr>
        <w:tblPrEx>
          <w:tblBorders>
            <w:top w:val="single" w:color="000000" w:sz="12" w:space="0"/>
            <w:left w:val="single" w:color="000000" w:sz="6" w:space="0"/>
            <w:bottom w:val="single" w:color="000000" w:sz="12" w:space="0"/>
            <w:right w:val="single" w:color="000000" w:sz="6" w:space="0"/>
            <w:insideH w:val="single" w:color="000000" w:sz="0" w:space="0"/>
            <w:insideV w:val="single" w:color="000000" w:sz="0" w:space="0"/>
          </w:tblBorders>
          <w:tblCellMar>
            <w:top w:w="0" w:type="dxa"/>
            <w:left w:w="0" w:type="dxa"/>
            <w:bottom w:w="0" w:type="dxa"/>
            <w:right w:w="0" w:type="dxa"/>
          </w:tblCellMar>
        </w:tblPrEx>
        <w:trPr>
          <w:cantSplit/>
          <w:trHeight w:val="340" w:hRule="atLeast"/>
        </w:trPr>
        <w:tc>
          <w:tcPr>
            <w:tcW w:w="78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jc w:val="center"/>
              <w:rPr>
                <w:rFonts w:ascii="Calibri" w:hAnsi="宋体" w:eastAsia="宋体" w:cs="宋体"/>
                <w:color w:val="000000"/>
                <w:sz w:val="21"/>
                <w:szCs w:val="21"/>
              </w:rPr>
            </w:pPr>
            <w:r>
              <w:rPr>
                <w:rFonts w:ascii="Calibri" w:hAnsi="宋体" w:eastAsia="宋体" w:cs="宋体"/>
                <w:color w:val="000000"/>
                <w:sz w:val="21"/>
                <w:szCs w:val="21"/>
              </w:rPr>
              <w:t>2</w:t>
            </w:r>
          </w:p>
        </w:tc>
        <w:tc>
          <w:tcPr>
            <w:tcW w:w="307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ind w:firstLine="0"/>
              <w:jc w:val="center"/>
              <w:rPr>
                <w:rFonts w:ascii="Calibri" w:hAnsi="宋体" w:eastAsia="宋体" w:cs="宋体"/>
                <w:color w:val="000000"/>
                <w:sz w:val="21"/>
                <w:szCs w:val="21"/>
              </w:rPr>
            </w:pPr>
          </w:p>
          <w:p>
            <w:pPr>
              <w:jc w:val="center"/>
              <w:rPr>
                <w:rFonts w:ascii="Calibri" w:hAnsi="宋体" w:eastAsia="宋体" w:cs="宋体"/>
                <w:color w:val="000000"/>
                <w:sz w:val="21"/>
                <w:szCs w:val="21"/>
              </w:rPr>
            </w:pPr>
            <w:r>
              <w:rPr>
                <w:rFonts w:ascii="Calibri" w:hAnsi="宋体" w:eastAsia="宋体" w:cs="宋体"/>
                <w:color w:val="000000"/>
                <w:sz w:val="21"/>
                <w:szCs w:val="21"/>
              </w:rPr>
              <w:t>服务业占GDP比重（%）</w:t>
            </w:r>
          </w:p>
          <w:p>
            <w:pPr>
              <w:ind w:firstLine="0"/>
              <w:jc w:val="center"/>
              <w:rPr>
                <w:rFonts w:ascii="Calibri" w:hAnsi="宋体" w:eastAsia="宋体" w:cs="宋体"/>
                <w:color w:val="000000"/>
                <w:sz w:val="21"/>
                <w:szCs w:val="21"/>
              </w:rPr>
            </w:pPr>
          </w:p>
        </w:tc>
        <w:tc>
          <w:tcPr>
            <w:tcW w:w="176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ind w:firstLine="0"/>
              <w:jc w:val="center"/>
              <w:rPr>
                <w:rFonts w:ascii="Calibri" w:hAnsi="宋体" w:eastAsia="宋体" w:cs="宋体"/>
                <w:color w:val="000000"/>
                <w:sz w:val="21"/>
                <w:szCs w:val="21"/>
              </w:rPr>
            </w:pPr>
            <w:r>
              <w:rPr>
                <w:rFonts w:hint="eastAsia" w:cs="宋体"/>
                <w:color w:val="000000"/>
                <w:sz w:val="21"/>
                <w:szCs w:val="21"/>
                <w:lang w:val="en-US" w:eastAsia="zh-CN"/>
              </w:rPr>
              <w:t>59.05</w:t>
            </w:r>
            <w:r>
              <w:rPr>
                <w:rFonts w:ascii="Calibri" w:hAnsi="宋体" w:eastAsia="宋体" w:cs="宋体"/>
                <w:color w:val="000000"/>
                <w:sz w:val="21"/>
                <w:szCs w:val="21"/>
              </w:rPr>
              <w:t>%</w:t>
            </w:r>
          </w:p>
        </w:tc>
        <w:tc>
          <w:tcPr>
            <w:tcW w:w="160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ind w:firstLine="0"/>
              <w:jc w:val="center"/>
              <w:rPr>
                <w:rFonts w:ascii="Calibri" w:hAnsi="宋体" w:eastAsia="宋体" w:cs="宋体"/>
                <w:color w:val="000000"/>
                <w:sz w:val="21"/>
                <w:szCs w:val="21"/>
              </w:rPr>
            </w:pPr>
            <w:r>
              <w:rPr>
                <w:rFonts w:hint="eastAsia" w:cs="宋体"/>
                <w:color w:val="000000"/>
                <w:sz w:val="21"/>
                <w:szCs w:val="21"/>
                <w:lang w:val="en-US" w:eastAsia="zh-CN"/>
              </w:rPr>
              <w:t>65</w:t>
            </w:r>
            <w:r>
              <w:rPr>
                <w:rFonts w:ascii="Calibri" w:hAnsi="宋体" w:eastAsia="宋体" w:cs="宋体"/>
                <w:color w:val="000000"/>
                <w:sz w:val="21"/>
                <w:szCs w:val="21"/>
              </w:rPr>
              <w:t>%</w:t>
            </w:r>
          </w:p>
        </w:tc>
        <w:tc>
          <w:tcPr>
            <w:tcW w:w="206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ind w:firstLine="0"/>
              <w:jc w:val="center"/>
              <w:rPr>
                <w:rFonts w:ascii="Calibri" w:hAnsi="宋体" w:eastAsia="宋体" w:cs="宋体"/>
                <w:color w:val="000000"/>
                <w:sz w:val="21"/>
                <w:szCs w:val="21"/>
              </w:rPr>
            </w:pPr>
            <w:r>
              <w:rPr>
                <w:rFonts w:ascii="Calibri" w:hAnsi="宋体" w:eastAsia="宋体" w:cs="宋体"/>
                <w:color w:val="000000"/>
                <w:sz w:val="21"/>
                <w:szCs w:val="21"/>
              </w:rPr>
              <w:t>预期性</w:t>
            </w:r>
          </w:p>
        </w:tc>
      </w:tr>
      <w:tr>
        <w:tblPrEx>
          <w:tblBorders>
            <w:top w:val="single" w:color="000000" w:sz="12" w:space="0"/>
            <w:left w:val="single" w:color="000000" w:sz="6" w:space="0"/>
            <w:bottom w:val="single" w:color="000000" w:sz="12" w:space="0"/>
            <w:right w:val="single" w:color="000000" w:sz="6" w:space="0"/>
            <w:insideH w:val="single" w:color="000000" w:sz="0" w:space="0"/>
            <w:insideV w:val="single" w:color="000000" w:sz="0" w:space="0"/>
          </w:tblBorders>
          <w:tblCellMar>
            <w:top w:w="0" w:type="dxa"/>
            <w:left w:w="0" w:type="dxa"/>
            <w:bottom w:w="0" w:type="dxa"/>
            <w:right w:w="0" w:type="dxa"/>
          </w:tblCellMar>
        </w:tblPrEx>
        <w:trPr>
          <w:cantSplit/>
          <w:trHeight w:val="808" w:hRule="atLeast"/>
        </w:trPr>
        <w:tc>
          <w:tcPr>
            <w:tcW w:w="78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jc w:val="center"/>
              <w:rPr>
                <w:rFonts w:ascii="Calibri" w:hAnsi="宋体" w:eastAsia="宋体" w:cs="宋体"/>
                <w:color w:val="000000"/>
                <w:sz w:val="21"/>
                <w:szCs w:val="21"/>
              </w:rPr>
            </w:pPr>
            <w:r>
              <w:rPr>
                <w:rFonts w:ascii="Calibri" w:hAnsi="宋体" w:eastAsia="宋体" w:cs="宋体"/>
                <w:color w:val="000000"/>
                <w:sz w:val="21"/>
                <w:szCs w:val="21"/>
              </w:rPr>
              <w:t>3</w:t>
            </w:r>
          </w:p>
        </w:tc>
        <w:tc>
          <w:tcPr>
            <w:tcW w:w="307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jc w:val="center"/>
              <w:rPr>
                <w:rFonts w:ascii="Calibri" w:hAnsi="宋体" w:eastAsia="宋体" w:cs="宋体"/>
                <w:color w:val="000000"/>
                <w:sz w:val="21"/>
                <w:szCs w:val="21"/>
              </w:rPr>
            </w:pPr>
            <w:r>
              <w:rPr>
                <w:rFonts w:ascii="Calibri" w:hAnsi="宋体" w:eastAsia="宋体" w:cs="宋体"/>
                <w:color w:val="000000"/>
                <w:sz w:val="21"/>
                <w:szCs w:val="21"/>
              </w:rPr>
              <w:t>服务业就业占全区就业的比重（%）</w:t>
            </w:r>
          </w:p>
        </w:tc>
        <w:tc>
          <w:tcPr>
            <w:tcW w:w="176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ind w:firstLine="0"/>
              <w:jc w:val="center"/>
              <w:rPr>
                <w:rFonts w:ascii="Calibri" w:hAnsi="宋体" w:eastAsia="宋体" w:cs="宋体"/>
                <w:color w:val="000000"/>
                <w:sz w:val="21"/>
                <w:szCs w:val="21"/>
              </w:rPr>
            </w:pPr>
            <w:r>
              <w:rPr>
                <w:rFonts w:ascii="Calibri" w:hAnsi="宋体" w:eastAsia="宋体" w:cs="宋体"/>
                <w:color w:val="000000"/>
                <w:sz w:val="21"/>
                <w:szCs w:val="21"/>
              </w:rPr>
              <w:t>45%</w:t>
            </w:r>
          </w:p>
        </w:tc>
        <w:tc>
          <w:tcPr>
            <w:tcW w:w="160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ind w:firstLine="0"/>
              <w:jc w:val="center"/>
              <w:rPr>
                <w:rFonts w:ascii="Calibri" w:hAnsi="宋体" w:eastAsia="宋体" w:cs="宋体"/>
                <w:color w:val="000000"/>
                <w:sz w:val="21"/>
                <w:szCs w:val="21"/>
              </w:rPr>
            </w:pPr>
            <w:r>
              <w:rPr>
                <w:rFonts w:ascii="Calibri" w:hAnsi="宋体" w:eastAsia="宋体" w:cs="宋体"/>
                <w:color w:val="000000"/>
                <w:sz w:val="21"/>
                <w:szCs w:val="21"/>
              </w:rPr>
              <w:t>50%以上</w:t>
            </w:r>
          </w:p>
        </w:tc>
        <w:tc>
          <w:tcPr>
            <w:tcW w:w="206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ind w:firstLine="0"/>
              <w:jc w:val="center"/>
              <w:rPr>
                <w:rFonts w:ascii="Calibri" w:hAnsi="宋体" w:eastAsia="宋体" w:cs="宋体"/>
                <w:color w:val="000000"/>
                <w:sz w:val="21"/>
                <w:szCs w:val="21"/>
              </w:rPr>
            </w:pPr>
            <w:r>
              <w:rPr>
                <w:rFonts w:ascii="Calibri" w:hAnsi="宋体" w:eastAsia="宋体" w:cs="宋体"/>
                <w:color w:val="000000"/>
                <w:sz w:val="21"/>
                <w:szCs w:val="21"/>
              </w:rPr>
              <w:t>预期性</w:t>
            </w:r>
          </w:p>
        </w:tc>
      </w:tr>
    </w:tbl>
    <w:p>
      <w:pPr>
        <w:shd w:val="clear" w:color="000000" w:fill="FFFFFF"/>
        <w:spacing w:before="150" w:line="560" w:lineRule="exact"/>
        <w:ind w:firstLine="640"/>
        <w:jc w:val="left"/>
        <w:rPr>
          <w:rFonts w:ascii="黑体" w:hAnsi="黑体" w:eastAsia="黑体" w:cs="黑体"/>
          <w:color w:val="000000"/>
          <w:sz w:val="32"/>
          <w:szCs w:val="32"/>
        </w:rPr>
      </w:pPr>
      <w:bookmarkStart w:id="24" w:name="_Toc26339"/>
      <w:bookmarkStart w:id="25" w:name="_Toc31251"/>
      <w:r>
        <w:rPr>
          <w:rFonts w:hint="eastAsia" w:ascii="黑体" w:hAnsi="黑体" w:eastAsia="黑体" w:cs="黑体"/>
          <w:color w:val="000000"/>
          <w:sz w:val="32"/>
          <w:szCs w:val="32"/>
        </w:rPr>
        <w:t>三</w:t>
      </w:r>
      <w:r>
        <w:rPr>
          <w:rFonts w:ascii="黑体" w:hAnsi="黑体" w:eastAsia="黑体" w:cs="黑体"/>
          <w:color w:val="000000"/>
          <w:sz w:val="32"/>
          <w:szCs w:val="32"/>
        </w:rPr>
        <w:t>、空间布局</w:t>
      </w:r>
      <w:bookmarkEnd w:id="24"/>
      <w:bookmarkEnd w:id="25"/>
    </w:p>
    <w:p>
      <w:pPr>
        <w:shd w:val="clear" w:color="000000" w:fill="FFFFFF"/>
        <w:spacing w:before="150" w:line="560" w:lineRule="exact"/>
        <w:ind w:firstLine="640"/>
        <w:jc w:val="left"/>
        <w:rPr>
          <w:rFonts w:ascii="仿宋_GB2312" w:hAnsi="仿宋_GB2312" w:eastAsia="仿宋_GB2312" w:cs="仿宋_GB2312"/>
          <w:b/>
          <w:color w:val="000000"/>
          <w:sz w:val="32"/>
          <w:szCs w:val="32"/>
        </w:rPr>
      </w:pPr>
      <w:r>
        <w:rPr>
          <w:rFonts w:ascii="仿宋_GB2312" w:hAnsi="仿宋_GB2312" w:eastAsia="仿宋_GB2312" w:cs="仿宋_GB2312"/>
          <w:color w:val="000000"/>
          <w:sz w:val="32"/>
          <w:szCs w:val="32"/>
        </w:rPr>
        <w:t>根据呈贡区经济社会发展总体布局，现代服务业发展空间布局为“两核两带六片多点”。</w:t>
      </w:r>
    </w:p>
    <w:p>
      <w:pPr>
        <w:spacing w:line="560" w:lineRule="exact"/>
        <w:ind w:firstLine="643"/>
        <w:rPr>
          <w:rFonts w:ascii="仿宋_GB2312" w:hAnsi="仿宋_GB2312" w:eastAsia="仿宋_GB2312" w:cs="仿宋_GB2312"/>
          <w:color w:val="000000"/>
          <w:sz w:val="32"/>
          <w:szCs w:val="32"/>
        </w:rPr>
      </w:pPr>
      <w:r>
        <w:rPr>
          <w:rFonts w:ascii="仿宋_GB2312" w:hAnsi="仿宋_GB2312" w:eastAsia="仿宋_GB2312" w:cs="仿宋_GB2312"/>
          <w:b/>
          <w:color w:val="000000"/>
          <w:sz w:val="32"/>
          <w:szCs w:val="32"/>
        </w:rPr>
        <w:t>两核：</w:t>
      </w:r>
    </w:p>
    <w:p>
      <w:pPr>
        <w:spacing w:line="560" w:lineRule="exact"/>
        <w:ind w:firstLine="640"/>
        <w:rPr>
          <w:rFonts w:ascii="仿宋_GB2312" w:hAnsi="仿宋_GB2312" w:eastAsia="仿宋_GB2312" w:cs="仿宋_GB2312"/>
          <w:color w:val="000000"/>
          <w:sz w:val="32"/>
          <w:szCs w:val="32"/>
        </w:rPr>
      </w:pPr>
      <w:r>
        <w:rPr>
          <w:rFonts w:ascii="仿宋_GB2312" w:hAnsi="仿宋_GB2312" w:eastAsia="仿宋_GB2312" w:cs="仿宋_GB2312"/>
          <w:b/>
          <w:color w:val="000000"/>
          <w:sz w:val="32"/>
          <w:szCs w:val="32"/>
        </w:rPr>
        <w:t>一是</w:t>
      </w:r>
      <w:r>
        <w:rPr>
          <w:rFonts w:ascii="仿宋_GB2312" w:hAnsi="仿宋_GB2312" w:eastAsia="仿宋_GB2312" w:cs="仿宋_GB2312"/>
          <w:color w:val="000000"/>
          <w:sz w:val="32"/>
          <w:szCs w:val="32"/>
        </w:rPr>
        <w:t>信息产业园区。</w:t>
      </w:r>
      <w:bookmarkStart w:id="26" w:name="_Toc123558850"/>
      <w:r>
        <w:rPr>
          <w:rFonts w:ascii="Times New Roman" w:hAnsi="仿宋_GB2312" w:eastAsia="仿宋_GB2312" w:cs="仿宋_GB2312"/>
          <w:color w:val="000000"/>
          <w:sz w:val="32"/>
          <w:szCs w:val="32"/>
        </w:rPr>
        <w:t>重点发展软件和信息技术服务业</w:t>
      </w:r>
      <w:bookmarkEnd w:id="26"/>
      <w:r>
        <w:rPr>
          <w:rFonts w:ascii="Times New Roman" w:hAnsi="仿宋_GB2312" w:eastAsia="仿宋_GB2312" w:cs="仿宋_GB2312"/>
          <w:color w:val="000000"/>
          <w:sz w:val="32"/>
          <w:szCs w:val="32"/>
        </w:rPr>
        <w:t>、</w:t>
      </w:r>
      <w:bookmarkStart w:id="27" w:name="_Toc12355886"/>
      <w:r>
        <w:rPr>
          <w:rFonts w:ascii="Times New Roman" w:hAnsi="仿宋_GB2312" w:eastAsia="仿宋_GB2312" w:cs="仿宋_GB2312"/>
          <w:color w:val="000000"/>
          <w:sz w:val="32"/>
          <w:szCs w:val="32"/>
        </w:rPr>
        <w:t>加快推进人工智能产业化</w:t>
      </w:r>
      <w:bookmarkEnd w:id="27"/>
      <w:r>
        <w:rPr>
          <w:rFonts w:ascii="Times New Roman" w:hAnsi="仿宋_GB2312" w:eastAsia="仿宋_GB2312" w:cs="仿宋_GB2312"/>
          <w:color w:val="000000"/>
          <w:sz w:val="32"/>
          <w:szCs w:val="32"/>
        </w:rPr>
        <w:t>、</w:t>
      </w:r>
      <w:bookmarkStart w:id="28" w:name="_Toc12355887"/>
      <w:r>
        <w:rPr>
          <w:rFonts w:ascii="Times New Roman" w:hAnsi="仿宋_GB2312" w:eastAsia="仿宋_GB2312" w:cs="仿宋_GB2312"/>
          <w:color w:val="000000"/>
          <w:sz w:val="32"/>
          <w:szCs w:val="32"/>
        </w:rPr>
        <w:t>适当引进智能终端制造业</w:t>
      </w:r>
      <w:bookmarkEnd w:id="28"/>
      <w:r>
        <w:rPr>
          <w:rFonts w:ascii="Times New Roman" w:hAnsi="仿宋_GB2312" w:eastAsia="仿宋_GB2312" w:cs="仿宋_GB2312"/>
          <w:color w:val="000000"/>
          <w:sz w:val="32"/>
          <w:szCs w:val="32"/>
        </w:rPr>
        <w:t>、</w:t>
      </w:r>
      <w:bookmarkStart w:id="29" w:name="_Toc123558880"/>
      <w:r>
        <w:rPr>
          <w:rFonts w:ascii="Times New Roman" w:hAnsi="仿宋_GB2312" w:eastAsia="仿宋_GB2312" w:cs="仿宋_GB2312"/>
          <w:color w:val="000000"/>
          <w:sz w:val="32"/>
          <w:szCs w:val="32"/>
        </w:rPr>
        <w:t>积极布局前沿信息产业</w:t>
      </w:r>
      <w:bookmarkEnd w:id="29"/>
      <w:r>
        <w:rPr>
          <w:rFonts w:ascii="Times New Roman" w:hAnsi="仿宋_GB2312" w:eastAsia="仿宋_GB2312" w:cs="仿宋_GB2312"/>
          <w:color w:val="000000"/>
          <w:sz w:val="32"/>
          <w:szCs w:val="32"/>
        </w:rPr>
        <w:t>、5G应用孵化平台及业务创新平台</w:t>
      </w:r>
      <w:r>
        <w:rPr>
          <w:rFonts w:ascii="仿宋_GB2312" w:hAnsi="仿宋_GB2312" w:eastAsia="仿宋_GB2312" w:cs="仿宋_GB2312"/>
          <w:color w:val="000000"/>
          <w:sz w:val="32"/>
          <w:szCs w:val="32"/>
        </w:rPr>
        <w:t>等现代服务产业。</w:t>
      </w:r>
      <w:bookmarkStart w:id="30" w:name="_Toc123558870"/>
      <w:bookmarkEnd w:id="30"/>
      <w:r>
        <w:rPr>
          <w:rFonts w:ascii="仿宋_GB2312" w:hAnsi="仿宋_GB2312" w:eastAsia="仿宋_GB2312" w:cs="仿宋_GB2312"/>
          <w:color w:val="000000"/>
          <w:sz w:val="32"/>
          <w:szCs w:val="32"/>
        </w:rPr>
        <w:t>通过</w:t>
      </w:r>
      <w:r>
        <w:rPr>
          <w:rFonts w:ascii="Times New Roman" w:hAnsi="仿宋_GB2312" w:eastAsia="仿宋_GB2312" w:cs="仿宋_GB2312"/>
          <w:color w:val="000000"/>
          <w:sz w:val="32"/>
          <w:szCs w:val="32"/>
        </w:rPr>
        <w:t>优化园区基础设施建设，引进百度、腾讯、滴滴、科大讯飞、携程、京东等大型网络平台应用企业，建设一批大数据平台、云计算平台、深度学习平台、行业应用平台等，打通底层软硬件和上层应用连接。积极培育一批云计算研发和服务企业，支持面向电子商务、旅游等重点领域的云服务平台建设，积极发展基于云计算的信息存储、在线工具、学习娱乐等服务，打造现代服务产业转型升级新引擎。</w:t>
      </w:r>
    </w:p>
    <w:p>
      <w:pPr>
        <w:spacing w:line="560" w:lineRule="exact"/>
        <w:ind w:firstLine="640"/>
        <w:rPr>
          <w:rFonts w:ascii="仿宋_GB2312" w:hAnsi="仿宋_GB2312" w:eastAsia="仿宋_GB2312" w:cs="仿宋_GB2312"/>
          <w:b/>
          <w:color w:val="000000"/>
          <w:sz w:val="32"/>
          <w:szCs w:val="32"/>
        </w:rPr>
      </w:pPr>
      <w:r>
        <w:rPr>
          <w:rFonts w:ascii="仿宋_GB2312" w:hAnsi="仿宋_GB2312" w:eastAsia="仿宋_GB2312" w:cs="仿宋_GB2312"/>
          <w:b/>
          <w:color w:val="000000"/>
          <w:sz w:val="32"/>
          <w:szCs w:val="32"/>
        </w:rPr>
        <w:t>二是</w:t>
      </w:r>
      <w:r>
        <w:rPr>
          <w:rFonts w:ascii="仿宋_GB2312" w:hAnsi="仿宋_GB2312" w:eastAsia="仿宋_GB2312" w:cs="仿宋_GB2312"/>
          <w:color w:val="000000"/>
          <w:sz w:val="32"/>
          <w:szCs w:val="32"/>
        </w:rPr>
        <w:t>斗南花卉产业园。重点发展花卉文化旅游、花卉研发包装、花卉电子商务、会展演艺娱乐等现代服务业。扩大斗南花卉品牌效应，推动花卉产业和旅游产业融合发展，以花卉、文创、旅游、购物、娱乐等主题，形成集旅游观光、花卉精品、文创艺术、旅游商品、家居用品、海洋公园、主题酒店、休闲娱乐、特色餐饮为一体的现代服务业综合体。</w:t>
      </w:r>
    </w:p>
    <w:p>
      <w:pPr>
        <w:spacing w:line="560" w:lineRule="exact"/>
        <w:ind w:firstLine="643"/>
        <w:rPr>
          <w:rFonts w:ascii="仿宋_GB2312" w:hAnsi="仿宋_GB2312" w:eastAsia="仿宋_GB2312" w:cs="仿宋_GB2312"/>
          <w:b/>
          <w:color w:val="000000"/>
          <w:sz w:val="32"/>
          <w:szCs w:val="32"/>
        </w:rPr>
      </w:pPr>
      <w:r>
        <w:rPr>
          <w:rFonts w:ascii="仿宋_GB2312" w:hAnsi="仿宋_GB2312" w:eastAsia="仿宋_GB2312" w:cs="仿宋_GB2312"/>
          <w:b/>
          <w:color w:val="000000"/>
          <w:sz w:val="32"/>
          <w:szCs w:val="32"/>
        </w:rPr>
        <w:t>两带：</w:t>
      </w:r>
    </w:p>
    <w:p>
      <w:pPr>
        <w:spacing w:line="560" w:lineRule="exact"/>
        <w:ind w:firstLine="643"/>
        <w:rPr>
          <w:rFonts w:ascii="仿宋_GB2312" w:hAnsi="仿宋_GB2312" w:eastAsia="仿宋_GB2312" w:cs="仿宋_GB2312"/>
          <w:color w:val="000000"/>
          <w:sz w:val="32"/>
          <w:szCs w:val="32"/>
          <w:highlight w:val="white"/>
        </w:rPr>
      </w:pPr>
      <w:r>
        <w:rPr>
          <w:rFonts w:ascii="仿宋_GB2312" w:hAnsi="仿宋_GB2312" w:eastAsia="仿宋_GB2312" w:cs="仿宋_GB2312"/>
          <w:b/>
          <w:color w:val="000000"/>
          <w:sz w:val="32"/>
          <w:szCs w:val="32"/>
        </w:rPr>
        <w:t>一是</w:t>
      </w:r>
      <w:r>
        <w:rPr>
          <w:rFonts w:ascii="仿宋_GB2312" w:hAnsi="仿宋_GB2312" w:eastAsia="仿宋_GB2312" w:cs="仿宋_GB2312"/>
          <w:color w:val="000000"/>
          <w:sz w:val="32"/>
          <w:szCs w:val="32"/>
        </w:rPr>
        <w:t>环湖公路沿线现代服务业产业带。</w:t>
      </w:r>
      <w:r>
        <w:rPr>
          <w:rFonts w:ascii="仿宋_GB2312" w:hAnsi="仿宋_GB2312" w:eastAsia="仿宋_GB2312" w:cs="仿宋_GB2312"/>
          <w:color w:val="000000"/>
          <w:sz w:val="32"/>
          <w:szCs w:val="32"/>
          <w:highlight w:val="white"/>
        </w:rPr>
        <w:t>以环湖东路为轴线，辐射沿线区域。在保护滇池的前提下，</w:t>
      </w:r>
      <w:r>
        <w:rPr>
          <w:rFonts w:hint="eastAsia" w:ascii="仿宋_GB2312" w:hAnsi="仿宋_GB2312" w:eastAsia="仿宋_GB2312" w:cs="仿宋_GB2312"/>
          <w:color w:val="000000"/>
          <w:sz w:val="32"/>
          <w:szCs w:val="32"/>
          <w:highlight w:val="white"/>
        </w:rPr>
        <w:t>以新发展</w:t>
      </w:r>
      <w:r>
        <w:rPr>
          <w:rFonts w:ascii="仿宋_GB2312" w:hAnsi="仿宋_GB2312" w:eastAsia="仿宋_GB2312" w:cs="仿宋_GB2312"/>
          <w:color w:val="000000"/>
          <w:sz w:val="32"/>
          <w:szCs w:val="32"/>
          <w:highlight w:val="white"/>
        </w:rPr>
        <w:t>理念进行整体谋划，分步实施，以线带面，依托滇池风光、湿地公园等自然景观，加强水文、人文、商贸、民俗等元素的合理开发和综合利用，逐步形成以“文”“水”“商”为核心的现代服务业发展带。</w:t>
      </w:r>
    </w:p>
    <w:p>
      <w:pPr>
        <w:spacing w:line="560" w:lineRule="exact"/>
        <w:ind w:firstLine="643"/>
        <w:rPr>
          <w:rFonts w:ascii="仿宋_GB2312" w:hAnsi="仿宋_GB2312" w:eastAsia="仿宋_GB2312" w:cs="仿宋_GB2312"/>
          <w:b/>
          <w:color w:val="000000"/>
          <w:sz w:val="32"/>
          <w:szCs w:val="32"/>
        </w:rPr>
      </w:pPr>
      <w:r>
        <w:rPr>
          <w:rFonts w:ascii="仿宋_GB2312" w:hAnsi="仿宋_GB2312" w:eastAsia="仿宋_GB2312" w:cs="仿宋_GB2312"/>
          <w:b/>
          <w:color w:val="000000"/>
          <w:sz w:val="32"/>
          <w:szCs w:val="32"/>
        </w:rPr>
        <w:t>二是</w:t>
      </w:r>
      <w:r>
        <w:rPr>
          <w:rFonts w:ascii="仿宋_GB2312" w:hAnsi="仿宋_GB2312" w:eastAsia="仿宋_GB2312" w:cs="仿宋_GB2312"/>
          <w:color w:val="000000"/>
          <w:sz w:val="32"/>
          <w:szCs w:val="32"/>
        </w:rPr>
        <w:t>彩云中路沿线现代服务业产业带。</w:t>
      </w:r>
      <w:r>
        <w:rPr>
          <w:rFonts w:ascii="仿宋_GB2312" w:hAnsi="仿宋_GB2312" w:eastAsia="仿宋_GB2312" w:cs="仿宋_GB2312"/>
          <w:color w:val="000000"/>
          <w:sz w:val="32"/>
          <w:szCs w:val="32"/>
          <w:highlight w:val="white"/>
        </w:rPr>
        <w:t>立足新区独特的经济、政治、文化、科技优势，大力发展楼宇经济、文化创意、现代金融、科技服务、优质地产、高端酒店等业态，打造现代服务产业聚集区。</w:t>
      </w:r>
    </w:p>
    <w:p>
      <w:pPr>
        <w:spacing w:line="560" w:lineRule="exact"/>
        <w:ind w:firstLine="643"/>
        <w:rPr>
          <w:rFonts w:ascii="仿宋_GB2312" w:hAnsi="仿宋_GB2312" w:eastAsia="仿宋_GB2312" w:cs="仿宋_GB2312"/>
          <w:b/>
          <w:color w:val="000000"/>
          <w:sz w:val="32"/>
          <w:szCs w:val="32"/>
        </w:rPr>
      </w:pPr>
      <w:r>
        <w:rPr>
          <w:rFonts w:ascii="仿宋_GB2312" w:hAnsi="仿宋_GB2312" w:eastAsia="仿宋_GB2312" w:cs="仿宋_GB2312"/>
          <w:b/>
          <w:color w:val="000000"/>
          <w:sz w:val="32"/>
          <w:szCs w:val="32"/>
        </w:rPr>
        <w:t>六片：</w:t>
      </w:r>
    </w:p>
    <w:p>
      <w:pPr>
        <w:spacing w:line="560" w:lineRule="exact"/>
        <w:ind w:firstLine="643"/>
        <w:rPr>
          <w:rFonts w:ascii="仿宋_GB2312" w:hAnsi="仿宋_GB2312" w:eastAsia="仿宋_GB2312" w:cs="仿宋_GB2312"/>
          <w:color w:val="000000"/>
          <w:sz w:val="32"/>
          <w:szCs w:val="32"/>
        </w:rPr>
      </w:pPr>
      <w:r>
        <w:rPr>
          <w:rFonts w:ascii="仿宋_GB2312" w:hAnsi="仿宋_GB2312" w:eastAsia="仿宋_GB2312" w:cs="仿宋_GB2312"/>
          <w:b/>
          <w:color w:val="000000"/>
          <w:sz w:val="32"/>
          <w:szCs w:val="32"/>
        </w:rPr>
        <w:t>一是</w:t>
      </w:r>
      <w:r>
        <w:rPr>
          <w:rFonts w:ascii="仿宋_GB2312" w:hAnsi="仿宋_GB2312" w:eastAsia="仿宋_GB2312" w:cs="仿宋_GB2312"/>
          <w:color w:val="000000"/>
          <w:sz w:val="32"/>
          <w:szCs w:val="32"/>
        </w:rPr>
        <w:t>现代商贸业核心片区。围绕构建集商务、商业、博览、文化等多功能于一体综合性高档商务区的战略目标，以省内一流商圈建设为标杆，在七彩云南第一城、花千坊、吾悦广场、市级行政中心周边、呈贡老县城等地，增强高端要素集聚力和综合影响力，在改造提升传统商贸业的基础上，植入文化创意、网络信息技术等元素，积极发展新兴商业业态，促进传统服务业转型升级。同时，推动特色商业街区、商贸集聚区、专业市场、社区商业发展，服务国计民生，提升商贸对产业发展的综合配套能力。</w:t>
      </w:r>
    </w:p>
    <w:p>
      <w:pPr>
        <w:spacing w:line="560" w:lineRule="exact"/>
        <w:ind w:firstLine="643"/>
        <w:rPr>
          <w:rFonts w:ascii="仿宋_GB2312" w:hAnsi="仿宋_GB2312" w:eastAsia="仿宋_GB2312" w:cs="仿宋_GB2312"/>
          <w:color w:val="000000"/>
          <w:sz w:val="32"/>
          <w:szCs w:val="32"/>
        </w:rPr>
      </w:pPr>
      <w:r>
        <w:rPr>
          <w:rFonts w:ascii="仿宋_GB2312" w:hAnsi="仿宋_GB2312" w:eastAsia="仿宋_GB2312" w:cs="仿宋_GB2312"/>
          <w:b/>
          <w:color w:val="000000"/>
          <w:sz w:val="32"/>
          <w:szCs w:val="32"/>
        </w:rPr>
        <w:t>二是</w:t>
      </w:r>
      <w:r>
        <w:rPr>
          <w:rFonts w:ascii="仿宋_GB2312" w:hAnsi="仿宋_GB2312" w:eastAsia="仿宋_GB2312" w:cs="仿宋_GB2312"/>
          <w:color w:val="000000"/>
          <w:sz w:val="32"/>
          <w:szCs w:val="32"/>
        </w:rPr>
        <w:t>三台山文化旅游片区。依托老城深厚的文化底蕴和三台山优美的自然风光，放大呈贡区党建文化主题公园和新时代文明实践中心效应，整合文化旅游资源，聚集人气商气，增添现代服务业发展新动能。</w:t>
      </w:r>
    </w:p>
    <w:p>
      <w:pPr>
        <w:spacing w:line="560" w:lineRule="exact"/>
        <w:ind w:firstLine="643"/>
        <w:rPr>
          <w:rFonts w:ascii="仿宋_GB2312" w:hAnsi="仿宋_GB2312" w:eastAsia="仿宋_GB2312" w:cs="仿宋_GB2312"/>
          <w:b w:val="0"/>
          <w:color w:val="000000"/>
          <w:sz w:val="32"/>
          <w:szCs w:val="32"/>
        </w:rPr>
      </w:pPr>
      <w:r>
        <w:rPr>
          <w:rFonts w:ascii="仿宋_GB2312" w:hAnsi="仿宋_GB2312" w:eastAsia="仿宋_GB2312" w:cs="仿宋_GB2312"/>
          <w:b/>
          <w:color w:val="000000"/>
          <w:sz w:val="32"/>
          <w:szCs w:val="32"/>
        </w:rPr>
        <w:t>三是</w:t>
      </w:r>
      <w:r>
        <w:rPr>
          <w:rFonts w:ascii="仿宋_GB2312" w:hAnsi="仿宋_GB2312" w:eastAsia="仿宋_GB2312" w:cs="仿宋_GB2312"/>
          <w:color w:val="000000"/>
          <w:sz w:val="32"/>
          <w:szCs w:val="32"/>
        </w:rPr>
        <w:t>呈贡金融产业园片区。以金融为核心产业，以银行业、保险业、证券业等行业为重点，吸引国内外有实力的银行总部、非银行金融机构、大型企业总部进驻园区，努力打造一流的高端服务业，引导和助推区域经济发展。</w:t>
      </w:r>
    </w:p>
    <w:p>
      <w:pPr>
        <w:spacing w:line="560" w:lineRule="exact"/>
        <w:ind w:firstLine="643"/>
        <w:rPr>
          <w:rFonts w:ascii="仿宋_GB2312" w:hAnsi="仿宋_GB2312" w:eastAsia="仿宋_GB2312" w:cs="仿宋_GB2312"/>
          <w:color w:val="000000"/>
          <w:sz w:val="32"/>
          <w:szCs w:val="32"/>
        </w:rPr>
      </w:pPr>
      <w:r>
        <w:rPr>
          <w:rFonts w:ascii="仿宋_GB2312" w:hAnsi="仿宋_GB2312" w:eastAsia="仿宋_GB2312" w:cs="仿宋_GB2312"/>
          <w:b/>
          <w:color w:val="000000"/>
          <w:sz w:val="32"/>
          <w:szCs w:val="32"/>
        </w:rPr>
        <w:t>四是</w:t>
      </w:r>
      <w:r>
        <w:rPr>
          <w:rFonts w:ascii="仿宋_GB2312" w:hAnsi="仿宋_GB2312" w:eastAsia="仿宋_GB2312" w:cs="仿宋_GB2312"/>
          <w:color w:val="000000"/>
          <w:sz w:val="32"/>
          <w:szCs w:val="32"/>
        </w:rPr>
        <w:t>驻呈高校聚集片区。坚持融合发展的原则，以满足高校师生多样化、个性化需求为目标，</w:t>
      </w:r>
      <w:r>
        <w:rPr>
          <w:rFonts w:ascii="仿宋_GB2312" w:hAnsi="仿宋_GB2312" w:eastAsia="仿宋_GB2312" w:cs="仿宋_GB2312"/>
          <w:color w:val="000000"/>
          <w:sz w:val="32"/>
          <w:szCs w:val="32"/>
          <w:highlight w:val="white"/>
        </w:rPr>
        <w:t>打造以青春广场、电影院、KTV、酒店、淘宝街、大中型超市、时尚折扣店、美食生活功能为主的时尚街区。</w:t>
      </w:r>
      <w:r>
        <w:rPr>
          <w:rFonts w:ascii="仿宋_GB2312" w:hAnsi="仿宋_GB2312" w:eastAsia="仿宋_GB2312" w:cs="仿宋_GB2312"/>
          <w:color w:val="000000"/>
          <w:sz w:val="32"/>
          <w:szCs w:val="32"/>
        </w:rPr>
        <w:t>利用高校优质教育培训资源，打造云南现代服务业人才培养新高地。</w:t>
      </w:r>
    </w:p>
    <w:p>
      <w:pPr>
        <w:spacing w:line="560" w:lineRule="exact"/>
        <w:ind w:firstLine="643"/>
        <w:rPr>
          <w:rFonts w:ascii="仿宋_GB2312" w:hAnsi="仿宋_GB2312" w:eastAsia="仿宋_GB2312" w:cs="仿宋_GB2312"/>
          <w:b/>
          <w:color w:val="000000"/>
          <w:sz w:val="32"/>
          <w:szCs w:val="32"/>
        </w:rPr>
      </w:pPr>
      <w:r>
        <w:rPr>
          <w:rFonts w:ascii="仿宋_GB2312" w:hAnsi="仿宋_GB2312" w:eastAsia="仿宋_GB2312" w:cs="仿宋_GB2312"/>
          <w:b/>
          <w:color w:val="000000"/>
          <w:sz w:val="32"/>
          <w:szCs w:val="32"/>
        </w:rPr>
        <w:t>五是</w:t>
      </w:r>
      <w:r>
        <w:rPr>
          <w:rFonts w:ascii="仿宋_GB2312" w:hAnsi="仿宋_GB2312" w:eastAsia="仿宋_GB2312" w:cs="仿宋_GB2312"/>
          <w:color w:val="000000"/>
          <w:sz w:val="32"/>
          <w:szCs w:val="32"/>
        </w:rPr>
        <w:t>大健康产业园片区。</w:t>
      </w:r>
      <w:r>
        <w:rPr>
          <w:rFonts w:ascii="Times New Roman" w:hAnsi="仿宋_GB2312" w:eastAsia="仿宋_GB2312" w:cs="仿宋_GB2312"/>
          <w:color w:val="000000"/>
          <w:sz w:val="32"/>
          <w:szCs w:val="32"/>
        </w:rPr>
        <w:t>以园区优越的生态资源为基础、健康科技产业为核心、“互联网+大健康”为特色，形成“政、产、学、研、养”结合的一体化发展模式，发展健康休闲、健康管理、健康医疗、健康服务、康养结合等五大板块集群。同时，以高端市场为主，发展高端服务和高端生产，打造以医疗休闲康养为主题的云南面向东南亚、南亚的现代服务业示范区。</w:t>
      </w:r>
    </w:p>
    <w:p>
      <w:pPr>
        <w:spacing w:line="560" w:lineRule="exact"/>
        <w:ind w:firstLine="643"/>
        <w:rPr>
          <w:rFonts w:ascii="仿宋_GB2312" w:hAnsi="仿宋_GB2312" w:eastAsia="仿宋_GB2312" w:cs="仿宋_GB2312"/>
          <w:color w:val="000000"/>
          <w:sz w:val="32"/>
          <w:szCs w:val="32"/>
        </w:rPr>
      </w:pPr>
      <w:r>
        <w:rPr>
          <w:rFonts w:ascii="仿宋_GB2312" w:hAnsi="仿宋_GB2312" w:eastAsia="仿宋_GB2312" w:cs="仿宋_GB2312"/>
          <w:b/>
          <w:color w:val="000000"/>
          <w:sz w:val="32"/>
          <w:szCs w:val="32"/>
        </w:rPr>
        <w:t>六是</w:t>
      </w:r>
      <w:r>
        <w:rPr>
          <w:rFonts w:ascii="仿宋_GB2312" w:hAnsi="仿宋_GB2312" w:eastAsia="仿宋_GB2312" w:cs="仿宋_GB2312"/>
          <w:color w:val="000000"/>
          <w:sz w:val="32"/>
          <w:szCs w:val="32"/>
        </w:rPr>
        <w:t>四个托管片区（洛羊、马金铺、大渔、七甸街道），依托各自资源禀赋和环境优势，发展各具特色的现代服务业。</w:t>
      </w:r>
    </w:p>
    <w:p>
      <w:pPr>
        <w:spacing w:line="560" w:lineRule="exact"/>
        <w:ind w:firstLine="643"/>
        <w:rPr>
          <w:rFonts w:ascii="仿宋_GB2312" w:hAnsi="仿宋_GB2312" w:eastAsia="仿宋_GB2312" w:cs="仿宋_GB2312"/>
          <w:color w:val="000000"/>
          <w:sz w:val="32"/>
          <w:szCs w:val="32"/>
        </w:rPr>
      </w:pPr>
      <w:r>
        <w:rPr>
          <w:rFonts w:ascii="Times New Roman" w:hAnsi="仿宋_GB2312" w:eastAsia="仿宋_GB2312" w:cs="仿宋_GB2312"/>
          <w:b/>
          <w:color w:val="000000"/>
          <w:sz w:val="32"/>
          <w:szCs w:val="32"/>
        </w:rPr>
        <w:t>多点：</w:t>
      </w:r>
      <w:r>
        <w:rPr>
          <w:rFonts w:ascii="Times New Roman" w:hAnsi="仿宋_GB2312" w:eastAsia="仿宋_GB2312" w:cs="仿宋_GB2312"/>
          <w:color w:val="000000"/>
          <w:sz w:val="32"/>
          <w:szCs w:val="32"/>
        </w:rPr>
        <w:t>辖区各地多点布局，齐头并进，根据各自资源优势、经济条件和规划现状，大力发展现代服务业</w:t>
      </w:r>
      <w:r>
        <w:rPr>
          <w:rFonts w:ascii="仿宋_GB2312" w:hAnsi="仿宋_GB2312" w:eastAsia="仿宋_GB2312" w:cs="仿宋_GB2312"/>
          <w:color w:val="000000"/>
          <w:sz w:val="32"/>
          <w:szCs w:val="32"/>
        </w:rPr>
        <w:t>。</w:t>
      </w:r>
    </w:p>
    <w:p>
      <w:pPr>
        <w:spacing w:line="600" w:lineRule="exact"/>
        <w:ind w:firstLine="643"/>
        <w:jc w:val="both"/>
        <w:rPr>
          <w:rFonts w:ascii="仿宋_GB2312" w:hAnsi="仿宋_GB2312" w:eastAsia="仿宋_GB2312" w:cs="仿宋_GB2312"/>
          <w:color w:val="000000"/>
          <w:sz w:val="32"/>
          <w:szCs w:val="32"/>
        </w:rPr>
      </w:pPr>
    </w:p>
    <w:tbl>
      <w:tblPr>
        <w:tblStyle w:val="10"/>
        <w:tblW w:w="8892" w:type="dxa"/>
        <w:tblInd w:w="-57" w:type="dxa"/>
        <w:tblLayout w:type="fixed"/>
        <w:tblCellMar>
          <w:top w:w="0" w:type="dxa"/>
          <w:left w:w="0" w:type="dxa"/>
          <w:bottom w:w="0" w:type="dxa"/>
          <w:right w:w="0" w:type="dxa"/>
        </w:tblCellMar>
      </w:tblPr>
      <w:tblGrid>
        <w:gridCol w:w="8892"/>
      </w:tblGrid>
      <w:tr>
        <w:tblPrEx>
          <w:tblCellMar>
            <w:top w:w="0" w:type="dxa"/>
            <w:left w:w="0" w:type="dxa"/>
            <w:bottom w:w="0" w:type="dxa"/>
            <w:right w:w="0" w:type="dxa"/>
          </w:tblCellMar>
        </w:tblPrEx>
        <w:tc>
          <w:tcPr>
            <w:tcW w:w="8892" w:type="dxa"/>
            <w:tcBorders>
              <w:top w:val="single" w:color="000000" w:sz="4" w:space="0"/>
              <w:left w:val="single" w:color="000000" w:sz="4" w:space="0"/>
              <w:bottom w:val="single" w:color="000000" w:sz="4" w:space="0"/>
              <w:right w:val="single" w:color="000000" w:sz="4" w:space="0"/>
            </w:tcBorders>
            <w:tcMar>
              <w:left w:w="108" w:type="dxa"/>
              <w:right w:w="108" w:type="dxa"/>
            </w:tcMar>
            <w:vAlign w:val="top"/>
          </w:tcPr>
          <w:p>
            <w:pPr>
              <w:snapToGrid w:val="0"/>
              <w:spacing w:line="500" w:lineRule="exact"/>
              <w:ind w:firstLine="600"/>
              <w:rPr>
                <w:rFonts w:ascii="宋体" w:hAnsi="宋体" w:eastAsia="宋体" w:cs="宋体"/>
                <w:color w:val="000000"/>
                <w:sz w:val="28"/>
                <w:szCs w:val="28"/>
              </w:rPr>
            </w:pPr>
            <w:r>
              <w:rPr>
                <w:rFonts w:ascii="仿宋_GB2312" w:hAnsi="仿宋_GB2312" w:eastAsia="仿宋_GB2312" w:cs="仿宋_GB2312"/>
                <w:color w:val="000000"/>
                <w:sz w:val="32"/>
                <w:szCs w:val="32"/>
              </w:rPr>
              <w:t>专</w:t>
            </w:r>
            <w:r>
              <w:rPr>
                <w:rFonts w:ascii="宋体" w:hAnsi="宋体" w:eastAsia="宋体" w:cs="宋体"/>
                <w:color w:val="000000"/>
                <w:sz w:val="28"/>
                <w:szCs w:val="28"/>
              </w:rPr>
              <w:t>栏1：呈贡区“两核两带六片多点”现代服务业发展空间布局</w:t>
            </w:r>
          </w:p>
          <w:p>
            <w:pPr>
              <w:snapToGrid w:val="0"/>
              <w:spacing w:line="500" w:lineRule="exact"/>
              <w:ind w:firstLine="601"/>
              <w:rPr>
                <w:rFonts w:ascii="宋体" w:hAnsi="宋体" w:eastAsia="宋体" w:cs="宋体"/>
                <w:color w:val="000000"/>
                <w:sz w:val="28"/>
                <w:szCs w:val="28"/>
              </w:rPr>
            </w:pPr>
            <w:r>
              <w:rPr>
                <w:rFonts w:ascii="Arial" w:hAnsi="Arial" w:eastAsia="Arial" w:cs="Arial"/>
                <w:color w:val="000000"/>
                <w:sz w:val="28"/>
                <w:szCs w:val="28"/>
              </w:rPr>
              <w:t>◆</w:t>
            </w:r>
            <w:r>
              <w:rPr>
                <w:rFonts w:ascii="宋体" w:hAnsi="宋体" w:eastAsia="宋体" w:cs="宋体"/>
                <w:color w:val="000000"/>
                <w:sz w:val="28"/>
                <w:szCs w:val="28"/>
              </w:rPr>
              <w:t>“两核”：以呈贡信息产业园和斗南花卉产业园为发展核心区。</w:t>
            </w:r>
          </w:p>
          <w:p>
            <w:pPr>
              <w:snapToGrid w:val="0"/>
              <w:spacing w:line="500" w:lineRule="exact"/>
              <w:ind w:firstLine="601"/>
              <w:rPr>
                <w:rFonts w:ascii="宋体" w:hAnsi="宋体" w:eastAsia="宋体" w:cs="宋体"/>
                <w:color w:val="000000"/>
                <w:sz w:val="28"/>
                <w:szCs w:val="28"/>
              </w:rPr>
            </w:pPr>
            <w:r>
              <w:rPr>
                <w:rFonts w:ascii="Arial" w:hAnsi="Arial" w:eastAsia="Arial" w:cs="Arial"/>
                <w:color w:val="000000"/>
                <w:sz w:val="28"/>
                <w:szCs w:val="28"/>
              </w:rPr>
              <w:t>◆</w:t>
            </w:r>
            <w:r>
              <w:rPr>
                <w:rFonts w:ascii="宋体" w:hAnsi="宋体" w:eastAsia="宋体" w:cs="宋体"/>
                <w:color w:val="000000"/>
                <w:sz w:val="28"/>
                <w:szCs w:val="28"/>
              </w:rPr>
              <w:t>“两带”：环湖公路沿线现代服务业产业带、彩云中路沿线现代服务业产业带。</w:t>
            </w:r>
          </w:p>
          <w:p>
            <w:pPr>
              <w:snapToGrid w:val="0"/>
              <w:spacing w:line="500" w:lineRule="exact"/>
              <w:ind w:firstLine="601"/>
              <w:rPr>
                <w:rFonts w:ascii="宋体" w:hAnsi="宋体" w:eastAsia="宋体" w:cs="宋体"/>
                <w:color w:val="000000"/>
                <w:sz w:val="28"/>
                <w:szCs w:val="28"/>
              </w:rPr>
            </w:pPr>
            <w:r>
              <w:rPr>
                <w:rFonts w:ascii="Arial" w:hAnsi="Arial" w:eastAsia="Arial" w:cs="Arial"/>
                <w:color w:val="000000"/>
                <w:sz w:val="28"/>
                <w:szCs w:val="28"/>
              </w:rPr>
              <w:t>◆</w:t>
            </w:r>
            <w:r>
              <w:rPr>
                <w:rFonts w:ascii="宋体" w:hAnsi="宋体" w:eastAsia="宋体" w:cs="宋体"/>
                <w:color w:val="000000"/>
                <w:sz w:val="28"/>
                <w:szCs w:val="28"/>
              </w:rPr>
              <w:t>“六片”：现代商贸业核心片区，三台山文化旅游片区，呈贡金融产业园片区，驻呈高校聚集片区，大健康产业园片区，洛羊、马金铺、大渔、七甸四个托管片区</w:t>
            </w:r>
          </w:p>
          <w:p>
            <w:pPr>
              <w:snapToGrid w:val="0"/>
              <w:spacing w:line="500" w:lineRule="exact"/>
              <w:ind w:firstLine="601"/>
              <w:rPr>
                <w:rFonts w:ascii="宋体" w:hAnsi="宋体" w:eastAsia="宋体" w:cs="宋体"/>
                <w:color w:val="000000"/>
                <w:sz w:val="28"/>
                <w:szCs w:val="28"/>
              </w:rPr>
            </w:pPr>
            <w:r>
              <w:rPr>
                <w:rFonts w:ascii="Arial" w:hAnsi="Arial" w:eastAsia="Arial" w:cs="Arial"/>
                <w:color w:val="000000"/>
                <w:sz w:val="28"/>
                <w:szCs w:val="28"/>
              </w:rPr>
              <w:t>◆</w:t>
            </w:r>
            <w:r>
              <w:rPr>
                <w:rFonts w:ascii="宋体" w:hAnsi="宋体" w:eastAsia="宋体" w:cs="宋体"/>
                <w:color w:val="000000"/>
                <w:sz w:val="28"/>
                <w:szCs w:val="28"/>
              </w:rPr>
              <w:t>“多点”：辖区各地多点布局，齐头并进。</w:t>
            </w:r>
          </w:p>
        </w:tc>
      </w:tr>
    </w:tbl>
    <w:p>
      <w:pPr>
        <w:spacing w:line="560" w:lineRule="exact"/>
        <w:ind w:firstLine="640"/>
        <w:rPr>
          <w:rFonts w:ascii="黑体" w:hAnsi="黑体" w:eastAsia="黑体" w:cs="黑体"/>
          <w:color w:val="000000"/>
          <w:sz w:val="32"/>
          <w:szCs w:val="32"/>
        </w:rPr>
      </w:pPr>
      <w:bookmarkStart w:id="31" w:name="_Toc14796"/>
      <w:bookmarkStart w:id="32" w:name="_Toc29447"/>
      <w:r>
        <w:rPr>
          <w:rFonts w:hint="eastAsia" w:ascii="黑体" w:hAnsi="黑体" w:eastAsia="黑体" w:cs="黑体"/>
          <w:color w:val="000000"/>
          <w:sz w:val="32"/>
          <w:szCs w:val="32"/>
        </w:rPr>
        <w:t>四</w:t>
      </w:r>
      <w:r>
        <w:rPr>
          <w:rFonts w:ascii="黑体" w:hAnsi="黑体" w:eastAsia="黑体" w:cs="黑体"/>
          <w:color w:val="000000"/>
          <w:sz w:val="32"/>
          <w:szCs w:val="32"/>
        </w:rPr>
        <w:t>、发展任务</w:t>
      </w:r>
      <w:bookmarkEnd w:id="31"/>
      <w:bookmarkEnd w:id="32"/>
    </w:p>
    <w:p>
      <w:pPr>
        <w:shd w:val="clear" w:color="000000" w:fill="FFFFFF"/>
        <w:spacing w:line="560" w:lineRule="exact"/>
        <w:ind w:firstLine="640"/>
        <w:jc w:val="left"/>
        <w:rPr>
          <w:rFonts w:ascii="楷体_GB2312" w:hAnsi="楷体_GB2312" w:eastAsia="楷体_GB2312" w:cs="楷体_GB2312"/>
          <w:color w:val="000000"/>
          <w:sz w:val="32"/>
          <w:szCs w:val="32"/>
        </w:rPr>
      </w:pPr>
      <w:r>
        <w:rPr>
          <w:rFonts w:ascii="仿宋_GB2312" w:hAnsi="仿宋_GB2312" w:eastAsia="仿宋_GB2312" w:cs="仿宋_GB2312"/>
          <w:color w:val="000000"/>
          <w:sz w:val="32"/>
          <w:szCs w:val="32"/>
        </w:rPr>
        <w:t>“十四五”是呈贡区</w:t>
      </w:r>
      <w:r>
        <w:rPr>
          <w:rFonts w:hint="eastAsia" w:ascii="仿宋_GB2312" w:hAnsi="仿宋_GB2312" w:eastAsia="仿宋_GB2312" w:cs="仿宋_GB2312"/>
          <w:color w:val="000000"/>
          <w:sz w:val="32"/>
          <w:szCs w:val="32"/>
        </w:rPr>
        <w:t>现代服务</w:t>
      </w:r>
      <w:r>
        <w:rPr>
          <w:rFonts w:ascii="仿宋_GB2312" w:hAnsi="仿宋_GB2312" w:eastAsia="仿宋_GB2312" w:cs="仿宋_GB2312"/>
          <w:color w:val="000000"/>
          <w:sz w:val="32"/>
          <w:szCs w:val="32"/>
        </w:rPr>
        <w:t>业发展的关键期、突破期。全区上下要戮力同心、攻坚克难，聚焦十大重点行业、实施“六大”行动计划、强化“五条”工作措施，实现呈贡区现代服务业高质量发展。</w:t>
      </w:r>
    </w:p>
    <w:p>
      <w:pPr>
        <w:spacing w:line="560" w:lineRule="exact"/>
        <w:ind w:firstLine="640"/>
        <w:rPr>
          <w:rFonts w:ascii="仿宋_GB2312" w:hAnsi="仿宋_GB2312" w:eastAsia="仿宋_GB2312" w:cs="仿宋_GB2312"/>
          <w:color w:val="000000"/>
          <w:sz w:val="32"/>
          <w:szCs w:val="32"/>
        </w:rPr>
      </w:pPr>
      <w:bookmarkStart w:id="33" w:name="_Toc5338"/>
    </w:p>
    <w:tbl>
      <w:tblPr>
        <w:tblStyle w:val="10"/>
        <w:tblW w:w="8892" w:type="dxa"/>
        <w:tblInd w:w="-57" w:type="dxa"/>
        <w:tblLayout w:type="fixed"/>
        <w:tblCellMar>
          <w:top w:w="0" w:type="dxa"/>
          <w:left w:w="0" w:type="dxa"/>
          <w:bottom w:w="0" w:type="dxa"/>
          <w:right w:w="0" w:type="dxa"/>
        </w:tblCellMar>
      </w:tblPr>
      <w:tblGrid>
        <w:gridCol w:w="8892"/>
      </w:tblGrid>
      <w:tr>
        <w:tblPrEx>
          <w:tblCellMar>
            <w:top w:w="0" w:type="dxa"/>
            <w:left w:w="0" w:type="dxa"/>
            <w:bottom w:w="0" w:type="dxa"/>
            <w:right w:w="0" w:type="dxa"/>
          </w:tblCellMar>
        </w:tblPrEx>
        <w:tc>
          <w:tcPr>
            <w:tcW w:w="8892" w:type="dxa"/>
            <w:tcBorders>
              <w:top w:val="single" w:color="000000" w:sz="4" w:space="0"/>
              <w:left w:val="single" w:color="000000" w:sz="4" w:space="0"/>
              <w:bottom w:val="single" w:color="000000" w:sz="4" w:space="0"/>
              <w:right w:val="single" w:color="000000" w:sz="4" w:space="0"/>
            </w:tcBorders>
            <w:tcMar>
              <w:left w:w="108" w:type="dxa"/>
              <w:right w:w="108" w:type="dxa"/>
            </w:tcMar>
            <w:vAlign w:val="top"/>
          </w:tcPr>
          <w:p>
            <w:pPr>
              <w:snapToGrid w:val="0"/>
              <w:spacing w:line="500" w:lineRule="exact"/>
              <w:ind w:firstLine="600"/>
              <w:rPr>
                <w:rFonts w:ascii="宋体" w:hAnsi="宋体" w:eastAsia="宋体" w:cs="宋体"/>
                <w:b w:val="0"/>
                <w:color w:val="000000"/>
                <w:sz w:val="28"/>
                <w:szCs w:val="28"/>
              </w:rPr>
            </w:pPr>
            <w:r>
              <w:rPr>
                <w:rFonts w:ascii="宋体" w:hAnsi="宋体" w:eastAsia="宋体" w:cs="宋体"/>
                <w:b w:val="0"/>
                <w:color w:val="000000"/>
                <w:sz w:val="28"/>
                <w:szCs w:val="28"/>
              </w:rPr>
              <w:t>专栏2：呈贡区“十四五”</w:t>
            </w:r>
            <w:r>
              <w:rPr>
                <w:rFonts w:hint="eastAsia" w:ascii="宋体" w:hAnsi="宋体" w:eastAsia="宋体" w:cs="宋体"/>
                <w:b w:val="0"/>
                <w:color w:val="000000"/>
                <w:sz w:val="28"/>
                <w:szCs w:val="28"/>
              </w:rPr>
              <w:t>现代服务</w:t>
            </w:r>
            <w:r>
              <w:rPr>
                <w:rFonts w:ascii="宋体" w:hAnsi="宋体" w:eastAsia="宋体" w:cs="宋体"/>
                <w:b w:val="0"/>
                <w:color w:val="000000"/>
                <w:sz w:val="28"/>
                <w:szCs w:val="28"/>
              </w:rPr>
              <w:t>业高质量发展重点任务</w:t>
            </w:r>
          </w:p>
          <w:p>
            <w:pPr>
              <w:shd w:val="clear" w:color="000000" w:fill="FFFFFF"/>
              <w:spacing w:line="560" w:lineRule="exact"/>
              <w:ind w:firstLine="640"/>
              <w:jc w:val="left"/>
              <w:rPr>
                <w:rFonts w:ascii="宋体" w:hAnsi="宋体" w:eastAsia="宋体" w:cs="宋体"/>
                <w:b w:val="0"/>
                <w:color w:val="000000"/>
                <w:sz w:val="28"/>
                <w:szCs w:val="28"/>
              </w:rPr>
            </w:pPr>
          </w:p>
          <w:p>
            <w:pPr>
              <w:shd w:val="clear" w:color="000000" w:fill="FFFFFF"/>
              <w:spacing w:line="560" w:lineRule="exact"/>
              <w:ind w:firstLine="640"/>
              <w:jc w:val="left"/>
              <w:rPr>
                <w:color w:val="000000"/>
              </w:rPr>
            </w:pPr>
            <w:r>
              <w:rPr>
                <w:rFonts w:ascii="Arial" w:hAnsi="Arial" w:eastAsia="Arial" w:cs="Arial"/>
                <w:b w:val="0"/>
                <w:color w:val="000000"/>
                <w:sz w:val="28"/>
                <w:szCs w:val="28"/>
              </w:rPr>
              <w:t>◆</w:t>
            </w:r>
            <w:r>
              <w:rPr>
                <w:rFonts w:ascii="宋体" w:hAnsi="宋体" w:eastAsia="宋体" w:cs="宋体"/>
                <w:b w:val="0"/>
                <w:color w:val="000000"/>
                <w:sz w:val="28"/>
                <w:szCs w:val="28"/>
              </w:rPr>
              <w:t>聚焦十大重点行业：1.现代商贸业2.信息服务业3.花卉服务业4.康养服务业5.教育服务业6.文化创意业7.旅游服务业8.现代金</w:t>
            </w:r>
          </w:p>
          <w:p>
            <w:pPr>
              <w:shd w:val="clear" w:color="000000" w:fill="FFFFFF"/>
              <w:spacing w:line="560" w:lineRule="exact"/>
              <w:ind w:firstLine="640"/>
              <w:jc w:val="left"/>
              <w:rPr>
                <w:rFonts w:ascii="宋体" w:hAnsi="宋体" w:eastAsia="宋体" w:cs="宋体"/>
                <w:b w:val="0"/>
                <w:color w:val="000000"/>
                <w:sz w:val="28"/>
                <w:szCs w:val="28"/>
              </w:rPr>
            </w:pPr>
            <w:r>
              <w:rPr>
                <w:rFonts w:ascii="宋体" w:hAnsi="宋体" w:eastAsia="宋体" w:cs="宋体"/>
                <w:b w:val="0"/>
                <w:color w:val="000000"/>
                <w:sz w:val="28"/>
                <w:szCs w:val="28"/>
              </w:rPr>
              <w:t>融业9.电子商务业10.其他业态。</w:t>
            </w:r>
          </w:p>
          <w:p>
            <w:pPr>
              <w:shd w:val="clear" w:color="000000" w:fill="FFFFFF"/>
              <w:spacing w:line="560" w:lineRule="exact"/>
              <w:ind w:firstLine="640"/>
              <w:jc w:val="left"/>
              <w:rPr>
                <w:rFonts w:ascii="宋体" w:hAnsi="宋体" w:eastAsia="宋体" w:cs="宋体"/>
                <w:b w:val="0"/>
                <w:color w:val="000000"/>
                <w:sz w:val="28"/>
                <w:szCs w:val="28"/>
              </w:rPr>
            </w:pPr>
            <w:r>
              <w:rPr>
                <w:rFonts w:ascii="Arial" w:hAnsi="Arial" w:eastAsia="Arial" w:cs="Arial"/>
                <w:b w:val="0"/>
                <w:color w:val="000000"/>
                <w:sz w:val="28"/>
                <w:szCs w:val="28"/>
              </w:rPr>
              <w:t>◆</w:t>
            </w:r>
            <w:r>
              <w:rPr>
                <w:rFonts w:ascii="宋体" w:hAnsi="宋体" w:eastAsia="宋体" w:cs="宋体"/>
                <w:b w:val="0"/>
                <w:color w:val="000000"/>
                <w:sz w:val="28"/>
                <w:szCs w:val="28"/>
              </w:rPr>
              <w:t>实施“六大”行动计划：1.改革创新行动计划2.平台打造行动计划3.企业培育行动计划4.重点项目推进计划5.</w:t>
            </w:r>
            <w:bookmarkStart w:id="34" w:name="_Toc31200"/>
            <w:r>
              <w:rPr>
                <w:rFonts w:ascii="宋体" w:hAnsi="宋体" w:eastAsia="宋体" w:cs="宋体"/>
                <w:b w:val="0"/>
                <w:color w:val="000000"/>
                <w:sz w:val="28"/>
                <w:szCs w:val="28"/>
              </w:rPr>
              <w:t>融合发展行动计划</w:t>
            </w:r>
            <w:bookmarkEnd w:id="34"/>
            <w:r>
              <w:rPr>
                <w:rFonts w:ascii="宋体" w:hAnsi="宋体" w:eastAsia="宋体" w:cs="宋体"/>
                <w:b w:val="0"/>
                <w:color w:val="000000"/>
                <w:sz w:val="28"/>
                <w:szCs w:val="28"/>
              </w:rPr>
              <w:t>6.合作</w:t>
            </w:r>
            <w:bookmarkStart w:id="35" w:name="_Toc102630"/>
            <w:r>
              <w:rPr>
                <w:rFonts w:ascii="宋体" w:hAnsi="宋体" w:eastAsia="宋体" w:cs="宋体"/>
                <w:b w:val="0"/>
                <w:color w:val="000000"/>
                <w:sz w:val="28"/>
                <w:szCs w:val="28"/>
              </w:rPr>
              <w:t>开放行动计划</w:t>
            </w:r>
            <w:bookmarkEnd w:id="35"/>
          </w:p>
          <w:p>
            <w:pPr>
              <w:shd w:val="clear" w:color="000000" w:fill="FFFFFF"/>
              <w:spacing w:line="560" w:lineRule="exact"/>
              <w:ind w:firstLine="640"/>
              <w:jc w:val="left"/>
              <w:rPr>
                <w:rFonts w:ascii="宋体" w:hAnsi="宋体" w:eastAsia="宋体" w:cs="宋体"/>
                <w:b w:val="0"/>
                <w:color w:val="000000"/>
                <w:sz w:val="28"/>
                <w:szCs w:val="28"/>
              </w:rPr>
            </w:pPr>
            <w:r>
              <w:rPr>
                <w:rFonts w:ascii="Arial" w:hAnsi="Arial" w:eastAsia="Arial" w:cs="Arial"/>
                <w:b w:val="0"/>
                <w:color w:val="000000"/>
                <w:sz w:val="28"/>
                <w:szCs w:val="28"/>
              </w:rPr>
              <w:t>◆</w:t>
            </w:r>
            <w:r>
              <w:rPr>
                <w:rFonts w:ascii="宋体" w:hAnsi="宋体" w:eastAsia="宋体" w:cs="宋体"/>
                <w:b w:val="0"/>
                <w:color w:val="000000"/>
                <w:sz w:val="28"/>
                <w:szCs w:val="28"/>
              </w:rPr>
              <w:t>强化“五条”工作措施：1.加强组织保障2.加大政策支持3.强化人才支撑4.营造发展环境5．严格监督实施</w:t>
            </w:r>
          </w:p>
        </w:tc>
      </w:tr>
    </w:tbl>
    <w:p>
      <w:pPr>
        <w:spacing w:before="0" w:after="0" w:line="240" w:lineRule="auto"/>
        <w:ind w:left="-57" w:right="0" w:firstLine="0"/>
        <w:jc w:val="left"/>
        <w:rPr>
          <w:rFonts w:ascii="楷体_GB2312" w:hAnsi="楷体_GB2312" w:eastAsia="楷体_GB2312" w:cs="楷体_GB2312"/>
          <w:color w:val="000000"/>
          <w:sz w:val="32"/>
          <w:szCs w:val="32"/>
        </w:rPr>
      </w:pPr>
      <w:bookmarkStart w:id="36" w:name="_Toc15105"/>
    </w:p>
    <w:p>
      <w:pPr>
        <w:spacing w:line="560" w:lineRule="exact"/>
        <w:ind w:firstLine="640"/>
        <w:rPr>
          <w:rFonts w:ascii="楷体_GB2312" w:hAnsi="楷体_GB2312" w:eastAsia="楷体_GB2312" w:cs="楷体_GB2312"/>
          <w:color w:val="000000"/>
          <w:sz w:val="32"/>
          <w:szCs w:val="32"/>
        </w:rPr>
      </w:pPr>
      <w:bookmarkStart w:id="37" w:name="_Toc32468"/>
      <w:r>
        <w:rPr>
          <w:rFonts w:ascii="楷体_GB2312" w:hAnsi="楷体_GB2312" w:eastAsia="楷体_GB2312" w:cs="楷体_GB2312"/>
          <w:color w:val="000000"/>
          <w:sz w:val="32"/>
          <w:szCs w:val="32"/>
        </w:rPr>
        <w:t>（一）聚焦十大重点行业，引领现代服务业高质量发展</w:t>
      </w:r>
      <w:bookmarkEnd w:id="33"/>
      <w:bookmarkEnd w:id="36"/>
      <w:bookmarkEnd w:id="37"/>
    </w:p>
    <w:p>
      <w:pPr>
        <w:spacing w:line="560" w:lineRule="exact"/>
        <w:ind w:firstLine="64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以经济社会发展需求为导向，以产业结构转型升级为动力，突出重点行业与新兴业态，优化产业内部结构，促进产业链的整合优化，全面提升全区现代服务业发展综合竞争力。</w:t>
      </w:r>
    </w:p>
    <w:p>
      <w:pPr>
        <w:spacing w:line="560" w:lineRule="exact"/>
        <w:ind w:firstLine="643"/>
        <w:rPr>
          <w:rFonts w:ascii="仿宋_GB2312" w:hAnsi="仿宋_GB2312" w:eastAsia="仿宋_GB2312" w:cs="仿宋_GB2312"/>
          <w:color w:val="000000"/>
          <w:sz w:val="32"/>
          <w:szCs w:val="32"/>
        </w:rPr>
      </w:pPr>
      <w:r>
        <w:rPr>
          <w:rFonts w:ascii="仿宋_GB2312" w:hAnsi="仿宋_GB2312" w:eastAsia="仿宋_GB2312" w:cs="仿宋_GB2312"/>
          <w:b/>
          <w:color w:val="000000"/>
          <w:sz w:val="32"/>
          <w:szCs w:val="32"/>
        </w:rPr>
        <w:t>1</w:t>
      </w:r>
      <w:r>
        <w:rPr>
          <w:rFonts w:hint="eastAsia" w:ascii="仿宋_GB2312" w:hAnsi="仿宋_GB2312" w:eastAsia="仿宋_GB2312" w:cs="仿宋_GB2312"/>
          <w:b/>
          <w:color w:val="000000"/>
          <w:sz w:val="32"/>
          <w:szCs w:val="32"/>
        </w:rPr>
        <w:t>.</w:t>
      </w:r>
      <w:r>
        <w:rPr>
          <w:rFonts w:ascii="仿宋_GB2312" w:hAnsi="仿宋_GB2312" w:eastAsia="仿宋_GB2312" w:cs="仿宋_GB2312"/>
          <w:b/>
          <w:color w:val="000000"/>
          <w:sz w:val="32"/>
          <w:szCs w:val="32"/>
        </w:rPr>
        <w:t>现代商贸业</w:t>
      </w:r>
    </w:p>
    <w:p>
      <w:pPr>
        <w:spacing w:line="560" w:lineRule="exact"/>
        <w:ind w:firstLine="640"/>
        <w:jc w:val="left"/>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以环境高端化、服务高端化、商品高端化为方向，构建现代商贸流通服务体系，发展时尚消费、休闲消费，推广直销、特许经营、连锁经营、品牌专营等新型商业模式。加强传统产业与电子商务等新型产业的融合发展，发展商品消费、旅游消费、文化消费等综合消费模式。</w:t>
      </w:r>
      <w:r>
        <w:rPr>
          <w:rFonts w:hint="eastAsia" w:ascii="仿宋_GB2312" w:hAnsi="仿宋_GB2312" w:eastAsia="仿宋_GB2312" w:cs="仿宋_GB2312"/>
          <w:color w:val="000000"/>
          <w:sz w:val="32"/>
          <w:szCs w:val="32"/>
        </w:rPr>
        <w:t>高质量发展商圈经济，引导七彩云南第壹城、置信银河广场、滇池明珠广场、涌鑫哈佛中心、新都昌商业广场、呈贡万达广场、 呈贡吾悦广场等商圈错位发展，积极推动特色商业街区、商贸集聚区、专业市场、社区商业发展。</w:t>
      </w:r>
      <w:r>
        <w:rPr>
          <w:rFonts w:ascii="仿宋_GB2312" w:hAnsi="仿宋_GB2312" w:eastAsia="仿宋_GB2312" w:cs="仿宋_GB2312"/>
          <w:color w:val="000000"/>
          <w:sz w:val="32"/>
          <w:szCs w:val="32"/>
        </w:rPr>
        <w:t>鼓励现代商贸业由基础性服务向高附加值服务转型升级。到2025年，现代商贸业增加值占服务业增加值比重达到30%左右，全社会消费品零售额年均增长8%以上。积极吸引国内知名商贸企业和商贸品牌落户呈贡，支持本地商贸领军企业转型升级。鼓励企业利用物联网、大数据、云计算、区块链等现代技术手段，发展智慧新模式，加强现代商贸物流信息平台建设，全面提升现代商贸运行效率和服务水平。</w:t>
      </w:r>
    </w:p>
    <w:p>
      <w:pPr>
        <w:spacing w:line="560" w:lineRule="exact"/>
        <w:ind w:firstLine="643"/>
        <w:jc w:val="left"/>
        <w:rPr>
          <w:rFonts w:ascii="仿宋_GB2312" w:hAnsi="仿宋_GB2312" w:eastAsia="仿宋_GB2312" w:cs="仿宋_GB2312"/>
          <w:b/>
          <w:color w:val="000000"/>
          <w:sz w:val="32"/>
          <w:szCs w:val="32"/>
        </w:rPr>
      </w:pPr>
      <w:r>
        <w:rPr>
          <w:rFonts w:ascii="仿宋_GB2312" w:hAnsi="仿宋_GB2312" w:eastAsia="仿宋_GB2312" w:cs="仿宋_GB2312"/>
          <w:b/>
          <w:color w:val="000000"/>
          <w:sz w:val="32"/>
          <w:szCs w:val="32"/>
        </w:rPr>
        <w:t>2</w:t>
      </w:r>
      <w:r>
        <w:rPr>
          <w:rFonts w:hint="eastAsia" w:ascii="仿宋_GB2312" w:hAnsi="仿宋_GB2312" w:eastAsia="仿宋_GB2312" w:cs="仿宋_GB2312"/>
          <w:b/>
          <w:color w:val="000000"/>
          <w:sz w:val="32"/>
          <w:szCs w:val="32"/>
        </w:rPr>
        <w:t>.</w:t>
      </w:r>
      <w:r>
        <w:rPr>
          <w:rFonts w:ascii="仿宋_GB2312" w:hAnsi="仿宋_GB2312" w:eastAsia="仿宋_GB2312" w:cs="仿宋_GB2312"/>
          <w:b/>
          <w:color w:val="000000"/>
          <w:sz w:val="32"/>
          <w:szCs w:val="32"/>
        </w:rPr>
        <w:t>信息服务业</w:t>
      </w:r>
    </w:p>
    <w:p>
      <w:pPr>
        <w:spacing w:line="560" w:lineRule="exact"/>
        <w:ind w:firstLine="64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以建设“智慧呈贡”为目标，抓住新一代信息技术在推动经济社会发展中的制高点作用，促进产业信息化，突出发展移动互联服务、数据处理和运营、信息技术咨询、数字内容服务、信息安全等高端业态。争取到2025年，信息传输、软件和信息技术服务业营业收入达到100亿元以上，</w:t>
      </w:r>
      <w:r>
        <w:rPr>
          <w:rFonts w:ascii="Times New Roman" w:hAnsi="仿宋_GB2312" w:eastAsia="仿宋_GB2312" w:cs="仿宋_GB2312"/>
          <w:color w:val="000000"/>
          <w:sz w:val="32"/>
          <w:szCs w:val="32"/>
        </w:rPr>
        <w:t>年均增长25%以上。</w:t>
      </w:r>
      <w:r>
        <w:rPr>
          <w:rFonts w:ascii="仿宋_GB2312" w:hAnsi="仿宋_GB2312" w:eastAsia="仿宋_GB2312" w:cs="仿宋_GB2312"/>
          <w:color w:val="000000"/>
          <w:sz w:val="32"/>
          <w:szCs w:val="32"/>
        </w:rPr>
        <w:t>信息服务业增加值占生产总值比重达到3%以上。按照省委、省政府“把昆明呈贡信息产业园区建设成云南的数字经济开发区、大数据中心、信息产业的高地和核心园区”的要求，适度超前建设基础设施和5G基地、千兆光纤，确保到2022年前实现“七通一平”，建设覆盖全省、布局合理、与全球信息高速公路接轨的信息化基础设施。围绕产业发展定位，强化招商选资、招大引强，重点瞄准世界500强、中国500强、央企和知名民企等龙头企业。2025年，力争引进企业达1000家，在呈贡区落户的500强企业增至8家；2035年，引进企业达15000家，在呈贡区落户的500强企业增至15家。以云计算、大数据、软件开发及信息服务业为重点，积极引入国内外知名企业，建成面向南亚东南亚的国际通信枢纽和区域信息汇集中心平台，打造云南省政府信息服务大数据中心、跨境电子商务大数据中心、区域性金融大数据中心。加快智能机器人、“互联网+”、移动互联网、软件和现代信息服务业等产业协同发展，将园区打造成为辐射南亚东南亚区域性国际信息服务中心和数字经济开发区。</w:t>
      </w:r>
    </w:p>
    <w:p>
      <w:pPr>
        <w:spacing w:line="560" w:lineRule="exact"/>
        <w:ind w:firstLine="643"/>
        <w:jc w:val="left"/>
        <w:rPr>
          <w:rFonts w:ascii="仿宋_GB2312" w:hAnsi="仿宋_GB2312" w:eastAsia="仿宋_GB2312" w:cs="仿宋_GB2312"/>
          <w:b/>
          <w:color w:val="000000"/>
          <w:sz w:val="32"/>
          <w:szCs w:val="32"/>
        </w:rPr>
      </w:pPr>
      <w:r>
        <w:rPr>
          <w:rFonts w:ascii="仿宋_GB2312" w:hAnsi="仿宋_GB2312" w:eastAsia="仿宋_GB2312" w:cs="仿宋_GB2312"/>
          <w:b/>
          <w:color w:val="000000"/>
          <w:sz w:val="32"/>
          <w:szCs w:val="32"/>
        </w:rPr>
        <w:t>3</w:t>
      </w:r>
      <w:r>
        <w:rPr>
          <w:rFonts w:hint="eastAsia" w:ascii="仿宋_GB2312" w:hAnsi="仿宋_GB2312" w:eastAsia="仿宋_GB2312" w:cs="仿宋_GB2312"/>
          <w:b/>
          <w:color w:val="000000"/>
          <w:sz w:val="32"/>
          <w:szCs w:val="32"/>
        </w:rPr>
        <w:t>.</w:t>
      </w:r>
      <w:r>
        <w:rPr>
          <w:rFonts w:ascii="仿宋_GB2312" w:hAnsi="仿宋_GB2312" w:eastAsia="仿宋_GB2312" w:cs="仿宋_GB2312"/>
          <w:b/>
          <w:color w:val="000000"/>
          <w:sz w:val="32"/>
          <w:szCs w:val="32"/>
        </w:rPr>
        <w:t>花卉服务业</w:t>
      </w:r>
    </w:p>
    <w:p>
      <w:pPr>
        <w:spacing w:line="560" w:lineRule="exact"/>
        <w:ind w:firstLine="643"/>
        <w:jc w:val="left"/>
        <w:rPr>
          <w:rFonts w:hint="eastAsia" w:ascii="仿宋_GB2312" w:hAnsi="仿宋_GB2312" w:eastAsia="仿宋_GB2312" w:cs="仿宋_GB2312"/>
          <w:b/>
          <w:color w:val="000000"/>
          <w:sz w:val="32"/>
          <w:szCs w:val="32"/>
        </w:rPr>
      </w:pPr>
      <w:r>
        <w:rPr>
          <w:rFonts w:ascii="仿宋_GB2312" w:hAnsi="仿宋_GB2312" w:eastAsia="仿宋_GB2312" w:cs="仿宋_GB2312"/>
          <w:b w:val="0"/>
          <w:i w:val="0"/>
          <w:color w:val="000000"/>
          <w:spacing w:val="0"/>
          <w:sz w:val="32"/>
          <w:szCs w:val="32"/>
        </w:rPr>
        <w:t>加快推进“数字斗南”“科技斗南”“宜业斗南”“美丽斗南”建设，围绕“品种、品质、品牌”三个重点，激发园区花卉产业创新发展活力，健全花卉供应链体系，提升改造传统花卉种植模式，优化花卉产业发展结构。</w:t>
      </w:r>
      <w:r>
        <w:rPr>
          <w:rFonts w:ascii="仿宋_GB2312" w:hAnsi="仿宋_GB2312" w:eastAsia="仿宋_GB2312" w:cs="仿宋_GB2312"/>
          <w:color w:val="000000"/>
          <w:sz w:val="32"/>
          <w:szCs w:val="32"/>
        </w:rPr>
        <w:t>进一步提升园区服务能力和管理运营能力，加快花卉交易、花卉衍生品及其相关行业的集聚化发展。扩大斗南花卉品牌效应，推动花卉产业和旅游产业融合发展，建设集鲜花采买、花木工艺、娱乐表演、亲子体验、旅游购物、文玩软装等活动于一体的互动式文化旅游园区。以打造斗南花卉主题休闲体验区、斗南花卉康体养生中心为支点，形成集吃、住、娱、购、行、游于一体的体验式旅游文化产业、24 小时游憩式艺术商业街区；围绕花卉、文创、旅游、购物、娱乐等主题，形成集旅游观光、花卉精品、文创艺术、旅游商品、家居用品、海洋公园、主题酒店、休闲娱乐、特色餐饮、生活中心为一体的文化艺术综合体。</w:t>
      </w:r>
      <w:r>
        <w:rPr>
          <w:rFonts w:ascii="仿宋_GB2312" w:hAnsi="仿宋_GB2312" w:eastAsia="仿宋_GB2312" w:cs="仿宋_GB2312"/>
          <w:color w:val="000000"/>
          <w:spacing w:val="0"/>
          <w:sz w:val="32"/>
          <w:szCs w:val="32"/>
          <w:rtl w:val="0"/>
        </w:rPr>
        <w:t>力争</w:t>
      </w:r>
      <w:r>
        <w:rPr>
          <w:rFonts w:ascii="Times New Roman" w:hAnsi="仿宋" w:eastAsia="仿宋" w:cs="仿宋"/>
          <w:color w:val="000000"/>
          <w:spacing w:val="0"/>
          <w:sz w:val="32"/>
          <w:szCs w:val="32"/>
          <w:rtl w:val="0"/>
        </w:rPr>
        <w:t>2025</w:t>
      </w:r>
      <w:r>
        <w:rPr>
          <w:rFonts w:ascii="仿宋_GB2312" w:hAnsi="仿宋_GB2312" w:eastAsia="仿宋_GB2312" w:cs="仿宋_GB2312"/>
          <w:color w:val="000000"/>
          <w:spacing w:val="0"/>
          <w:sz w:val="32"/>
          <w:szCs w:val="32"/>
          <w:rtl w:val="0"/>
        </w:rPr>
        <w:t>年斗南花卉的交易量达到</w:t>
      </w:r>
      <w:r>
        <w:rPr>
          <w:rFonts w:ascii="Times New Roman" w:hAnsi="仿宋" w:eastAsia="仿宋" w:cs="仿宋"/>
          <w:color w:val="000000"/>
          <w:spacing w:val="0"/>
          <w:sz w:val="32"/>
          <w:szCs w:val="32"/>
          <w:rtl w:val="0"/>
        </w:rPr>
        <w:t>130</w:t>
      </w:r>
      <w:r>
        <w:rPr>
          <w:rFonts w:ascii="仿宋_GB2312" w:hAnsi="仿宋_GB2312" w:eastAsia="仿宋_GB2312" w:cs="仿宋_GB2312"/>
          <w:color w:val="000000"/>
          <w:spacing w:val="0"/>
          <w:sz w:val="32"/>
          <w:szCs w:val="32"/>
          <w:rtl w:val="0"/>
        </w:rPr>
        <w:t>亿枝，超过荷兰阿斯米尔成为全球最大鲜切花交易市场，真正成为世界第一的花卉交易中心。用5-10年的时间，推进斗南花卉在科技创新、宜商宜居环境、国际竞争力企业、品牌影响力等综合指标达到国际一流水平，成为全球最具影响力的鲜花交易中心</w:t>
      </w:r>
    </w:p>
    <w:p>
      <w:pPr>
        <w:spacing w:line="560" w:lineRule="exact"/>
        <w:ind w:firstLine="643"/>
        <w:jc w:val="left"/>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4.</w:t>
      </w:r>
      <w:r>
        <w:rPr>
          <w:rFonts w:ascii="仿宋_GB2312" w:hAnsi="仿宋_GB2312" w:eastAsia="仿宋_GB2312" w:cs="仿宋_GB2312"/>
          <w:b/>
          <w:color w:val="000000"/>
          <w:sz w:val="32"/>
          <w:szCs w:val="32"/>
        </w:rPr>
        <w:t>康养服务业</w:t>
      </w:r>
    </w:p>
    <w:p>
      <w:pPr>
        <w:spacing w:line="560" w:lineRule="exact"/>
        <w:ind w:firstLine="640"/>
        <w:rPr>
          <w:rFonts w:hint="eastAsia" w:ascii="仿宋_GB2312" w:hAnsi="仿宋_GB2312" w:eastAsia="仿宋_GB2312" w:cs="仿宋_GB2312"/>
          <w:b/>
          <w:color w:val="000000"/>
          <w:sz w:val="32"/>
          <w:szCs w:val="32"/>
        </w:rPr>
      </w:pPr>
      <w:r>
        <w:rPr>
          <w:rFonts w:ascii="仿宋_GB2312" w:hAnsi="仿宋_GB2312" w:eastAsia="仿宋_GB2312" w:cs="仿宋_GB2312"/>
          <w:color w:val="000000"/>
          <w:sz w:val="32"/>
          <w:szCs w:val="32"/>
        </w:rPr>
        <w:t>以维护和促进人民群众身心健康为目标，实施美丽呈贡、康养新区发展战略，优化发展布局，创新发展模式，不断满足人民群众多层次、多样化的健康服务需求。建立覆盖全生命周期、内涵丰富、结构合理的康养服务业体系，推动健康需求从传统、单一的医疗治疗型向疾病预防型、保健型和健康促进型转变，突出发展高端医疗、健康管理、智慧医疗、基因检测、养生保健等高端业态，推广医养结合特色养老服务。到2025年，健康养老服务业增加值50亿元以上，占生产总值比重达到5%以上，大健康产业基本建成并形成良好经济社会效益。依托信息产业园健康云服务平台、基因大数据库、生物医药大数据中心等智慧医疗平台，加强健康医疗大数据采集、存储以及应用支持和营运维护技术保障，打通数据资源共享通道，促进精准医疗、互联网医疗、健康管理、健康咨询等产业的发展，打造一流智慧康养高地。充分利用辖区湿地公园、滇池风光、入滇河道、休闲度假、体育训练基地等资源，在保护的前提下进行合理布局，有序开发，逐步形成“环滇慢行系统”、“候鸟式养老养生”、“高原康体”为一体的休闲养生带，打造一流康养胜地。依托斗南“亚洲花都”的品牌影响力，将花卉产业融入医学美容、康复疗养、休闲旅游、健康颐养等领域，实现花卉、文化、健康休闲、养生保健等产业的融合发展，打造高品质康养福地，全市乃至全省的老有颐养典范，国内一流健康生活目的地。依托呈贡区高原气候特色和“云南省呈贡体育训练基地”的影响力，开展高原马拉松、环滇池自行车赛、高原足球训练、山地户外运动等运动赛事品牌，并通过建设步行道、自行车道、健身馆、训练场</w:t>
      </w:r>
      <w:r>
        <w:rPr>
          <w:rFonts w:ascii="仿宋_GB2312" w:hAnsi="仿宋_GB2312" w:eastAsia="仿宋_GB2312" w:cs="仿宋_GB2312"/>
          <w:color w:val="000000"/>
          <w:spacing w:val="-6"/>
          <w:sz w:val="32"/>
          <w:szCs w:val="32"/>
        </w:rPr>
        <w:t>等高原健身的运动设施，促进“全民健身”与高原康养产业的深度融合，</w:t>
      </w:r>
      <w:r>
        <w:rPr>
          <w:rFonts w:ascii="仿宋_GB2312" w:hAnsi="仿宋_GB2312" w:eastAsia="仿宋_GB2312" w:cs="仿宋_GB2312"/>
          <w:color w:val="000000"/>
          <w:sz w:val="32"/>
          <w:szCs w:val="32"/>
        </w:rPr>
        <w:t>打造一流的体育带动型康养基地。</w:t>
      </w:r>
    </w:p>
    <w:p>
      <w:pPr>
        <w:spacing w:line="560" w:lineRule="exact"/>
        <w:ind w:firstLine="643"/>
        <w:jc w:val="left"/>
        <w:rPr>
          <w:rFonts w:ascii="仿宋_GB2312" w:hAnsi="仿宋_GB2312" w:eastAsia="仿宋_GB2312" w:cs="仿宋_GB2312"/>
          <w:b/>
          <w:color w:val="000000"/>
          <w:sz w:val="32"/>
          <w:szCs w:val="32"/>
        </w:rPr>
      </w:pPr>
      <w:r>
        <w:rPr>
          <w:rFonts w:ascii="仿宋_GB2312" w:hAnsi="仿宋_GB2312" w:eastAsia="仿宋_GB2312" w:cs="仿宋_GB2312"/>
          <w:b/>
          <w:color w:val="000000"/>
          <w:sz w:val="32"/>
          <w:szCs w:val="32"/>
        </w:rPr>
        <w:t>5.教育服务业</w:t>
      </w:r>
    </w:p>
    <w:p>
      <w:pPr>
        <w:spacing w:line="560" w:lineRule="exact"/>
        <w:ind w:firstLine="643"/>
        <w:jc w:val="left"/>
        <w:rPr>
          <w:rFonts w:ascii="Times New Roman" w:hAnsi="仿宋_GB2312" w:eastAsia="仿宋_GB2312" w:cs="仿宋_GB2312"/>
          <w:color w:val="000000"/>
          <w:sz w:val="32"/>
          <w:szCs w:val="32"/>
        </w:rPr>
      </w:pPr>
      <w:r>
        <w:rPr>
          <w:rFonts w:ascii="Times New Roman" w:hAnsi="仿宋_GB2312" w:eastAsia="仿宋_GB2312" w:cs="仿宋_GB2312"/>
          <w:color w:val="000000"/>
          <w:sz w:val="32"/>
          <w:szCs w:val="32"/>
        </w:rPr>
        <w:t>继续深入实施教育发展“321”计划和“三名工程”，加强名校培育和引进工作，努力实现“教育资源全面优质，课程实施全面多样，学校文化积淀深厚，办学特色个性鲜明”的办学目标；探索引进优秀教师路径，加大名师、名长引进力度，发挥名师名长引领示范作用。创新合作办学机制，对政府新建的学校引入优质学校合作办学，提升办学的公益性、公平性和均衡性。对住宅项目配套的学校探索政府、学校、企业三方合作办学模式。力争到2025年基本实现呈贡教育发展“321”目标。通过发展教育服务业，拉动现代服务业的发展。</w:t>
      </w:r>
    </w:p>
    <w:p>
      <w:pPr>
        <w:spacing w:line="560" w:lineRule="exact"/>
        <w:ind w:firstLine="643"/>
        <w:jc w:val="left"/>
        <w:rPr>
          <w:rFonts w:ascii="仿宋_GB2312" w:hAnsi="仿宋_GB2312" w:eastAsia="仿宋_GB2312" w:cs="仿宋_GB2312"/>
          <w:color w:val="000000"/>
          <w:sz w:val="32"/>
          <w:szCs w:val="32"/>
        </w:rPr>
      </w:pPr>
      <w:r>
        <w:rPr>
          <w:rFonts w:ascii="仿宋_GB2312" w:hAnsi="仿宋_GB2312" w:eastAsia="仿宋_GB2312" w:cs="仿宋_GB2312"/>
          <w:b/>
          <w:color w:val="000000"/>
          <w:sz w:val="32"/>
          <w:szCs w:val="32"/>
        </w:rPr>
        <w:t>6.文化创意业</w:t>
      </w:r>
    </w:p>
    <w:p>
      <w:pPr>
        <w:spacing w:line="560" w:lineRule="exact"/>
        <w:ind w:firstLine="64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坚持以社会主义核心价值观为引领，以满足人民群众多样化多层次多方面精神文化需求为目标，实施文化强区发展战略，</w:t>
      </w:r>
      <w:r>
        <w:rPr>
          <w:rFonts w:hint="eastAsia" w:ascii="仿宋_GB2312" w:hAnsi="仿宋_GB2312" w:eastAsia="仿宋_GB2312" w:cs="仿宋_GB2312"/>
          <w:color w:val="000000"/>
          <w:sz w:val="32"/>
          <w:szCs w:val="32"/>
        </w:rPr>
        <w:t>挖掘呈贡的文化内涵和独特品质，</w:t>
      </w:r>
      <w:r>
        <w:rPr>
          <w:rFonts w:ascii="仿宋_GB2312" w:hAnsi="仿宋_GB2312" w:eastAsia="仿宋_GB2312" w:cs="仿宋_GB2312"/>
          <w:color w:val="000000"/>
          <w:sz w:val="32"/>
          <w:szCs w:val="32"/>
        </w:rPr>
        <w:t>壮大产业规模，培育具有呈贡特色的文化创意产业体系，促进文化创意与</w:t>
      </w:r>
      <w:r>
        <w:rPr>
          <w:rFonts w:hint="eastAsia" w:ascii="仿宋_GB2312" w:hAnsi="仿宋_GB2312" w:eastAsia="仿宋_GB2312" w:cs="仿宋_GB2312"/>
          <w:color w:val="000000"/>
          <w:sz w:val="32"/>
          <w:szCs w:val="32"/>
        </w:rPr>
        <w:t>高原特色农业、</w:t>
      </w:r>
      <w:r>
        <w:rPr>
          <w:rFonts w:ascii="仿宋_GB2312" w:hAnsi="仿宋_GB2312" w:eastAsia="仿宋_GB2312" w:cs="仿宋_GB2312"/>
          <w:color w:val="000000"/>
          <w:sz w:val="32"/>
          <w:szCs w:val="32"/>
        </w:rPr>
        <w:t>旅游、金融等多领域</w:t>
      </w:r>
      <w:r>
        <w:rPr>
          <w:rFonts w:hint="eastAsia" w:ascii="仿宋_GB2312" w:hAnsi="仿宋_GB2312" w:eastAsia="仿宋_GB2312" w:cs="仿宋_GB2312"/>
          <w:color w:val="000000"/>
          <w:sz w:val="32"/>
          <w:szCs w:val="32"/>
        </w:rPr>
        <w:t>产业</w:t>
      </w:r>
      <w:r>
        <w:rPr>
          <w:rFonts w:ascii="仿宋_GB2312" w:hAnsi="仿宋_GB2312" w:eastAsia="仿宋_GB2312" w:cs="仿宋_GB2312"/>
          <w:color w:val="000000"/>
          <w:sz w:val="32"/>
          <w:szCs w:val="32"/>
        </w:rPr>
        <w:t>有机融合。推动数字技术在新媒体、影视动漫、游戏电竞、数字设计、广告出版等文化创意领域的应用，积极发展数字出版、网络视听、移动多媒体、动漫游戏、网络音乐、网络文学、创意设计等新兴产业。鼓励文化企业联合重组，打造文化产业集团。借助驻区高校在民族文化创意、非通用语言翻译、文化传媒、动漫游戏、影视制作、广告设计等文化创意方面的学科优势，积极引入国内外知名文化传媒企业，加快打造对外文化交流合作基地。</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十四五”时期，文化产业增加值年均增长10%以上，到2025年，文化产业增加值力争达到33亿元，占全区GDP的比重达到5%以上。规模以上文化企业不少于40家。力争建成文化产业园区（基地）5个，其中：有国家级文化产业园区（基地）落户呈贡，省级、市级文化产业园区（基地）4家以上。力争打造城市文化名片2～3个，1～2家文化及相关产业企业挂牌上市，产值 10亿元以上的文化及相关产业企业4家以上。</w:t>
      </w:r>
    </w:p>
    <w:p>
      <w:pPr>
        <w:spacing w:line="560" w:lineRule="exact"/>
        <w:ind w:firstLine="643"/>
        <w:rPr>
          <w:rFonts w:ascii="仿宋_GB2312" w:hAnsi="仿宋_GB2312" w:eastAsia="仿宋_GB2312" w:cs="仿宋_GB2312"/>
          <w:b/>
          <w:color w:val="000000"/>
          <w:sz w:val="32"/>
          <w:szCs w:val="32"/>
        </w:rPr>
      </w:pPr>
      <w:r>
        <w:rPr>
          <w:rFonts w:ascii="仿宋_GB2312" w:hAnsi="仿宋_GB2312" w:eastAsia="仿宋_GB2312" w:cs="仿宋_GB2312"/>
          <w:b/>
          <w:color w:val="000000"/>
          <w:sz w:val="32"/>
          <w:szCs w:val="32"/>
        </w:rPr>
        <w:t>7.旅游服务业</w:t>
      </w:r>
    </w:p>
    <w:p>
      <w:pPr>
        <w:spacing w:line="560" w:lineRule="exact"/>
        <w:ind w:firstLine="640"/>
        <w:jc w:val="left"/>
        <w:rPr>
          <w:rFonts w:hint="eastAsia" w:ascii="仿宋_GB2312" w:hAnsi="仿宋_GB2312" w:eastAsia="仿宋_GB2312" w:cs="仿宋_GB2312"/>
          <w:b/>
          <w:color w:val="000000"/>
          <w:sz w:val="32"/>
          <w:szCs w:val="32"/>
        </w:rPr>
      </w:pPr>
      <w:r>
        <w:rPr>
          <w:rFonts w:ascii="仿宋_GB2312" w:hAnsi="仿宋_GB2312" w:eastAsia="仿宋_GB2312" w:cs="仿宋_GB2312"/>
          <w:color w:val="000000"/>
          <w:sz w:val="32"/>
          <w:szCs w:val="32"/>
        </w:rPr>
        <w:t>把握大众旅游时代多样化、多层次消费新需求，构建与国际接轨的旅游服务体系，推动“旅游城市”向“城市旅游”跨越。充分发挥呈贡人文、历史、自然、生态资源优势，</w:t>
      </w:r>
      <w:r>
        <w:rPr>
          <w:rFonts w:hint="eastAsia" w:ascii="仿宋_GB2312" w:hAnsi="仿宋_GB2312" w:eastAsia="仿宋_GB2312" w:cs="仿宋_GB2312"/>
          <w:color w:val="000000"/>
          <w:sz w:val="32"/>
          <w:szCs w:val="32"/>
        </w:rPr>
        <w:t>结合公园城市、斗南花卉小镇、三台山文化景观、万溪生态花园、滇池康体旅游休闲带等旅游名片的打造，</w:t>
      </w:r>
      <w:r>
        <w:rPr>
          <w:rFonts w:ascii="仿宋_GB2312" w:hAnsi="仿宋_GB2312" w:eastAsia="仿宋_GB2312" w:cs="仿宋_GB2312"/>
          <w:color w:val="000000"/>
          <w:sz w:val="32"/>
          <w:szCs w:val="32"/>
        </w:rPr>
        <w:t>在推动全域旅游进程中实现自然风光游、历史文化游、生态健康游等主题游创新发展</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放大“一部手机游云南”效应，依托现代技术手段特别是数字技术手段有效提升旅游企业竞争力和服务水平。力争到“十四五”末，全区旅游产业总收入达到60亿元，旅游业增加值占生产总值比重达6%以上，旅游产业成为全区现代服务业重要支柱产业和惠及全民的幸福导向型产业。整合区域旅游资源，实施“旅游+”战略，以旅游产业为核心，通过资源、产品、市场的整合，加强旅游业与农业、林业、工业、科技、文化、体育、健康、医疗等产业深度融合，推动旅游基础设施的共建共享，打造田园综合体、户外目的地、康养基地等新业态。</w:t>
      </w:r>
    </w:p>
    <w:p>
      <w:pPr>
        <w:spacing w:line="560" w:lineRule="exact"/>
        <w:ind w:firstLine="643"/>
        <w:jc w:val="left"/>
        <w:rPr>
          <w:rFonts w:ascii="仿宋_GB2312" w:hAnsi="仿宋_GB2312" w:eastAsia="仿宋_GB2312" w:cs="仿宋_GB2312"/>
          <w:b/>
          <w:color w:val="000000"/>
          <w:sz w:val="32"/>
          <w:szCs w:val="32"/>
        </w:rPr>
      </w:pPr>
      <w:r>
        <w:rPr>
          <w:rFonts w:ascii="仿宋_GB2312" w:hAnsi="仿宋_GB2312" w:eastAsia="仿宋_GB2312" w:cs="仿宋_GB2312"/>
          <w:b/>
          <w:color w:val="000000"/>
          <w:sz w:val="32"/>
          <w:szCs w:val="32"/>
        </w:rPr>
        <w:t>8.现代金融业</w:t>
      </w:r>
    </w:p>
    <w:p>
      <w:pPr>
        <w:spacing w:line="560" w:lineRule="exact"/>
        <w:ind w:firstLine="640"/>
        <w:jc w:val="left"/>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紧紧抓住昆明市作为云南省沿边金融综合改革试验区核心区的重大战略机遇，以呈贡金融产业园区等载体为依托，增强现代金融资源配置能力，推动存量提质增效，实现增量加速扩张，探有效发挥现代金融产业对呈贡高质量发展的支撑和带动作用。到2025年，金融业增加值占生产总值比重超过8%。加快转变金融发展方式，有效提升传统金融综合实力，紧抓消费升级、产业转型、“互联网+”等机遇，加大综合化经营和多元化服务能力，着力培育壮大金融龙头企业，加快建立与区域性国际中心城市核心区地位相适应的现代金融体系与金融服务业高度聚集功能区</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发展财富金融、产业金融、跨境金融新业态，设立民营银行、保险公司、期货公司、证券公司，培育区域性股权、财富管理产品等一批金融交易市场和支付结算、业务运营、资产管理中心。</w:t>
      </w:r>
      <w:r>
        <w:rPr>
          <w:rFonts w:hint="eastAsia" w:ascii="仿宋_GB2312" w:hAnsi="仿宋_GB2312" w:eastAsia="仿宋_GB2312" w:cs="仿宋_GB2312"/>
          <w:color w:val="000000"/>
          <w:sz w:val="32"/>
          <w:szCs w:val="32"/>
        </w:rPr>
        <w:t>积极吸引国内银行跨境离岸业务中心落户呈贡，引导东盟特别是南亚东南亚国家的金融机构到呈贡设立外资金融机构、国际性或区域性管理总部。</w:t>
      </w:r>
      <w:r>
        <w:rPr>
          <w:rFonts w:ascii="仿宋_GB2312" w:hAnsi="仿宋_GB2312" w:eastAsia="仿宋_GB2312" w:cs="仿宋_GB2312"/>
          <w:color w:val="000000"/>
          <w:sz w:val="32"/>
          <w:szCs w:val="32"/>
        </w:rPr>
        <w:t>实施“创投主体培育工程”，有效培育孵化既具备较高创投资本管理能力又熟悉本地创业环境和产业特点的一批天使投资、风险投资和私募股权投资机构和投资人。探索科技型创业企业金融服务新模式，通过“政府引导、银企互动、投贷联动”模式，支持金融机构以“小股权、大债权”方式为创新创业活动提供股权和债权相结合的融资服务。引导金融机构加强大数据、云计算、区块链等金融科技应用，建设金融服务联盟，打造普惠金融服务平台，提供信息、资金、产品等全方位金融服务。</w:t>
      </w:r>
    </w:p>
    <w:p>
      <w:pPr>
        <w:spacing w:line="560" w:lineRule="exact"/>
        <w:ind w:firstLine="643"/>
        <w:jc w:val="left"/>
        <w:rPr>
          <w:rFonts w:ascii="仿宋_GB2312" w:hAnsi="仿宋_GB2312" w:eastAsia="仿宋_GB2312" w:cs="仿宋_GB2312"/>
          <w:b/>
          <w:color w:val="000000"/>
          <w:sz w:val="32"/>
          <w:szCs w:val="32"/>
        </w:rPr>
      </w:pPr>
      <w:r>
        <w:rPr>
          <w:rFonts w:ascii="仿宋_GB2312" w:hAnsi="仿宋_GB2312" w:eastAsia="仿宋_GB2312" w:cs="仿宋_GB2312"/>
          <w:b/>
          <w:color w:val="000000"/>
          <w:sz w:val="32"/>
          <w:szCs w:val="32"/>
        </w:rPr>
        <w:t>9</w:t>
      </w:r>
      <w:r>
        <w:rPr>
          <w:rFonts w:hint="eastAsia" w:ascii="仿宋_GB2312" w:hAnsi="仿宋_GB2312" w:eastAsia="仿宋_GB2312" w:cs="仿宋_GB2312"/>
          <w:b/>
          <w:color w:val="000000"/>
          <w:sz w:val="32"/>
          <w:szCs w:val="32"/>
        </w:rPr>
        <w:t>.</w:t>
      </w:r>
      <w:r>
        <w:rPr>
          <w:rFonts w:ascii="仿宋_GB2312" w:hAnsi="仿宋_GB2312" w:eastAsia="仿宋_GB2312" w:cs="仿宋_GB2312"/>
          <w:b/>
          <w:color w:val="000000"/>
          <w:sz w:val="32"/>
          <w:szCs w:val="32"/>
        </w:rPr>
        <w:t>电子商务业</w:t>
      </w:r>
    </w:p>
    <w:p>
      <w:pPr>
        <w:spacing w:line="560" w:lineRule="exact"/>
        <w:ind w:firstLine="64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依托昆呈贡特色产业优势，壮大电子商务产业规模，普及深化电子商务应用，提升发展传统网络零售，培育发展跨境电商、生活服务电商等新业态，打造“电子商务创新基地”。做强网络零售电商龙头，支持具备成长潜力的电商企业做大规模、做强品牌；扶持中小型电商企业发展差异化领域、提升运营效率，推动本地中小电商企业接轨电商新模式、新做法；依托电商龙头构建电商产业协作平台，为中小企业提供店铺装修、商品展示、美工等运营辅助服务。努力建设集交易、融资、培训、创新、创业等多业态为一体的电子商务创新孵化器。加快跨境电子商务发展，不断扩大跨境电子商务交易规模。“十四五”期间，电子商务交易规模年均增长率达到15%以上，到2025年，引进和培育5家以上销售过亿元的电商骨干企业。引进社区电商企业，整合日用品购物、餐饮、生活消费、家政、就业等服务资源，构建便民电子商务服务体系。支持O2O社区便民店建设，依托社区超市、便利店推进线上线下融合发展。</w:t>
      </w:r>
    </w:p>
    <w:p>
      <w:pPr>
        <w:spacing w:line="560" w:lineRule="exact"/>
        <w:ind w:firstLine="640"/>
        <w:rPr>
          <w:rFonts w:ascii="仿宋_GB2312" w:hAnsi="仿宋_GB2312" w:eastAsia="仿宋_GB2312" w:cs="仿宋_GB2312"/>
          <w:b/>
          <w:color w:val="000000"/>
          <w:sz w:val="32"/>
          <w:szCs w:val="32"/>
        </w:rPr>
      </w:pPr>
      <w:r>
        <w:rPr>
          <w:rFonts w:ascii="仿宋_GB2312" w:hAnsi="仿宋_GB2312" w:eastAsia="仿宋_GB2312" w:cs="仿宋_GB2312"/>
          <w:b/>
          <w:color w:val="000000"/>
          <w:sz w:val="32"/>
          <w:szCs w:val="32"/>
        </w:rPr>
        <w:t>10.其他业态</w:t>
      </w:r>
    </w:p>
    <w:p>
      <w:pPr>
        <w:shd w:val="clear" w:fill="FFFFFF"/>
        <w:spacing w:before="0" w:after="150" w:line="360" w:lineRule="auto"/>
        <w:ind w:left="0" w:right="0" w:firstLine="640"/>
        <w:jc w:val="both"/>
        <w:rPr>
          <w:rFonts w:ascii="仿宋_GB2312" w:hAnsi="仿宋_GB2312" w:eastAsia="仿宋_GB2312" w:cs="仿宋_GB2312"/>
          <w:b/>
          <w:color w:val="000000"/>
          <w:sz w:val="32"/>
          <w:szCs w:val="32"/>
        </w:rPr>
      </w:pPr>
      <w:r>
        <w:rPr>
          <w:rFonts w:ascii="仿宋_GB2312" w:hAnsi="仿宋_GB2312" w:eastAsia="仿宋_GB2312" w:cs="仿宋_GB2312"/>
          <w:b/>
          <w:i w:val="0"/>
          <w:color w:val="000000"/>
          <w:spacing w:val="0"/>
          <w:sz w:val="32"/>
          <w:szCs w:val="32"/>
        </w:rPr>
        <w:t>高铁经济。</w:t>
      </w:r>
      <w:r>
        <w:rPr>
          <w:rFonts w:ascii="仿宋_GB2312" w:hAnsi="仿宋_GB2312" w:eastAsia="仿宋_GB2312" w:cs="仿宋_GB2312"/>
          <w:b w:val="0"/>
          <w:i w:val="0"/>
          <w:color w:val="000000"/>
          <w:spacing w:val="0"/>
          <w:sz w:val="32"/>
          <w:szCs w:val="32"/>
        </w:rPr>
        <w:t>主动融入“一带一路”</w:t>
      </w:r>
      <w:r>
        <w:rPr>
          <w:rFonts w:hint="eastAsia" w:ascii="仿宋_GB2312" w:hAnsi="仿宋_GB2312" w:eastAsia="仿宋_GB2312" w:cs="仿宋_GB2312"/>
          <w:b w:val="0"/>
          <w:i w:val="0"/>
          <w:color w:val="000000"/>
          <w:spacing w:val="0"/>
          <w:sz w:val="32"/>
          <w:szCs w:val="32"/>
          <w:lang w:eastAsia="zh-CN"/>
        </w:rPr>
        <w:t>倡议</w:t>
      </w:r>
      <w:r>
        <w:rPr>
          <w:rFonts w:ascii="仿宋_GB2312" w:hAnsi="仿宋_GB2312" w:eastAsia="仿宋_GB2312" w:cs="仿宋_GB2312"/>
          <w:b w:val="0"/>
          <w:i w:val="0"/>
          <w:color w:val="000000"/>
          <w:spacing w:val="0"/>
          <w:sz w:val="32"/>
          <w:szCs w:val="32"/>
        </w:rPr>
        <w:t>，挖掘高铁时代为呈贡新区所带来的发展新机遇和新动能，以昆明南站及周边区域为核心，建设泛亚国际服务核心区，重点发展跨境金融、信息科技、花卉交易、旅游集散、健康医疗、外事服务、人文交流等国际服务功能。发挥高铁同城效应，打造呈贡区一小时高铁经济圈。依托以昆明南站为核心的高铁、城际网络建设，加强呈贡区与曲靖、玉溪、楚雄等邻近地区的合作，进一步强化呈贡集聚全省金融总部、服务贸易、商务办公和旅游、健康等核心的中高端服务功能。充分结合规划范围内的要素禀赋和发展基础，建设现代服务业集聚区，打造高铁经济产业化载体。</w:t>
      </w:r>
    </w:p>
    <w:p>
      <w:pPr>
        <w:spacing w:line="560" w:lineRule="exact"/>
        <w:ind w:firstLine="640"/>
        <w:jc w:val="left"/>
        <w:rPr>
          <w:rFonts w:ascii="仿宋_GB2312" w:hAnsi="仿宋_GB2312" w:eastAsia="仿宋_GB2312" w:cs="仿宋_GB2312"/>
          <w:b/>
          <w:color w:val="000000"/>
          <w:sz w:val="32"/>
          <w:szCs w:val="32"/>
        </w:rPr>
      </w:pPr>
      <w:r>
        <w:rPr>
          <w:rFonts w:ascii="仿宋_GB2312" w:hAnsi="仿宋_GB2312" w:eastAsia="仿宋_GB2312" w:cs="仿宋_GB2312"/>
          <w:b/>
          <w:color w:val="000000"/>
          <w:sz w:val="32"/>
          <w:szCs w:val="32"/>
        </w:rPr>
        <w:t>会展服务。</w:t>
      </w:r>
      <w:r>
        <w:rPr>
          <w:rFonts w:ascii="仿宋_GB2312" w:hAnsi="仿宋_GB2312" w:eastAsia="仿宋_GB2312" w:cs="仿宋_GB2312"/>
          <w:color w:val="000000"/>
          <w:sz w:val="32"/>
          <w:szCs w:val="32"/>
        </w:rPr>
        <w:t>推进展、会、节、事一体化发展，促进会展与旅游、商贸、商务、制造等产业深度融合，推广“互联网+”会展新模式，创建高端会展交易平台。争取到2025年，会展业发展环境日益优化，市场化水平显著提升，国际化程度不断提高，培育5个以上具有较高国际影响力的品牌会展活动，国际性会展活动比重达到30%以上。遵循政府引导、市场运作、企业主体的原则，进一步做好做强梨花节、采摘节、中国昆明（国际）花博会、花都艺术节、大学生艺术节、三台山美食文化节、豆腐文化节、农民丰收节、高原特色马拉松赛等文化节庆品牌，搭建文化交流平台，不断提升节庆文化活动的影响力和辐射力。采取“走出去，请进来”等方式，大力拓宽会展专业人才的培养和引进渠道，以驻呈高校或邀请会展专家举办培训等方式，加强对会展从业人员的培养；营造吸引优秀会展人才所需要的软硬件环境，逐步建立人才合理使用机制。加大资金扶持力度，提高会展市场竞争力。把会展业作为宣传城市形象、打造城市名片的重要手段，积极主动报道会展信息，提高企业的参展意识。</w:t>
      </w:r>
    </w:p>
    <w:p>
      <w:pPr>
        <w:spacing w:line="560" w:lineRule="exact"/>
        <w:ind w:firstLine="643"/>
        <w:jc w:val="left"/>
        <w:rPr>
          <w:rFonts w:ascii="仿宋_GB2312" w:hAnsi="仿宋_GB2312" w:eastAsia="仿宋_GB2312" w:cs="仿宋_GB2312"/>
          <w:b/>
          <w:color w:val="000000"/>
          <w:sz w:val="32"/>
          <w:szCs w:val="32"/>
        </w:rPr>
      </w:pPr>
      <w:r>
        <w:rPr>
          <w:rFonts w:ascii="仿宋_GB2312" w:hAnsi="仿宋_GB2312" w:eastAsia="仿宋_GB2312" w:cs="仿宋_GB2312"/>
          <w:b/>
          <w:color w:val="000000"/>
          <w:sz w:val="32"/>
          <w:szCs w:val="32"/>
        </w:rPr>
        <w:t>科技服务。</w:t>
      </w:r>
      <w:r>
        <w:rPr>
          <w:rFonts w:ascii="仿宋_GB2312" w:hAnsi="仿宋_GB2312" w:eastAsia="仿宋_GB2312" w:cs="仿宋_GB2312"/>
          <w:color w:val="000000"/>
          <w:sz w:val="32"/>
          <w:szCs w:val="32"/>
        </w:rPr>
        <w:t>顺应创新全球化的新潮流，推进科技服务向整个“创新链”拓展，重点发展科研与实验发展服务、技术转移服务、检测服务、科技成果转化、知识产权服务。争取到2025年，科技服务业增加值实现50亿元，占生产总值比重达到5%以上，全社会科技研发支出占GDP比重达5%；新增科技创新平台5个以上，打造不少于3个功能合理、定位清晰、特色鲜明的科技服务业集聚区。鼓励研发类企业专业化发展，支持高校、科研机构整合科研资源，提供面向市场的专业研发服务。积极培育市场化新型研发组织、研发中介和研发服务外包新业态，支持产业联盟开展协同创新，推动产业技术研发机构面向产业集群开展技术研发。以创新机制、深化合作为抓手，推动</w:t>
      </w:r>
      <w:bookmarkStart w:id="38" w:name="_Toc19096484"/>
      <w:r>
        <w:rPr>
          <w:rFonts w:ascii="仿宋_GB2312" w:hAnsi="仿宋_GB2312" w:eastAsia="仿宋_GB2312" w:cs="仿宋_GB2312"/>
          <w:color w:val="000000"/>
          <w:sz w:val="32"/>
          <w:szCs w:val="32"/>
        </w:rPr>
        <w:t>校地融合发展。</w:t>
      </w:r>
      <w:bookmarkEnd w:id="38"/>
      <w:r>
        <w:rPr>
          <w:rFonts w:ascii="仿宋_GB2312" w:hAnsi="仿宋_GB2312" w:eastAsia="仿宋_GB2312" w:cs="仿宋_GB2312"/>
          <w:color w:val="000000"/>
          <w:sz w:val="32"/>
          <w:szCs w:val="32"/>
        </w:rPr>
        <w:t>按照“产业园区+高校孵化器+双创基地”的模式，借助驻区高校的学科优势，搭建校地科技成果转化平台。</w:t>
      </w:r>
    </w:p>
    <w:p>
      <w:pPr>
        <w:spacing w:line="560" w:lineRule="exact"/>
        <w:ind w:firstLine="643"/>
        <w:rPr>
          <w:rFonts w:ascii="仿宋_GB2312" w:hAnsi="仿宋_GB2312" w:eastAsia="仿宋_GB2312" w:cs="仿宋_GB2312"/>
          <w:color w:val="000000"/>
          <w:sz w:val="32"/>
          <w:szCs w:val="32"/>
        </w:rPr>
      </w:pPr>
      <w:r>
        <w:rPr>
          <w:rFonts w:ascii="仿宋_GB2312" w:hAnsi="仿宋_GB2312" w:eastAsia="仿宋_GB2312" w:cs="仿宋_GB2312"/>
          <w:b/>
          <w:color w:val="000000"/>
          <w:sz w:val="32"/>
          <w:szCs w:val="32"/>
        </w:rPr>
        <w:t>高端地产。</w:t>
      </w:r>
      <w:r>
        <w:rPr>
          <w:rFonts w:ascii="仿宋_GB2312" w:hAnsi="仿宋_GB2312" w:eastAsia="仿宋_GB2312" w:cs="仿宋_GB2312"/>
          <w:color w:val="000000"/>
          <w:sz w:val="32"/>
          <w:szCs w:val="32"/>
        </w:rPr>
        <w:t>坚持“房子是用来住的、不是用来炒的”定位，加快建立多主体供给、多渠道保障、租购并举的住房制度。做好房地产市场分类调控，规范房地产市场秩序，切实维护消费者合法权益，促进房地产市场平稳、健康、规范、持续发展。顺应大健康、大旅游等产业发展的需要，积极发展文化旅游地产、健康养老地产等商业地产。与发展战略性新兴产业相结合，加强商业写字楼的理性开发，积极发展楼宇经济。加强老旧楼宇、闲置厂房等低效空间的改造提升，挖掘商业地产的空间，提高资源利用效率。加快制定培育和发展住房租赁市场的支持政策，进一步规范住房租赁交易行为，逐步完善住房租赁配套公共服务。鼓励房地产开发龙头企业开展住房租赁业务。规范房地产估价、经纪和咨询等中介服务，加强对中介机构的中介准入、人员资格、机构资质等的管理和核查。鼓励房屋中介机构充分利用AI、大数据、VR等高新技术，提高房源的真实度、房屋经纪人诚信度等管理水平。</w:t>
      </w:r>
    </w:p>
    <w:p>
      <w:pPr>
        <w:spacing w:line="560" w:lineRule="exact"/>
        <w:ind w:firstLine="643"/>
        <w:rPr>
          <w:rFonts w:ascii="仿宋_GB2312" w:hAnsi="仿宋_GB2312" w:eastAsia="仿宋_GB2312" w:cs="仿宋_GB2312"/>
          <w:b w:val="0"/>
          <w:i w:val="0"/>
          <w:color w:val="000000"/>
          <w:spacing w:val="0"/>
          <w:sz w:val="32"/>
          <w:szCs w:val="32"/>
          <w:highlight w:val="white"/>
        </w:rPr>
      </w:pPr>
      <w:r>
        <w:rPr>
          <w:rFonts w:ascii="仿宋_GB2312" w:hAnsi="仿宋_GB2312" w:eastAsia="仿宋_GB2312" w:cs="仿宋_GB2312"/>
          <w:b/>
          <w:i w:val="0"/>
          <w:color w:val="000000"/>
          <w:spacing w:val="0"/>
          <w:sz w:val="32"/>
          <w:szCs w:val="32"/>
          <w:highlight w:val="white"/>
        </w:rPr>
        <w:t>夜间经济。</w:t>
      </w:r>
      <w:r>
        <w:rPr>
          <w:rFonts w:ascii="仿宋_GB2312" w:hAnsi="仿宋_GB2312" w:eastAsia="仿宋_GB2312" w:cs="仿宋_GB2312"/>
          <w:b w:val="0"/>
          <w:i w:val="0"/>
          <w:color w:val="000000"/>
          <w:spacing w:val="0"/>
          <w:sz w:val="32"/>
          <w:szCs w:val="32"/>
          <w:highlight w:val="white"/>
        </w:rPr>
        <w:t>丰富夜间经济业态，逐步培育新消费热点，加快形成一批布局合理、管理规范、各具特色、功能完善的夜间消费集聚区。把斗南花卉、仕林街、花千坊、七彩云南第一城等品牌特色街区打造成为“夜呈贡”消费地标和夜间经济示范点。</w:t>
      </w:r>
    </w:p>
    <w:p>
      <w:pPr>
        <w:spacing w:line="560" w:lineRule="exact"/>
        <w:ind w:firstLine="643"/>
        <w:rPr>
          <w:rFonts w:ascii="仿宋_GB2312" w:hAnsi="仿宋_GB2312" w:eastAsia="仿宋_GB2312" w:cs="仿宋_GB2312"/>
          <w:color w:val="000000"/>
          <w:sz w:val="32"/>
          <w:szCs w:val="32"/>
        </w:rPr>
      </w:pPr>
      <w:r>
        <w:rPr>
          <w:rFonts w:ascii="仿宋_GB2312" w:hAnsi="仿宋_GB2312" w:eastAsia="仿宋_GB2312" w:cs="仿宋_GB2312"/>
          <w:b/>
          <w:color w:val="000000"/>
          <w:sz w:val="32"/>
          <w:szCs w:val="32"/>
        </w:rPr>
        <w:t>平台经济</w:t>
      </w:r>
      <w:r>
        <w:rPr>
          <w:rFonts w:ascii="仿宋_GB2312" w:hAnsi="仿宋_GB2312" w:eastAsia="仿宋_GB2312" w:cs="仿宋_GB2312"/>
          <w:color w:val="000000"/>
          <w:sz w:val="32"/>
          <w:szCs w:val="32"/>
        </w:rPr>
        <w:t>。大力发展“平台+生活”“平台+生产”“平台+交易”。支持平台经济与医疗健康、教育培训、养老家政、文化、旅游、体育等产业深度融合，发展便民服务新业态、新模式；推动互联网平台与新型功能材料、生物医药、先进装备制造等产业集群深度融合，有效提高现有支柱产业数字化水平。建设完善大宗商品交易平台、花卉等特色资源类交易平台、文化艺术品等权益类交易平台，显著提升商品、服务、资源、要素的流通效率。</w:t>
      </w:r>
    </w:p>
    <w:p>
      <w:pPr>
        <w:spacing w:line="560" w:lineRule="exact"/>
        <w:ind w:firstLine="643"/>
        <w:rPr>
          <w:rFonts w:ascii="仿宋_GB2312" w:hAnsi="仿宋_GB2312" w:eastAsia="仿宋_GB2312" w:cs="仿宋_GB2312"/>
          <w:color w:val="000000"/>
          <w:sz w:val="32"/>
          <w:szCs w:val="32"/>
        </w:rPr>
      </w:pPr>
      <w:r>
        <w:rPr>
          <w:rFonts w:ascii="仿宋_GB2312" w:hAnsi="仿宋_GB2312" w:eastAsia="仿宋_GB2312" w:cs="仿宋_GB2312"/>
          <w:b/>
          <w:color w:val="000000"/>
          <w:sz w:val="32"/>
          <w:szCs w:val="32"/>
        </w:rPr>
        <w:t>分享经济</w:t>
      </w:r>
      <w:r>
        <w:rPr>
          <w:rFonts w:ascii="仿宋_GB2312" w:hAnsi="仿宋_GB2312" w:eastAsia="仿宋_GB2312" w:cs="仿宋_GB2312"/>
          <w:color w:val="000000"/>
          <w:sz w:val="32"/>
          <w:szCs w:val="32"/>
        </w:rPr>
        <w:t>。以商务流通、教育、交通出行等领域为重点，推动生活消费领域分享经济新业态、新模式、新产品规范有序发展。推动分享经济模式在重点产业集群和支柱产业的生产环节和研发环节发挥更大作用，实现生产制造、研发试验、维修维护、工业设计等资源的充分利用。</w:t>
      </w:r>
    </w:p>
    <w:p>
      <w:pPr>
        <w:spacing w:line="560" w:lineRule="exact"/>
        <w:ind w:firstLine="643"/>
        <w:rPr>
          <w:rFonts w:ascii="仿宋_GB2312" w:hAnsi="仿宋_GB2312" w:eastAsia="仿宋_GB2312" w:cs="仿宋_GB2312"/>
          <w:color w:val="000000"/>
          <w:sz w:val="32"/>
          <w:szCs w:val="32"/>
        </w:rPr>
      </w:pPr>
      <w:r>
        <w:rPr>
          <w:rFonts w:ascii="仿宋_GB2312" w:hAnsi="仿宋_GB2312" w:eastAsia="仿宋_GB2312" w:cs="仿宋_GB2312"/>
          <w:b/>
          <w:color w:val="000000"/>
          <w:sz w:val="32"/>
          <w:szCs w:val="32"/>
        </w:rPr>
        <w:t>数据共享</w:t>
      </w:r>
      <w:r>
        <w:rPr>
          <w:rFonts w:ascii="仿宋_GB2312" w:hAnsi="仿宋_GB2312" w:eastAsia="仿宋_GB2312" w:cs="仿宋_GB2312"/>
          <w:color w:val="000000"/>
          <w:sz w:val="32"/>
          <w:szCs w:val="32"/>
        </w:rPr>
        <w:t>。加强政府部门与平台经济和分享经济企业的数据共享，为平台经济和分享经济企业依法依规核验经营者、其他参与方的资质信息提供服务保障。畅通政企数据双向流通机制，推动平台经济和分享经济领域尽快建立数据资源确权、流通、交易、应用开发规则和流程。</w:t>
      </w:r>
    </w:p>
    <w:p>
      <w:pPr>
        <w:spacing w:line="560" w:lineRule="exact"/>
        <w:ind w:firstLine="643"/>
        <w:rPr>
          <w:rFonts w:ascii="仿宋_GB2312" w:hAnsi="仿宋_GB2312" w:eastAsia="仿宋_GB2312" w:cs="仿宋_GB2312"/>
          <w:color w:val="000000"/>
          <w:sz w:val="32"/>
          <w:szCs w:val="32"/>
        </w:rPr>
      </w:pPr>
      <w:r>
        <w:rPr>
          <w:rFonts w:ascii="仿宋_GB2312" w:hAnsi="仿宋_GB2312" w:eastAsia="仿宋_GB2312" w:cs="仿宋_GB2312"/>
          <w:b/>
          <w:color w:val="000000"/>
          <w:sz w:val="32"/>
          <w:szCs w:val="32"/>
        </w:rPr>
        <w:t>总部经济。</w:t>
      </w:r>
      <w:r>
        <w:rPr>
          <w:rFonts w:ascii="仿宋_GB2312" w:hAnsi="仿宋_GB2312" w:eastAsia="仿宋_GB2312" w:cs="仿宋_GB2312"/>
          <w:color w:val="000000"/>
          <w:sz w:val="32"/>
          <w:szCs w:val="32"/>
        </w:rPr>
        <w:t>坚持发展总部经济与调整产业结构相结合、培育本地企业总部和引进外来企业总部相结合、发展总部经济与完善城市功能相结合的原则，着力构建有利于总部经济发展的要素生态和政策体系。力争到“十四五”末，全区总部企业数量明显增加，规模效应明显增强，可持续发展能力明显提升，各类企业总部以及各类地区总部、采购中心、研发中心、分拨中心、呼叫中心、财富管理中心和结算中心等职能型总部数量超过  家。</w:t>
      </w:r>
    </w:p>
    <w:p>
      <w:pPr>
        <w:spacing w:line="560" w:lineRule="exact"/>
        <w:ind w:firstLine="643"/>
        <w:rPr>
          <w:rFonts w:ascii="仿宋_GB2312" w:hAnsi="仿宋_GB2312" w:eastAsia="仿宋_GB2312" w:cs="仿宋_GB2312"/>
          <w:color w:val="000000"/>
          <w:sz w:val="32"/>
          <w:szCs w:val="32"/>
        </w:rPr>
      </w:pPr>
      <w:r>
        <w:rPr>
          <w:rFonts w:ascii="仿宋_GB2312" w:hAnsi="仿宋_GB2312" w:eastAsia="仿宋_GB2312" w:cs="仿宋_GB2312"/>
          <w:b/>
          <w:color w:val="000000"/>
          <w:sz w:val="32"/>
          <w:szCs w:val="32"/>
        </w:rPr>
        <w:t>服务外包。</w:t>
      </w:r>
      <w:r>
        <w:rPr>
          <w:rFonts w:ascii="仿宋_GB2312" w:hAnsi="仿宋_GB2312" w:eastAsia="仿宋_GB2312" w:cs="仿宋_GB2312"/>
          <w:color w:val="000000"/>
          <w:sz w:val="32"/>
          <w:szCs w:val="32"/>
        </w:rPr>
        <w:t>充分发挥服务外包产业在实施创新驱动和培育贸易新业态新模式中的重要促进作用，加快服务外包产业向高技术、高附加值、高品质、高效益转型升级，推动服务外包产业成为现代服务业发展的重要支撑。力争到“十四五”末，培育 家以上的信息技术外包和制造业融合发展示范企业，全区服务外包产业营业总额超过20亿元。</w:t>
      </w:r>
    </w:p>
    <w:p>
      <w:pPr>
        <w:spacing w:line="560" w:lineRule="exact"/>
        <w:ind w:firstLine="643"/>
        <w:rPr>
          <w:rFonts w:ascii="仿宋_GB2312" w:hAnsi="仿宋_GB2312" w:eastAsia="仿宋_GB2312" w:cs="仿宋_GB2312"/>
          <w:b/>
          <w:color w:val="000000"/>
          <w:sz w:val="32"/>
          <w:szCs w:val="32"/>
        </w:rPr>
      </w:pPr>
      <w:r>
        <w:rPr>
          <w:rFonts w:ascii="仿宋_GB2312" w:hAnsi="仿宋_GB2312" w:eastAsia="仿宋_GB2312" w:cs="仿宋_GB2312"/>
          <w:b/>
          <w:color w:val="000000"/>
          <w:sz w:val="32"/>
          <w:szCs w:val="32"/>
        </w:rPr>
        <w:t>居家服务。</w:t>
      </w:r>
      <w:r>
        <w:rPr>
          <w:rFonts w:ascii="仿宋_GB2312" w:hAnsi="仿宋_GB2312" w:eastAsia="仿宋_GB2312" w:cs="仿宋_GB2312"/>
          <w:color w:val="000000"/>
          <w:sz w:val="32"/>
          <w:szCs w:val="32"/>
        </w:rPr>
        <w:t>坚持市场运作与政府引导相结合、满足生活需求与促进经济结构调整相结合的原则，促进居民和家庭服务业市场化、产业化、社会化、品质化发展，有效满足家庭生活多样化服务需求，带动相关服务行业发展。力争“十四五”末，基本建成加快建立供给充分、服务便捷、管理规范、惠及城乡的居民和家庭服务体系，着力提升居民生活便利化、精细化、品质化水平，形成多层次、多形式的居民和家庭服务市场和经营机构。围绕旅游、健康等产业的发展需要，大力引入星级酒店等高端餐饮、住宿企业，积极发展高端洗染业、美发美容业、健康娱乐等服务业，构建保障昆明本地高收入居民和过境商务旅游人员的优质生活性服务业体系，满足日益升级的服务消费需求。完善家政家庭服务体系，加强社区生活性服务网点建设，提高居民家庭服务行业组织化程度。培育规模连锁家政公司，发展保洁、婴幼儿看护、老年人生活照顾和护理、理发、洗染、配送、维修等家庭服务，促进家庭服务规范化、标准化发展。鼓励支持发展互联网新兴家庭服务业，推广微信、云平台的家庭服务业手机应用。</w:t>
      </w:r>
    </w:p>
    <w:p>
      <w:pPr>
        <w:spacing w:line="560" w:lineRule="exact"/>
        <w:ind w:firstLine="643"/>
        <w:rPr>
          <w:rFonts w:ascii="仿宋_GB2312" w:hAnsi="仿宋_GB2312" w:eastAsia="仿宋_GB2312" w:cs="仿宋_GB2312"/>
          <w:color w:val="000000"/>
          <w:sz w:val="32"/>
          <w:szCs w:val="32"/>
        </w:rPr>
      </w:pPr>
      <w:r>
        <w:rPr>
          <w:rFonts w:ascii="仿宋_GB2312" w:hAnsi="仿宋_GB2312" w:eastAsia="仿宋_GB2312" w:cs="仿宋_GB2312"/>
          <w:b/>
          <w:color w:val="000000"/>
          <w:sz w:val="32"/>
          <w:szCs w:val="32"/>
        </w:rPr>
        <w:t>人力资源服务。</w:t>
      </w:r>
      <w:r>
        <w:rPr>
          <w:rFonts w:ascii="仿宋_GB2312" w:hAnsi="仿宋_GB2312" w:eastAsia="仿宋_GB2312" w:cs="仿宋_GB2312"/>
          <w:color w:val="000000"/>
          <w:sz w:val="32"/>
          <w:szCs w:val="32"/>
        </w:rPr>
        <w:t>坚持以人为本、人才优先，有效提升人力资源服务业专业化、信息化、产业化、国际化水平，推动人力资源服务业在就业优先和创新驱动发展战略中的基础性作用和建设现代产业体系中的先导作用。力争到“十四五”末，全区人力资源服务机构总数达到80家，人力资源服务业营业总收入突破1.2亿元。</w:t>
      </w:r>
    </w:p>
    <w:p>
      <w:pPr>
        <w:spacing w:line="560" w:lineRule="exact"/>
        <w:ind w:firstLine="643"/>
        <w:rPr>
          <w:rFonts w:ascii="仿宋_GB2312" w:hAnsi="仿宋_GB2312" w:eastAsia="仿宋_GB2312" w:cs="仿宋_GB2312"/>
          <w:color w:val="000000"/>
          <w:sz w:val="32"/>
          <w:szCs w:val="32"/>
        </w:rPr>
      </w:pPr>
      <w:r>
        <w:rPr>
          <w:rFonts w:ascii="仿宋_GB2312" w:hAnsi="仿宋_GB2312" w:eastAsia="仿宋_GB2312" w:cs="仿宋_GB2312"/>
          <w:b/>
          <w:color w:val="000000"/>
          <w:sz w:val="32"/>
          <w:szCs w:val="32"/>
        </w:rPr>
        <w:t>线上服务。</w:t>
      </w:r>
      <w:r>
        <w:rPr>
          <w:rFonts w:ascii="Times New Roman" w:hAnsi="仿宋_GB2312" w:eastAsia="仿宋_GB2312" w:cs="仿宋_GB2312"/>
          <w:b w:val="0"/>
          <w:color w:val="000000"/>
          <w:spacing w:val="0"/>
          <w:sz w:val="32"/>
          <w:szCs w:val="32"/>
          <w:shd w:val="clear" w:color="000000" w:fill="FFFFFF"/>
          <w:rtl w:val="0"/>
        </w:rPr>
        <w:t>大力发展融合化在线教育，</w:t>
      </w:r>
      <w:r>
        <w:rPr>
          <w:rFonts w:ascii="Times New Roman" w:hAnsi="仿宋_GB2312" w:eastAsia="仿宋_GB2312" w:cs="仿宋_GB2312"/>
          <w:color w:val="000000"/>
          <w:spacing w:val="0"/>
          <w:sz w:val="32"/>
          <w:szCs w:val="32"/>
          <w:shd w:val="clear" w:color="000000" w:fill="FFFFFF"/>
          <w:rtl w:val="0"/>
        </w:rPr>
        <w:t>构建线上线下教育常态化融合发展机制，形成良性互动格局。鼓励加大投入和教师培训力度，试点开展基于线上智能环境的课堂教学、深化普及“三个课堂”应用等。</w:t>
      </w:r>
      <w:r>
        <w:rPr>
          <w:rFonts w:ascii="Times New Roman" w:hAnsi="仿宋_GB2312" w:eastAsia="仿宋_GB2312" w:cs="仿宋_GB2312"/>
          <w:b w:val="0"/>
          <w:color w:val="000000"/>
          <w:spacing w:val="0"/>
          <w:sz w:val="32"/>
          <w:szCs w:val="32"/>
          <w:shd w:val="clear" w:color="000000" w:fill="FFFFFF"/>
          <w:rtl w:val="0"/>
        </w:rPr>
        <w:t>积极发展互联网医疗，</w:t>
      </w:r>
      <w:r>
        <w:rPr>
          <w:rFonts w:ascii="Times New Roman" w:hAnsi="仿宋_GB2312" w:eastAsia="仿宋_GB2312" w:cs="仿宋_GB2312"/>
          <w:color w:val="000000"/>
          <w:spacing w:val="0"/>
          <w:sz w:val="32"/>
          <w:szCs w:val="32"/>
          <w:shd w:val="clear" w:color="000000" w:fill="FFFFFF"/>
          <w:rtl w:val="0"/>
        </w:rPr>
        <w:t>以互联网优化就医体验，打造健康消费新生态。进一步加强智慧医院建设，推进线上预约检查检验。探索建立健全医疗数据共享方式和制度。规范推广远程医疗、互联网健康咨询等模式。支持平台在就医、健康管理、养老养生等领域协同发展，培养健康消费习惯。</w:t>
      </w:r>
      <w:r>
        <w:rPr>
          <w:rFonts w:ascii="Times New Roman" w:hAnsi="仿宋_GB2312" w:eastAsia="仿宋_GB2312" w:cs="仿宋_GB2312"/>
          <w:b w:val="0"/>
          <w:color w:val="000000"/>
          <w:spacing w:val="0"/>
          <w:sz w:val="32"/>
          <w:szCs w:val="32"/>
          <w:shd w:val="clear" w:color="000000" w:fill="FFFFFF"/>
          <w:rtl w:val="0"/>
        </w:rPr>
        <w:t>鼓励发展便捷化线上办公，</w:t>
      </w:r>
      <w:r>
        <w:rPr>
          <w:rFonts w:ascii="Times New Roman" w:hAnsi="仿宋_GB2312" w:eastAsia="仿宋_GB2312" w:cs="仿宋_GB2312"/>
          <w:color w:val="000000"/>
          <w:spacing w:val="0"/>
          <w:sz w:val="32"/>
          <w:szCs w:val="32"/>
          <w:shd w:val="clear" w:color="000000" w:fill="FFFFFF"/>
          <w:rtl w:val="0"/>
        </w:rPr>
        <w:t>打造“随时随地”的在线办公环境，在部分行业领域形成对线下模式的常态化补充。</w:t>
      </w:r>
      <w:bookmarkStart w:id="39" w:name="_Toc13621"/>
    </w:p>
    <w:p>
      <w:pPr>
        <w:spacing w:line="560" w:lineRule="exact"/>
        <w:ind w:firstLine="640"/>
        <w:rPr>
          <w:rFonts w:ascii="仿宋_GB2312" w:hAnsi="仿宋_GB2312" w:eastAsia="仿宋_GB2312" w:cs="仿宋_GB2312"/>
          <w:color w:val="000000"/>
          <w:sz w:val="32"/>
          <w:szCs w:val="32"/>
        </w:rPr>
      </w:pPr>
      <w:bookmarkStart w:id="40" w:name="_Toc6839"/>
      <w:r>
        <w:rPr>
          <w:rFonts w:ascii="楷体_GB2312" w:hAnsi="楷体_GB2312" w:eastAsia="楷体_GB2312" w:cs="楷体_GB2312"/>
          <w:color w:val="000000"/>
          <w:sz w:val="32"/>
          <w:szCs w:val="32"/>
        </w:rPr>
        <w:t>（二）实施“六大”行动计划，推进现代服务业高质量发展</w:t>
      </w:r>
      <w:bookmarkEnd w:id="39"/>
      <w:bookmarkEnd w:id="40"/>
    </w:p>
    <w:p>
      <w:pPr>
        <w:spacing w:line="560" w:lineRule="exact"/>
        <w:ind w:firstLine="64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依托优势资源，实施改革创新、平台打造、企业培育、重点项目、融合发展、合作开放“六大”行动计划，促进现代服务业在“十四五”期间实现突破性发展。</w:t>
      </w:r>
    </w:p>
    <w:p>
      <w:pPr>
        <w:shd w:val="clear" w:color="000000" w:fill="FFFFFF"/>
        <w:spacing w:line="560" w:lineRule="exact"/>
        <w:ind w:firstLine="643"/>
        <w:rPr>
          <w:rFonts w:ascii="仿宋_GB2312" w:hAnsi="仿宋_GB2312" w:eastAsia="仿宋_GB2312" w:cs="仿宋_GB2312"/>
          <w:b/>
          <w:color w:val="000000"/>
          <w:sz w:val="32"/>
          <w:szCs w:val="32"/>
        </w:rPr>
      </w:pPr>
      <w:r>
        <w:rPr>
          <w:rFonts w:ascii="仿宋_GB2312" w:hAnsi="仿宋_GB2312" w:eastAsia="仿宋_GB2312" w:cs="仿宋_GB2312"/>
          <w:b/>
          <w:color w:val="000000"/>
          <w:sz w:val="32"/>
          <w:szCs w:val="32"/>
        </w:rPr>
        <w:t>1.改革创新行动计划</w:t>
      </w:r>
    </w:p>
    <w:p>
      <w:pPr>
        <w:shd w:val="clear" w:color="000000" w:fill="FFFFFF"/>
        <w:spacing w:line="560" w:lineRule="exact"/>
        <w:ind w:firstLine="64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紧紧抓住创新创业、开放发展、供给侧结构性改革等重点任务的关键环节，以智慧化、国际化、市场化发展为方向，进一步深化改革创新，着力推进一批现代服务业试点示范工程，推动建立开放、竞争、有序、高效的现代服务业发展市场环境，促进服务业与制造业、文化创意旅游业等业态向更高层次融合，以及服务业内部各细分行业的交叉、延伸、重组的跨界融合。发挥政策的集成和协同效应，加快建立“苗圃—孵化器—加速器”的科技创业孵化链条，着力构建立体化、多层次“互联网+技术创新+融资+创业辅导+信息咨询+人力资源+市场拓展”的创新创业服务体系。实施创新创业载体建设、人才集聚、服务提升、金融支持、平台支撑、生态优化等系列工程，实现创新与创业相结合、线上与线下相结合、孵化与投资相结合，开创创新创业新局面。以建设面向南亚东南亚区域性国际中心城市科教创新城为契机，积极提升现代服务业的国际竞争力，加快构建开放型经济新体制。加快服务贸易创新发展步伐，进一步破解服务贸易发展体制机制约束，不断强化服务贸易供给侧创新，通过线上线下互相融合推进开拓国际市场，推动服务贸易产品结构日趋优化，高技术、高附加值、高文化含量的服务贸易占比逐年提高。不断扩大国际交流合作，加快提升教育、医疗、商务会展、旅游休闲、金融、商贸等领域的国际化水平。引导企业围绕服务消费市场变化趋势进行投资、创新，提供更多满足市场需求、具有更高附加值的服务产品，最大限度提高投资和创新的有效性。以产业转型升级需求为导向，深入推进“生产性服务业+”行动，鼓励企业增加服务环节投入，提升企业研发设计、生产制造、物流、营销、售后服务、人力资源、采购等方面能力。顺应生活消费方式转变，加快提升健康服务、旅游休闲等贴近群众生活、需求潜力大、带动力强的生活性服务业品质。鼓励和引导社会资本参与公共服务领域投资运营，大力推广政府和社会资本合作模式，不断提高公共服务供给效率和质量。</w:t>
      </w:r>
    </w:p>
    <w:p>
      <w:pPr>
        <w:shd w:val="clear" w:color="000000" w:fill="FFFFFF"/>
        <w:spacing w:line="560" w:lineRule="exact"/>
        <w:ind w:firstLine="643"/>
        <w:rPr>
          <w:rFonts w:ascii="仿宋_GB2312" w:hAnsi="仿宋_GB2312" w:eastAsia="仿宋_GB2312" w:cs="仿宋_GB2312"/>
          <w:b/>
          <w:color w:val="000000"/>
          <w:sz w:val="32"/>
          <w:szCs w:val="32"/>
        </w:rPr>
      </w:pPr>
      <w:r>
        <w:rPr>
          <w:rFonts w:ascii="仿宋_GB2312" w:hAnsi="仿宋_GB2312" w:eastAsia="仿宋_GB2312" w:cs="仿宋_GB2312"/>
          <w:b/>
          <w:color w:val="000000"/>
          <w:sz w:val="32"/>
          <w:szCs w:val="32"/>
        </w:rPr>
        <w:t>2.平台打造行动计划</w:t>
      </w:r>
    </w:p>
    <w:p>
      <w:pPr>
        <w:shd w:val="clear" w:color="000000" w:fill="FFFFFF"/>
        <w:spacing w:line="560" w:lineRule="exact"/>
        <w:ind w:firstLine="64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按照“定位科学、特色鲜明、功能完善、开放共享”的要求，加强对各类集聚平台建设的支持，使之成为新兴服务业和新型业态不断涌现的前沿阵地，成为现代服务业加快发展的主要载体和突破口。深入推进现代服务业“双提升”行动，确保现代服务业在数量和质量上实现双突破。在数量上，结合全区重大项目建设，加强对现代商贸、金融服务、科技服务、文化创意、电子商务、旅游休闲等领域集聚区的规划建设，注重对新兴服务业集聚区的培育。在质量上，进一步加大公共服务平台搭建、产业生态系统构建、品牌建设、人才队伍建设等方面的政策支持力度。加强集聚区与周边区域、与其他集聚区的联系互动，对内强化辐射带动作用，对外参与区域分工合作。加强对全区各类现代服务业发展的统筹协调，完善区级、街道社区联动互动和核心区与托管区有效衔接的工作机制。顺应“互联网＋”发展趋势，突破传统产业园区地理局限，深化信息技术对创新创业的支撑作用，分类推进虚拟现代服务业集聚平台建设。鼓励大型互联网企业、电子商务平台、网络社交平台等通过网络平台为中小微企业和创业者提供产品或服务交易支撑，形成若干基于“互联网+”有较大知名度的网络化商贸商务服务集聚平台。鼓励各类线上虚拟众创空间发展，构建开放式创业创新体系，为创业创新者提供跨行业、跨学科、跨地域的线上交流和资源链接服务，降低创业成本，促进前沿技术和创新成果及时转化。</w:t>
      </w:r>
    </w:p>
    <w:p>
      <w:pPr>
        <w:shd w:val="clear" w:color="000000" w:fill="FFFFFF"/>
        <w:spacing w:line="560" w:lineRule="exact"/>
        <w:ind w:firstLine="643"/>
        <w:rPr>
          <w:rFonts w:ascii="仿宋_GB2312" w:hAnsi="仿宋_GB2312" w:eastAsia="仿宋_GB2312" w:cs="仿宋_GB2312"/>
          <w:b/>
          <w:color w:val="000000"/>
          <w:sz w:val="32"/>
          <w:szCs w:val="32"/>
        </w:rPr>
      </w:pPr>
      <w:r>
        <w:rPr>
          <w:rFonts w:ascii="仿宋_GB2312" w:hAnsi="仿宋_GB2312" w:eastAsia="仿宋_GB2312" w:cs="仿宋_GB2312"/>
          <w:b/>
          <w:color w:val="000000"/>
          <w:sz w:val="32"/>
          <w:szCs w:val="32"/>
        </w:rPr>
        <w:t>3.企业培育行动计划</w:t>
      </w:r>
    </w:p>
    <w:p>
      <w:pPr>
        <w:spacing w:line="560" w:lineRule="exact"/>
        <w:ind w:firstLine="64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坚持市场配置力、企业主体力、政府主导力相结合，加快推大、中、小、微各类企业培育，形成一支创新能力强、市场影响力大、具有可持续发展能力的重点企业梯队。支持和引导现代服务业骨干企业并通过资本市场进一步发展壮大。以“蒲公英计划”“青蓝计划”“雏鹰计划”“小微企业三年成长计划”等支持平台为基础，拓展中小微服务企业的培育面，形成具有一定规模的科技型、创新型服务业企业群。支持重点企业建立研发机构，探索产学研深度结合的有效模式和长效机制。引导行业龙头企业牵头，广泛吸纳中小企业参与，按市场机制积极构建产业技术创新战略联盟。鼓励符合条件的服务企业参与高新技术企业、技术先进型服务企业的认定，并落实各项优惠政策。</w:t>
      </w:r>
    </w:p>
    <w:p>
      <w:pPr>
        <w:shd w:val="clear" w:color="000000" w:fill="FFFFFF"/>
        <w:spacing w:line="560" w:lineRule="exact"/>
        <w:ind w:firstLine="643"/>
        <w:rPr>
          <w:rFonts w:ascii="仿宋_GB2312" w:hAnsi="仿宋_GB2312" w:eastAsia="仿宋_GB2312" w:cs="仿宋_GB2312"/>
          <w:b/>
          <w:color w:val="000000"/>
          <w:sz w:val="32"/>
          <w:szCs w:val="32"/>
        </w:rPr>
      </w:pPr>
      <w:r>
        <w:rPr>
          <w:rFonts w:ascii="仿宋_GB2312" w:hAnsi="仿宋_GB2312" w:eastAsia="仿宋_GB2312" w:cs="仿宋_GB2312"/>
          <w:b/>
          <w:color w:val="000000"/>
          <w:sz w:val="32"/>
          <w:szCs w:val="32"/>
        </w:rPr>
        <w:t>4.重点项目推进计划</w:t>
      </w:r>
    </w:p>
    <w:p>
      <w:pPr>
        <w:shd w:val="clear" w:color="000000" w:fill="FFFFFF"/>
        <w:spacing w:line="560" w:lineRule="exact"/>
        <w:ind w:firstLine="640"/>
        <w:rPr>
          <w:rFonts w:hint="eastAsia" w:ascii="仿宋_GB2312" w:hAnsi="仿宋_GB2312" w:eastAsia="仿宋_GB2312" w:cs="仿宋_GB2312"/>
          <w:color w:val="000000"/>
          <w:sz w:val="32"/>
          <w:szCs w:val="32"/>
        </w:rPr>
      </w:pPr>
      <w:r>
        <w:rPr>
          <w:rFonts w:ascii="仿宋_GB2312" w:hAnsi="仿宋_GB2312" w:eastAsia="仿宋_GB2312" w:cs="仿宋_GB2312"/>
          <w:color w:val="000000"/>
          <w:sz w:val="32"/>
          <w:szCs w:val="32"/>
        </w:rPr>
        <w:t>积极招引、落地、推进一批业态新、影响力强、拉动效应明显的重点产业项目，加快实施一批补短板、强基础类公共服务项目，以投资结构调整促发展、推升级。加强现代服务业重大项目储备。吸引大企、名企、强企来投资发展文创、旅游休闲、金融、电子商务、科技服务等现代服务业。加大对社会投资的引导力度，推广政府和社会资本合作（PPP）模式，改造提升老旧生活性服务基础设施。谋划一批现代服务业特色项目。支持社会资本加大新兴服务业和新业态的投资力度，培育新增长点。每年引进一批服务业新兴业态项目，提供孵化落地服务。鼓励和支持企业推进研发设计、营销管理等环节的改造升级项目、共性关键技术攻关项目。建立健全现代服务业重大项目推进机制。建立现代服务业重大项目库，并按照“开工一批、推进一批、建成一批”的重点项目分阶段推进要求，实施动态调整、滚动推进的机制。建立服务业重大项目季度报表制度，定期报送项目进度、存在问题等情况。深化区级领导联系服务业重大项目制度，强化服务业重大项目的综合协调和日常管理，定期组织召开协调例会。各相关部门在职责范围内做好重大项目的指导、管理、监督和服务工作。</w:t>
      </w:r>
    </w:p>
    <w:p>
      <w:pPr>
        <w:shd w:val="clear" w:color="000000" w:fill="FFFFFF"/>
        <w:spacing w:line="560" w:lineRule="exact"/>
        <w:ind w:firstLine="640"/>
        <w:rPr>
          <w:rFonts w:ascii="仿宋_GB2312" w:hAnsi="仿宋_GB2312" w:eastAsia="仿宋_GB2312" w:cs="仿宋_GB2312"/>
          <w:color w:val="000000"/>
          <w:sz w:val="32"/>
          <w:szCs w:val="32"/>
        </w:rPr>
      </w:pPr>
    </w:p>
    <w:p>
      <w:pPr>
        <w:shd w:val="clear" w:color="000000" w:fill="FFFFFF"/>
        <w:spacing w:line="560" w:lineRule="exact"/>
        <w:ind w:firstLine="643"/>
        <w:rPr>
          <w:rFonts w:ascii="仿宋_GB2312" w:hAnsi="仿宋_GB2312" w:eastAsia="仿宋_GB2312" w:cs="仿宋_GB2312"/>
          <w:b/>
          <w:color w:val="000000"/>
          <w:sz w:val="32"/>
          <w:szCs w:val="32"/>
        </w:rPr>
      </w:pPr>
      <w:r>
        <w:rPr>
          <w:rFonts w:ascii="仿宋_GB2312" w:hAnsi="仿宋_GB2312" w:eastAsia="仿宋_GB2312" w:cs="仿宋_GB2312"/>
          <w:b/>
          <w:color w:val="000000"/>
          <w:sz w:val="32"/>
          <w:szCs w:val="32"/>
        </w:rPr>
        <w:t>5.</w:t>
      </w:r>
      <w:bookmarkStart w:id="41" w:name="_Toc3120"/>
      <w:r>
        <w:rPr>
          <w:rFonts w:ascii="仿宋_GB2312" w:hAnsi="仿宋_GB2312" w:eastAsia="仿宋_GB2312" w:cs="仿宋_GB2312"/>
          <w:b/>
          <w:color w:val="000000"/>
          <w:sz w:val="32"/>
          <w:szCs w:val="32"/>
        </w:rPr>
        <w:t>融合发展行动计划</w:t>
      </w:r>
      <w:bookmarkEnd w:id="41"/>
    </w:p>
    <w:p>
      <w:pPr>
        <w:pStyle w:val="9"/>
        <w:spacing w:before="100" w:after="100" w:line="560" w:lineRule="exact"/>
        <w:ind w:firstLine="641"/>
        <w:jc w:val="both"/>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推动农业与现代服务业融合发展。推进科技服务与农业深度融合，完善农业信息化服务体系，利用移动互联网、物联网、区块链等技术手段改造传统农业。加快实施冷链物流标准化，逐步解决鲜活农产品“最后一公里”瓶颈问题。全面推行农业标准化服务体系，抓紧落实和推行产地准出、市场准入制度，对蔬菜、花果等重要农产品批发市场实行全天候检测监测，实行多部门共同监管，确保农产品质量安全。推动制造业与现代服务业深度融合。通过现代供应链、价值链、产业链重构，加速推进制造业的服务化进程，释放更多的服务业潜力。发展服务型制造，促进制造企业向创意孵化、研发设计、售后服务等产业链延伸，建立“产品</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服务”盈利新模式。鼓励有条件的制造企业向设计咨询、设备制造及采购、施工安装、维护管理等一体化服务总集成总承包商转变。支持领军制造企业输出专业优势，面向全行业提供市场调研、研发设计、工程总包和系统控制等服务。鼓励制造企业优化供应链管理，推动网络化协同制造，积极发展服务外包。推动新经济与现代服务业互动融合。大力发展新零售、新商贸、新金融、新消费，形成新的现代服务业集群和生态系统</w:t>
      </w:r>
      <w:r>
        <w:rPr>
          <w:rFonts w:ascii="仿宋_GB2312" w:hAnsi="仿宋_GB2312" w:eastAsia="仿宋_GB2312" w:cs="仿宋_GB2312"/>
          <w:b/>
          <w:color w:val="000000"/>
          <w:sz w:val="32"/>
          <w:szCs w:val="32"/>
        </w:rPr>
        <w:t>。</w:t>
      </w:r>
      <w:r>
        <w:rPr>
          <w:rFonts w:ascii="仿宋_GB2312" w:hAnsi="仿宋_GB2312" w:eastAsia="仿宋_GB2312" w:cs="仿宋_GB2312"/>
          <w:color w:val="000000"/>
          <w:sz w:val="32"/>
          <w:szCs w:val="32"/>
        </w:rPr>
        <w:t>完善服务业供应链管理、企业流程再造和精细化和精益化服务，由单一服务环节向提供全过程服务转变，由提供一般服务向综合性服务转变。支持服务业企业围绕产业链、价值链、创新链进行融合，推进形成现代服务业发展合力。</w:t>
      </w:r>
    </w:p>
    <w:p>
      <w:pPr>
        <w:pStyle w:val="9"/>
        <w:spacing w:line="560" w:lineRule="exact"/>
        <w:ind w:firstLine="643"/>
        <w:jc w:val="both"/>
        <w:rPr>
          <w:rFonts w:ascii="仿宋_GB2312" w:hAnsi="仿宋_GB2312" w:eastAsia="仿宋_GB2312" w:cs="仿宋_GB2312"/>
          <w:b/>
          <w:color w:val="000000"/>
          <w:sz w:val="32"/>
          <w:szCs w:val="32"/>
        </w:rPr>
      </w:pPr>
      <w:r>
        <w:rPr>
          <w:rFonts w:ascii="仿宋_GB2312" w:hAnsi="仿宋_GB2312" w:eastAsia="仿宋_GB2312" w:cs="仿宋_GB2312"/>
          <w:b/>
          <w:color w:val="000000"/>
          <w:sz w:val="32"/>
          <w:szCs w:val="32"/>
        </w:rPr>
        <w:t>6.合作</w:t>
      </w:r>
      <w:bookmarkStart w:id="42" w:name="_Toc10263"/>
      <w:r>
        <w:rPr>
          <w:rFonts w:ascii="仿宋_GB2312" w:hAnsi="仿宋_GB2312" w:eastAsia="仿宋_GB2312" w:cs="仿宋_GB2312"/>
          <w:b/>
          <w:color w:val="000000"/>
          <w:sz w:val="32"/>
          <w:szCs w:val="32"/>
        </w:rPr>
        <w:t>开放行动计划</w:t>
      </w:r>
      <w:bookmarkEnd w:id="42"/>
    </w:p>
    <w:p>
      <w:pPr>
        <w:spacing w:line="560" w:lineRule="exact"/>
        <w:ind w:firstLine="64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抓住国内现代服务业发展空间巨大和呈贡具备良好的发展优势带来的新机遇，扩大现代服务业对内对外开放。加强现代服务业对内合作发展。加强与先进达区域的合作机制、沟通渠道建设，积极与现代服务业发展资源丰富地区的产业园区、研发机构、科技市场、创投协会等平台机构合作，建立合作园区、产业项目、创新项目、成果转化、人才培养等深层次现代服务业合作机制，拓展市现代服务业的发展空间。积极参与“一带一路”和长江经济带建设，主动对接京津冀协</w:t>
      </w:r>
      <w:r>
        <w:rPr>
          <w:rFonts w:hint="eastAsia" w:ascii="仿宋_GB2312" w:hAnsi="仿宋_GB2312" w:eastAsia="仿宋_GB2312" w:cs="仿宋_GB2312"/>
          <w:color w:val="000000"/>
          <w:sz w:val="32"/>
          <w:szCs w:val="32"/>
          <w:lang w:eastAsia="zh-CN"/>
        </w:rPr>
        <w:t>同</w:t>
      </w:r>
      <w:bookmarkStart w:id="45" w:name="_GoBack"/>
      <w:bookmarkEnd w:id="45"/>
      <w:r>
        <w:rPr>
          <w:rFonts w:ascii="仿宋_GB2312" w:hAnsi="仿宋_GB2312" w:eastAsia="仿宋_GB2312" w:cs="仿宋_GB2312"/>
          <w:color w:val="000000"/>
          <w:sz w:val="32"/>
          <w:szCs w:val="32"/>
        </w:rPr>
        <w:t>发展战略，加强资本引进、渠道建设、市场对接。积极承接高端服务人才、科技服务产业和跨国服务业总部转移，努力形成内外联动、互为支撑的现代服务业区域合作新格局。推动现代服务业面向南亚东南亚全面开放发展。依托独特的交通、区位、资源优势，扩大服务业对外开放与合作，积极参与孟中印缅经济走廊、中国-中南半岛经济走廊建设以及大湄公河次区域经济合作，完善滇印、滇缅合作以及越北老北合作机制，推进服务贸易、商贸、旅游、科技等服务业的国际化发展。</w:t>
      </w:r>
      <w:r>
        <w:rPr>
          <w:rFonts w:hint="eastAsia" w:ascii="仿宋_GB2312" w:hAnsi="仿宋_GB2312" w:eastAsia="仿宋_GB2312" w:cs="仿宋_GB2312"/>
          <w:color w:val="000000"/>
          <w:sz w:val="32"/>
          <w:szCs w:val="32"/>
        </w:rPr>
        <w:t>紧抓中国(云南)自由贸易试验区昆明片区建设机遇，</w:t>
      </w:r>
      <w:r>
        <w:rPr>
          <w:rFonts w:ascii="仿宋_GB2312" w:hAnsi="仿宋_GB2312" w:eastAsia="仿宋_GB2312" w:cs="仿宋_GB2312"/>
          <w:color w:val="000000"/>
          <w:sz w:val="32"/>
          <w:szCs w:val="32"/>
        </w:rPr>
        <w:t>积极争取和支持南亚东南亚国家在呈贡设立商务办事和企业总部，把呈贡建设成昆明对外交流合作和发展高端服务业的前沿窗口。推动建设外向型产业基地，支持现代服务业龙头企业到南亚东南亚国家投资兴业，带动国内技术、设备、服务输出。</w:t>
      </w:r>
    </w:p>
    <w:p>
      <w:pPr>
        <w:spacing w:line="560" w:lineRule="exact"/>
        <w:ind w:firstLine="640"/>
        <w:jc w:val="left"/>
        <w:rPr>
          <w:rFonts w:ascii="仿宋_GB2312" w:hAnsi="仿宋_GB2312" w:eastAsia="仿宋_GB2312" w:cs="仿宋_GB2312"/>
          <w:color w:val="000000"/>
          <w:sz w:val="32"/>
          <w:szCs w:val="32"/>
        </w:rPr>
      </w:pPr>
      <w:bookmarkStart w:id="43" w:name="_Toc9287"/>
      <w:bookmarkStart w:id="44" w:name="_Toc1384"/>
      <w:r>
        <w:rPr>
          <w:rFonts w:ascii="楷体_GB2312" w:hAnsi="楷体_GB2312" w:eastAsia="楷体_GB2312" w:cs="楷体_GB2312"/>
          <w:color w:val="000000"/>
          <w:sz w:val="32"/>
          <w:szCs w:val="32"/>
        </w:rPr>
        <w:t>（三）强化“五条”工作措施，保障现代服务高质量发展</w:t>
      </w:r>
      <w:bookmarkEnd w:id="43"/>
      <w:bookmarkEnd w:id="44"/>
    </w:p>
    <w:p>
      <w:pPr>
        <w:snapToGrid w:val="0"/>
        <w:spacing w:line="560" w:lineRule="exact"/>
        <w:ind w:firstLine="64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“十四五”时期，呈贡现代服务业发展任务艰巨。要完成本规划确定的各项目标任务，必须广泛动员各方力量，强化保障措施。</w:t>
      </w:r>
    </w:p>
    <w:p>
      <w:pPr>
        <w:shd w:val="clear" w:color="000000" w:fill="FFFFFF"/>
        <w:spacing w:line="560" w:lineRule="exact"/>
        <w:ind w:firstLine="643"/>
        <w:rPr>
          <w:rFonts w:ascii="仿宋_GB2312" w:hAnsi="仿宋_GB2312" w:eastAsia="仿宋_GB2312" w:cs="仿宋_GB2312"/>
          <w:b/>
          <w:color w:val="000000"/>
          <w:sz w:val="32"/>
          <w:szCs w:val="32"/>
        </w:rPr>
      </w:pPr>
      <w:r>
        <w:rPr>
          <w:rFonts w:ascii="仿宋_GB2312" w:hAnsi="仿宋_GB2312" w:eastAsia="仿宋_GB2312" w:cs="仿宋_GB2312"/>
          <w:b/>
          <w:color w:val="000000"/>
          <w:sz w:val="32"/>
          <w:szCs w:val="32"/>
        </w:rPr>
        <w:t>1.加强组织保障</w:t>
      </w:r>
    </w:p>
    <w:p>
      <w:pPr>
        <w:shd w:val="clear" w:color="000000" w:fill="FFFFFF"/>
        <w:spacing w:line="560" w:lineRule="exact"/>
        <w:ind w:firstLine="643"/>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充分发挥区级发展现代服务业领导小组作用，不定期召开领导小组工作会议，决定服务业发展重大事项，协调服务业发展跨区域、跨领域和跨部门重大问题。强化服务业协调例会机制在精准服务方面作用，定期召开服务业协调例会，协调解决服务业企业在发展过程中遇到的困难与问题。各行业主管部门和统计部门要加强服务业统计调查体系和制度建设，结合各行业实际情况，加强对服务业发展的动态监测和形势分析，全面提升服务业统计能力，准确及时反映新兴服务业发展状况。</w:t>
      </w:r>
    </w:p>
    <w:p>
      <w:pPr>
        <w:shd w:val="clear" w:color="000000" w:fill="FFFFFF"/>
        <w:spacing w:line="560" w:lineRule="exact"/>
        <w:ind w:firstLine="643"/>
        <w:rPr>
          <w:rFonts w:ascii="仿宋_GB2312" w:hAnsi="仿宋_GB2312" w:eastAsia="仿宋_GB2312" w:cs="仿宋_GB2312"/>
          <w:b/>
          <w:color w:val="000000"/>
          <w:sz w:val="32"/>
          <w:szCs w:val="32"/>
        </w:rPr>
      </w:pPr>
      <w:r>
        <w:rPr>
          <w:rFonts w:ascii="仿宋_GB2312" w:hAnsi="仿宋_GB2312" w:eastAsia="仿宋_GB2312" w:cs="仿宋_GB2312"/>
          <w:b/>
          <w:color w:val="000000"/>
          <w:sz w:val="32"/>
          <w:szCs w:val="32"/>
        </w:rPr>
        <w:t>2.加大政策支持</w:t>
      </w:r>
    </w:p>
    <w:p>
      <w:pPr>
        <w:shd w:val="clear" w:color="000000" w:fill="FFFFFF"/>
        <w:spacing w:line="560" w:lineRule="exact"/>
        <w:ind w:firstLine="643"/>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对接国家和省市政策，整合各类专项资金，充分发挥财政资金的杠杆作用。加大高新技术企业和技术先进型服务企业的认定力度，做好相关税收优惠政策的落实。完善政府购买服务办法，逐步加大向社会力量购买服务的力度。全面清理服务领域收费，切实压减涉企行政事业性收费，减轻企业负担。创新政银企合作对接机制，加强对中小企业的融资支持。鼓励金融机构发展适合服务业特点的融资模式，提供更多更好地满足现代工业服务需要的新型金融产品。支持符合条件的服务业企业上市融资和发行债券。积极利用助保贷、投贷联动等政策工具，加强对中小企业的融资支持。健全服务业用地管理机制，规范项目用地准入评估、达产验收制度，优先保证集聚平台、重大项目用地。选择具备条件的区域，加大存量建设用地盘活力度，为现代服务业发展提供用地保障。</w:t>
      </w:r>
    </w:p>
    <w:p>
      <w:pPr>
        <w:shd w:val="clear" w:color="000000" w:fill="FFFFFF"/>
        <w:spacing w:line="560" w:lineRule="exact"/>
        <w:ind w:firstLine="643"/>
        <w:rPr>
          <w:rFonts w:ascii="仿宋_GB2312" w:hAnsi="仿宋_GB2312" w:eastAsia="仿宋_GB2312" w:cs="仿宋_GB2312"/>
          <w:b/>
          <w:color w:val="000000"/>
          <w:sz w:val="32"/>
          <w:szCs w:val="32"/>
        </w:rPr>
      </w:pPr>
      <w:r>
        <w:rPr>
          <w:rFonts w:ascii="仿宋_GB2312" w:hAnsi="仿宋_GB2312" w:eastAsia="仿宋_GB2312" w:cs="仿宋_GB2312"/>
          <w:b/>
          <w:color w:val="000000"/>
          <w:sz w:val="32"/>
          <w:szCs w:val="32"/>
        </w:rPr>
        <w:t>3.强化人才支撑</w:t>
      </w:r>
    </w:p>
    <w:p>
      <w:pPr>
        <w:shd w:val="clear" w:color="000000" w:fill="FFFFFF"/>
        <w:spacing w:line="560" w:lineRule="exact"/>
        <w:ind w:firstLine="643"/>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加大人才引进和培养力度。制定和实施服务业高层次人才引进和培育计划，引导企业加大人力资本投入。充分发挥信息产业园区、大健康产业园区、金融产业园区、斗南花卉产业园区等平台对高层次人才的吸纳作用，加快引进服务业领域的高层次人才。加快服务业培训基地、公共实训基地和大学生实习基地建设，开展“订单式”培训。支持驻区高校发挥各自优势，培养现代服务人才。进一步完善和落实人才引进、培养、使用、评价、流动、激励等政策措施，着力在住房、户籍、子女入学等方面为人才提供便利。</w:t>
      </w:r>
    </w:p>
    <w:p>
      <w:pPr>
        <w:shd w:val="clear" w:color="000000" w:fill="FFFFFF"/>
        <w:spacing w:line="560" w:lineRule="exact"/>
        <w:ind w:firstLine="643"/>
        <w:rPr>
          <w:rFonts w:ascii="仿宋_GB2312" w:hAnsi="仿宋_GB2312" w:eastAsia="仿宋_GB2312" w:cs="仿宋_GB2312"/>
          <w:b/>
          <w:color w:val="000000"/>
          <w:sz w:val="32"/>
          <w:szCs w:val="32"/>
        </w:rPr>
      </w:pPr>
      <w:r>
        <w:rPr>
          <w:rFonts w:ascii="仿宋_GB2312" w:hAnsi="仿宋_GB2312" w:eastAsia="仿宋_GB2312" w:cs="仿宋_GB2312"/>
          <w:b/>
          <w:color w:val="000000"/>
          <w:sz w:val="32"/>
          <w:szCs w:val="32"/>
        </w:rPr>
        <w:t>4.营造发展环境</w:t>
      </w:r>
    </w:p>
    <w:p>
      <w:pPr>
        <w:shd w:val="clear" w:color="000000" w:fill="FFFFFF"/>
        <w:spacing w:line="560" w:lineRule="exact"/>
        <w:ind w:firstLine="643"/>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强化电子商务、大数据、云计算等新领域、新业态的知识产权保护。增强标准化服务能力，优化服务业标准体系，加快标准化在服务业各领域的普及应用和深度融合，发挥“标准化+”效应，为促进服务业的创新发展提供技术支撑。加强现代服务业社会信用体系建设，在服务领域积极构建失信惩戒和守信激励的联动机制，逐步将公共信用信息向银行、保险、信用服务等机构开放。推动建立电子商务的网络信用档案、信用认证和信用评价。加强社会治安综合治理，严厉打击各类刑事犯罪活动，不断提升创业就业等各类群体对社会治安的满意度，为现代服务业的发展创造造良好的治安环境。继续提升新区美化亮化、文明创建、就医就学、房产市场、物资供应等公共服务水平，为现代服务业从业人员提供良好的生产生活环境。严格落实安全生产责任制，监督企业或经营者履行好主体责任，持续强化“党政同责、一岗双责”工作制度，发挥职能部门的监管作用和社会的监督作用，促进现代服务业安全发展。充分发挥网媒纸媒和电台视电视等各类新闻媒体综合宣传的功效，大力宣传重点培育企业、重点集聚平台创新发展的典型案例和新产业、新技术、新模式、新业态发展成效，加强对优秀人才创业先进事迹的报道宣传，努力营造全社会关心支持现代服务业发展的氛围。</w:t>
      </w:r>
    </w:p>
    <w:p>
      <w:pPr>
        <w:shd w:val="clear" w:color="000000" w:fill="FFFFFF"/>
        <w:spacing w:before="150" w:line="560" w:lineRule="exact"/>
        <w:ind w:firstLine="643"/>
        <w:jc w:val="left"/>
        <w:rPr>
          <w:rFonts w:ascii="仿宋_GB2312" w:hAnsi="仿宋_GB2312" w:eastAsia="仿宋_GB2312" w:cs="仿宋_GB2312"/>
          <w:b/>
          <w:color w:val="000000"/>
          <w:sz w:val="32"/>
          <w:szCs w:val="32"/>
        </w:rPr>
      </w:pPr>
      <w:r>
        <w:rPr>
          <w:rFonts w:ascii="仿宋_GB2312" w:hAnsi="仿宋_GB2312" w:eastAsia="仿宋_GB2312" w:cs="仿宋_GB2312"/>
          <w:b/>
          <w:color w:val="000000"/>
          <w:sz w:val="32"/>
          <w:szCs w:val="32"/>
        </w:rPr>
        <w:t>5．严格监督实施</w:t>
      </w:r>
    </w:p>
    <w:p>
      <w:pPr>
        <w:shd w:val="clear" w:color="000000" w:fill="FFFFFF"/>
        <w:spacing w:before="150" w:line="560" w:lineRule="exact"/>
        <w:ind w:firstLine="643"/>
        <w:jc w:val="left"/>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全区各部门要提高认识，压实责任，依据本规划确定的目标任务，按照职责分工，制定工作计划，做好与本规划的衔接和任务的分解落实。区级目督部门要将本规划的执行情况，纳入全区的绩效考核体系，明确牵头单位和部门责任，实施考核奖惩。本规划在实施过程中将进行中期评估，根据形势变化适时修订，并按规定审批后实施。</w:t>
      </w:r>
    </w:p>
    <w:p>
      <w:pPr>
        <w:shd w:val="clear" w:color="000000" w:fill="FFFFFF"/>
        <w:spacing w:before="150" w:line="560" w:lineRule="exact"/>
        <w:ind w:firstLine="643"/>
        <w:jc w:val="left"/>
        <w:rPr>
          <w:rFonts w:ascii="仿宋_GB2312" w:hAnsi="仿宋_GB2312" w:eastAsia="仿宋_GB2312" w:cs="仿宋_GB2312"/>
          <w:color w:val="000000"/>
          <w:sz w:val="32"/>
          <w:szCs w:val="32"/>
        </w:rPr>
      </w:pPr>
    </w:p>
    <w:p>
      <w:pPr>
        <w:shd w:val="clear" w:color="000000" w:fill="FFFFFF"/>
        <w:spacing w:before="150" w:line="560" w:lineRule="exact"/>
        <w:ind w:firstLine="643"/>
        <w:jc w:val="left"/>
        <w:rPr>
          <w:rFonts w:ascii="仿宋_GB2312" w:hAnsi="仿宋_GB2312" w:eastAsia="仿宋_GB2312" w:cs="仿宋_GB2312"/>
          <w:color w:val="000000"/>
          <w:sz w:val="32"/>
          <w:szCs w:val="32"/>
        </w:rPr>
      </w:pPr>
    </w:p>
    <w:p>
      <w:pPr>
        <w:shd w:val="clear" w:color="000000" w:fill="FFFFFF"/>
        <w:spacing w:before="150" w:line="560" w:lineRule="exact"/>
        <w:ind w:firstLine="643"/>
        <w:jc w:val="left"/>
        <w:rPr>
          <w:rFonts w:ascii="仿宋_GB2312" w:hAnsi="仿宋_GB2312" w:eastAsia="仿宋_GB2312" w:cs="仿宋_GB2312"/>
          <w:color w:val="000000"/>
          <w:sz w:val="32"/>
          <w:szCs w:val="32"/>
        </w:rPr>
      </w:pPr>
    </w:p>
    <w:p>
      <w:pPr>
        <w:shd w:val="clear" w:color="000000" w:fill="FFFFFF"/>
        <w:spacing w:before="150" w:line="560" w:lineRule="exact"/>
        <w:ind w:firstLine="643"/>
        <w:jc w:val="left"/>
        <w:rPr>
          <w:rFonts w:ascii="仿宋_GB2312" w:hAnsi="仿宋_GB2312" w:eastAsia="仿宋_GB2312" w:cs="仿宋_GB2312"/>
          <w:color w:val="000000"/>
          <w:sz w:val="32"/>
          <w:szCs w:val="32"/>
        </w:rPr>
      </w:pPr>
    </w:p>
    <w:p>
      <w:pPr>
        <w:shd w:val="clear" w:color="000000" w:fill="FFFFFF"/>
        <w:spacing w:before="150" w:line="560" w:lineRule="exact"/>
        <w:ind w:firstLine="643"/>
        <w:jc w:val="left"/>
        <w:rPr>
          <w:rFonts w:ascii="仿宋_GB2312" w:hAnsi="仿宋_GB2312" w:eastAsia="仿宋_GB2312" w:cs="仿宋_GB2312"/>
          <w:color w:val="000000"/>
          <w:sz w:val="32"/>
          <w:szCs w:val="32"/>
        </w:rPr>
      </w:pPr>
    </w:p>
    <w:p>
      <w:pPr>
        <w:spacing w:after="0" w:line="312" w:lineRule="auto"/>
        <w:ind w:firstLine="0"/>
        <w:rPr>
          <w:rFonts w:hint="eastAsia" w:ascii="仿宋_GB2312" w:hAnsi="仿宋_GB2312" w:eastAsia="仿宋_GB2312" w:cs="仿宋_GB2312"/>
          <w:color w:val="000000"/>
          <w:sz w:val="32"/>
          <w:szCs w:val="32"/>
        </w:rPr>
      </w:pPr>
    </w:p>
    <w:p>
      <w:pPr>
        <w:spacing w:after="0" w:line="312" w:lineRule="auto"/>
        <w:ind w:firstLine="0"/>
        <w:rPr>
          <w:rFonts w:hint="eastAsia" w:ascii="仿宋_GB2312" w:hAnsi="仿宋_GB2312" w:eastAsia="仿宋_GB2312" w:cs="仿宋_GB2312"/>
          <w:b w:val="0"/>
          <w:color w:val="000000"/>
          <w:sz w:val="44"/>
          <w:szCs w:val="44"/>
        </w:rPr>
      </w:pPr>
      <w:r>
        <w:rPr>
          <w:rFonts w:hint="eastAsia" w:ascii="仿宋_GB2312" w:hAnsi="仿宋_GB2312" w:eastAsia="仿宋_GB2312" w:cs="仿宋_GB2312"/>
          <w:color w:val="000000"/>
          <w:sz w:val="32"/>
          <w:szCs w:val="32"/>
        </w:rPr>
        <w:t>附件1</w:t>
      </w:r>
      <w:r>
        <w:rPr>
          <w:rFonts w:hint="eastAsia" w:ascii="仿宋_GB2312" w:hAnsi="仿宋_GB2312" w:eastAsia="仿宋_GB2312" w:cs="仿宋_GB2312"/>
          <w:b w:val="0"/>
          <w:color w:val="000000"/>
          <w:sz w:val="32"/>
          <w:szCs w:val="32"/>
        </w:rPr>
        <w:t xml:space="preserve">   </w:t>
      </w:r>
    </w:p>
    <w:p>
      <w:pPr>
        <w:spacing w:after="0" w:line="312" w:lineRule="auto"/>
        <w:ind w:firstLine="0"/>
        <w:jc w:val="center"/>
        <w:rPr>
          <w:rFonts w:ascii="仿宋_GB2312" w:hAnsi="仿宋_GB2312" w:eastAsia="仿宋_GB2312" w:cs="仿宋_GB2312"/>
          <w:b/>
          <w:color w:val="000000"/>
          <w:sz w:val="44"/>
          <w:szCs w:val="44"/>
        </w:rPr>
      </w:pPr>
      <w:r>
        <w:rPr>
          <w:rFonts w:ascii="仿宋_GB2312" w:hAnsi="仿宋_GB2312" w:eastAsia="仿宋_GB2312" w:cs="仿宋_GB2312"/>
          <w:b/>
          <w:color w:val="000000"/>
          <w:sz w:val="44"/>
          <w:szCs w:val="44"/>
        </w:rPr>
        <w:t>名词解释</w:t>
      </w:r>
    </w:p>
    <w:p>
      <w:pPr>
        <w:spacing w:after="0" w:line="312" w:lineRule="auto"/>
        <w:ind w:firstLine="320"/>
        <w:jc w:val="both"/>
        <w:rPr>
          <w:rFonts w:ascii="仿宋_GB2312" w:hAnsi="仿宋_GB2312" w:eastAsia="仿宋_GB2312" w:cs="仿宋_GB2312"/>
          <w:color w:val="000000"/>
          <w:sz w:val="32"/>
          <w:szCs w:val="32"/>
        </w:rPr>
      </w:pPr>
      <w:r>
        <w:rPr>
          <w:rFonts w:ascii="仿宋_GB2312" w:hAnsi="仿宋_GB2312" w:eastAsia="仿宋_GB2312" w:cs="仿宋_GB2312"/>
          <w:b/>
          <w:color w:val="000000"/>
          <w:sz w:val="32"/>
          <w:szCs w:val="32"/>
        </w:rPr>
        <w:t>1.</w:t>
      </w:r>
      <w:r>
        <w:rPr>
          <w:rFonts w:hint="eastAsia" w:ascii="仿宋_GB2312" w:hAnsi="仿宋_GB2312" w:eastAsia="仿宋_GB2312" w:cs="仿宋_GB2312"/>
          <w:b/>
          <w:color w:val="000000"/>
          <w:sz w:val="32"/>
          <w:szCs w:val="32"/>
        </w:rPr>
        <w:t>“</w:t>
      </w:r>
      <w:r>
        <w:rPr>
          <w:rFonts w:ascii="仿宋_GB2312" w:hAnsi="仿宋_GB2312" w:eastAsia="仿宋_GB2312" w:cs="仿宋_GB2312"/>
          <w:b/>
          <w:color w:val="000000"/>
          <w:sz w:val="32"/>
          <w:szCs w:val="32"/>
        </w:rPr>
        <w:t>两枝花”：</w:t>
      </w:r>
      <w:r>
        <w:rPr>
          <w:rFonts w:ascii="仿宋_GB2312" w:hAnsi="仿宋_GB2312" w:eastAsia="仿宋_GB2312" w:cs="仿宋_GB2312"/>
          <w:color w:val="000000"/>
          <w:sz w:val="32"/>
          <w:szCs w:val="32"/>
        </w:rPr>
        <w:t>斗南花卉小镇和万溪生态花园；“两朵云”：云上云核心区和云上小镇；“两个园”：核心半岛和宝相大健康</w:t>
      </w:r>
      <w:r>
        <w:rPr>
          <w:rFonts w:hint="eastAsia" w:ascii="仿宋_GB2312" w:hAnsi="仿宋_GB2312" w:eastAsia="仿宋_GB2312" w:cs="仿宋_GB2312"/>
          <w:color w:val="000000"/>
          <w:sz w:val="32"/>
          <w:szCs w:val="32"/>
        </w:rPr>
        <w:t>产业园</w:t>
      </w:r>
      <w:r>
        <w:rPr>
          <w:rFonts w:ascii="仿宋_GB2312" w:hAnsi="仿宋_GB2312" w:eastAsia="仿宋_GB2312" w:cs="仿宋_GB2312"/>
          <w:color w:val="000000"/>
          <w:sz w:val="32"/>
          <w:szCs w:val="32"/>
        </w:rPr>
        <w:t>。</w:t>
      </w:r>
    </w:p>
    <w:p>
      <w:pPr>
        <w:spacing w:after="0" w:line="312" w:lineRule="auto"/>
        <w:ind w:firstLine="0"/>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2</w:t>
      </w:r>
      <w:r>
        <w:rPr>
          <w:rFonts w:ascii="仿宋_GB2312" w:hAnsi="仿宋_GB2312" w:eastAsia="仿宋_GB2312" w:cs="仿宋_GB2312"/>
          <w:b/>
          <w:color w:val="000000"/>
          <w:sz w:val="32"/>
          <w:szCs w:val="32"/>
        </w:rPr>
        <w:t>.</w:t>
      </w:r>
      <w:r>
        <w:rPr>
          <w:rFonts w:hint="eastAsia" w:ascii="仿宋_GB2312" w:hAnsi="仿宋_GB2312" w:eastAsia="仿宋_GB2312" w:cs="仿宋_GB2312"/>
          <w:b/>
          <w:color w:val="000000"/>
          <w:sz w:val="32"/>
          <w:szCs w:val="32"/>
        </w:rPr>
        <w:t>“</w:t>
      </w:r>
      <w:r>
        <w:rPr>
          <w:rFonts w:ascii="仿宋_GB2312" w:hAnsi="仿宋_GB2312" w:eastAsia="仿宋_GB2312" w:cs="仿宋_GB2312"/>
          <w:b/>
          <w:color w:val="000000"/>
          <w:sz w:val="32"/>
          <w:szCs w:val="32"/>
        </w:rPr>
        <w:t>七通一平”</w:t>
      </w:r>
      <w:r>
        <w:rPr>
          <w:rFonts w:ascii="仿宋_GB2312" w:hAnsi="仿宋_GB2312" w:eastAsia="仿宋_GB2312" w:cs="仿宋_GB2312"/>
          <w:color w:val="000000"/>
          <w:sz w:val="32"/>
          <w:szCs w:val="32"/>
        </w:rPr>
        <w:t>：指基本建设中前期工作的道路通、给水通、电通、排水通、热力通、电信通、燃气通及土地平整等的基础建设。“七通”是现代化城市最基本必须具备的条件，是造就优美环境的基础，是城市开发建设的重要内容和城市建设赖以迅速发展的先决条件。</w:t>
      </w:r>
    </w:p>
    <w:p>
      <w:pPr>
        <w:spacing w:after="0" w:line="312" w:lineRule="auto"/>
        <w:ind w:firstLine="0"/>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3</w:t>
      </w:r>
      <w:r>
        <w:rPr>
          <w:rFonts w:ascii="仿宋_GB2312" w:hAnsi="仿宋_GB2312" w:eastAsia="仿宋_GB2312" w:cs="仿宋_GB2312"/>
          <w:b/>
          <w:color w:val="000000"/>
          <w:sz w:val="32"/>
          <w:szCs w:val="32"/>
        </w:rPr>
        <w:t>.</w:t>
      </w:r>
      <w:r>
        <w:rPr>
          <w:rFonts w:hint="eastAsia" w:ascii="仿宋_GB2312" w:hAnsi="仿宋_GB2312" w:eastAsia="仿宋_GB2312" w:cs="仿宋_GB2312"/>
          <w:b/>
          <w:color w:val="000000"/>
          <w:sz w:val="32"/>
          <w:szCs w:val="32"/>
        </w:rPr>
        <w:t>“</w:t>
      </w:r>
      <w:r>
        <w:rPr>
          <w:rFonts w:ascii="仿宋_GB2312" w:hAnsi="仿宋_GB2312" w:eastAsia="仿宋_GB2312" w:cs="仿宋_GB2312"/>
          <w:b/>
          <w:color w:val="000000"/>
          <w:sz w:val="32"/>
          <w:szCs w:val="32"/>
        </w:rPr>
        <w:t>一核四区”</w:t>
      </w:r>
      <w:r>
        <w:rPr>
          <w:rFonts w:ascii="仿宋_GB2312" w:hAnsi="仿宋_GB2312" w:eastAsia="仿宋_GB2312" w:cs="仿宋_GB2312"/>
          <w:color w:val="000000"/>
          <w:sz w:val="32"/>
          <w:szCs w:val="32"/>
        </w:rPr>
        <w:t>：呈贡核心区和高新区、经开区、度假区、阳宗海片区。</w:t>
      </w:r>
    </w:p>
    <w:p>
      <w:pPr>
        <w:spacing w:after="0" w:line="312" w:lineRule="auto"/>
        <w:ind w:firstLine="0"/>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4.</w:t>
      </w:r>
      <w:r>
        <w:rPr>
          <w:rFonts w:ascii="仿宋_GB2312" w:hAnsi="仿宋_GB2312" w:eastAsia="仿宋_GB2312" w:cs="仿宋_GB2312"/>
          <w:b/>
          <w:color w:val="000000"/>
          <w:sz w:val="32"/>
          <w:szCs w:val="32"/>
        </w:rPr>
        <w:t>教育</w:t>
      </w:r>
      <w:r>
        <w:rPr>
          <w:rFonts w:hint="eastAsia" w:ascii="仿宋_GB2312" w:hAnsi="仿宋_GB2312" w:eastAsia="仿宋_GB2312" w:cs="仿宋_GB2312"/>
          <w:b/>
          <w:color w:val="000000"/>
          <w:sz w:val="32"/>
          <w:szCs w:val="32"/>
        </w:rPr>
        <w:t>“321计划”：</w:t>
      </w:r>
      <w:r>
        <w:rPr>
          <w:rFonts w:ascii="仿宋_GB2312" w:hAnsi="仿宋_GB2312" w:eastAsia="仿宋_GB2312" w:cs="仿宋_GB2312"/>
          <w:color w:val="000000"/>
          <w:sz w:val="32"/>
          <w:szCs w:val="32"/>
        </w:rPr>
        <w:t>从2014年起，呈贡区财政每年安排不少于1亿元专项资金，并发挥财政资本的放大作用，撬动社会资金投入校舍建设，用3年时间新建、改扩建和配建与城市发展相适应的30所幼儿园、20所小学及10所中学。</w:t>
      </w:r>
    </w:p>
    <w:p>
      <w:pPr>
        <w:spacing w:after="0" w:line="312" w:lineRule="auto"/>
        <w:ind w:firstLine="0"/>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5.教育“三名工程”</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名校，名</w:t>
      </w:r>
      <w:r>
        <w:fldChar w:fldCharType="begin"/>
      </w:r>
      <w:r>
        <w:instrText xml:space="preserve">HYPERLINK "https://baike.so.com/doc/6240432-6453812.html_blank"</w:instrText>
      </w:r>
      <w:r>
        <w:fldChar w:fldCharType="separate"/>
      </w:r>
      <w:r>
        <w:rPr>
          <w:rFonts w:ascii="仿宋_GB2312" w:hAnsi="仿宋_GB2312" w:eastAsia="仿宋_GB2312" w:cs="仿宋_GB2312"/>
          <w:color w:val="000000"/>
          <w:sz w:val="32"/>
          <w:szCs w:val="32"/>
        </w:rPr>
        <w:t>校长</w:t>
      </w:r>
      <w:r>
        <w:rPr>
          <w:rFonts w:ascii="仿宋_GB2312" w:hAnsi="仿宋_GB2312" w:eastAsia="仿宋_GB2312" w:cs="仿宋_GB2312"/>
          <w:color w:val="000000"/>
          <w:sz w:val="32"/>
          <w:szCs w:val="32"/>
        </w:rPr>
        <w:fldChar w:fldCharType="end"/>
      </w:r>
      <w:r>
        <w:rPr>
          <w:rFonts w:ascii="仿宋_GB2312" w:hAnsi="仿宋_GB2312" w:eastAsia="仿宋_GB2312" w:cs="仿宋_GB2312"/>
          <w:color w:val="000000"/>
          <w:sz w:val="32"/>
          <w:szCs w:val="32"/>
        </w:rPr>
        <w:t>，名老师</w:t>
      </w:r>
      <w:r>
        <w:rPr>
          <w:rFonts w:hint="eastAsia" w:ascii="仿宋_GB2312" w:hAnsi="仿宋_GB2312" w:eastAsia="仿宋_GB2312" w:cs="仿宋_GB2312"/>
          <w:color w:val="000000"/>
          <w:sz w:val="32"/>
          <w:szCs w:val="32"/>
        </w:rPr>
        <w:t>培养工程。</w:t>
      </w:r>
    </w:p>
    <w:p>
      <w:pPr>
        <w:spacing w:after="0" w:line="312" w:lineRule="auto"/>
        <w:ind w:firstLine="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6.环滇慢行系统：</w:t>
      </w:r>
      <w:r>
        <w:rPr>
          <w:rFonts w:hint="eastAsia" w:ascii="仿宋_GB2312" w:hAnsi="仿宋_GB2312" w:eastAsia="仿宋_GB2312" w:cs="仿宋_GB2312"/>
          <w:color w:val="000000"/>
          <w:sz w:val="32"/>
          <w:szCs w:val="32"/>
        </w:rPr>
        <w:t>由环滇池闭合的自行车道、步行道组成，宽1.5至2米的步行道，同时建设配套休息设施、观景台等基础设施。</w:t>
      </w:r>
      <w:r>
        <w:rPr>
          <w:rFonts w:ascii="仿宋_GB2312" w:hAnsi="仿宋_GB2312" w:eastAsia="仿宋_GB2312" w:cs="仿宋_GB2312"/>
          <w:b/>
          <w:i w:val="0"/>
          <w:color w:val="000000"/>
          <w:spacing w:val="0"/>
          <w:sz w:val="32"/>
          <w:szCs w:val="32"/>
          <w:highlight w:val="white"/>
        </w:rPr>
        <w:t>7.夜间经济</w:t>
      </w:r>
      <w:r>
        <w:rPr>
          <w:rFonts w:ascii="仿宋_GB2312" w:hAnsi="仿宋_GB2312" w:eastAsia="仿宋_GB2312" w:cs="仿宋_GB2312"/>
          <w:b w:val="0"/>
          <w:i w:val="0"/>
          <w:color w:val="000000"/>
          <w:spacing w:val="0"/>
          <w:sz w:val="32"/>
          <w:szCs w:val="32"/>
          <w:highlight w:val="white"/>
        </w:rPr>
        <w:t>（night-timeeconomy）一词是20世纪70年代英国为改善城市中心区夜晚空巢现象提出的经济学名词，包括“食、游、购、娱、体、展、演”等在内的多元夜间消费市场。“夜间经济”因可以延长经济活动时间、提高设施使用率、激发文化创造、增加社会就业、延长游客滞留时间、提高消费水平、带动区域发展，现已成为城市经济的新蓝海。</w:t>
      </w:r>
    </w:p>
    <w:p>
      <w:pPr>
        <w:spacing w:after="0" w:line="312" w:lineRule="auto"/>
        <w:ind w:firstLine="0"/>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8.</w:t>
      </w:r>
      <w:r>
        <w:rPr>
          <w:rFonts w:ascii="仿宋_GB2312" w:hAnsi="仿宋_GB2312" w:eastAsia="仿宋_GB2312" w:cs="仿宋_GB2312"/>
          <w:b/>
          <w:color w:val="000000"/>
          <w:sz w:val="32"/>
          <w:szCs w:val="32"/>
        </w:rPr>
        <w:t>平台经济</w:t>
      </w:r>
      <w:r>
        <w:rPr>
          <w:rFonts w:hint="eastAsia" w:ascii="仿宋_GB2312" w:hAnsi="仿宋_GB2312" w:eastAsia="仿宋_GB2312" w:cs="仿宋_GB2312"/>
          <w:b/>
          <w:color w:val="000000"/>
          <w:sz w:val="32"/>
          <w:szCs w:val="32"/>
        </w:rPr>
        <w:t>：</w:t>
      </w:r>
      <w:r>
        <w:rPr>
          <w:rFonts w:ascii="仿宋_GB2312" w:hAnsi="仿宋_GB2312" w:eastAsia="仿宋_GB2312" w:cs="仿宋_GB2312"/>
          <w:color w:val="000000"/>
          <w:sz w:val="32"/>
          <w:szCs w:val="32"/>
        </w:rPr>
        <w:t>指一种虚拟或真实的交易场所，平台本身不生产产品，但可以促成双方或多方供求之间的交易，收取恰当的</w:t>
      </w:r>
      <w:r>
        <w:fldChar w:fldCharType="begin"/>
      </w:r>
      <w:r>
        <w:instrText xml:space="preserve">HYPERLINK "https://wiki.mbalib.com/wiki/%E8%B4%B9%E7%94%A8"</w:instrText>
      </w:r>
      <w:r>
        <w:fldChar w:fldCharType="separate"/>
      </w:r>
      <w:r>
        <w:rPr>
          <w:rFonts w:ascii="仿宋_GB2312" w:hAnsi="仿宋_GB2312" w:eastAsia="仿宋_GB2312" w:cs="仿宋_GB2312"/>
          <w:color w:val="000000"/>
          <w:sz w:val="32"/>
          <w:szCs w:val="32"/>
        </w:rPr>
        <w:t>费用</w:t>
      </w:r>
      <w:r>
        <w:rPr>
          <w:rFonts w:ascii="仿宋_GB2312" w:hAnsi="仿宋_GB2312" w:eastAsia="仿宋_GB2312" w:cs="仿宋_GB2312"/>
          <w:color w:val="000000"/>
          <w:sz w:val="32"/>
          <w:szCs w:val="32"/>
        </w:rPr>
        <w:fldChar w:fldCharType="end"/>
      </w:r>
      <w:r>
        <w:rPr>
          <w:rFonts w:ascii="仿宋_GB2312" w:hAnsi="仿宋_GB2312" w:eastAsia="仿宋_GB2312" w:cs="仿宋_GB2312"/>
          <w:color w:val="000000"/>
          <w:sz w:val="32"/>
          <w:szCs w:val="32"/>
        </w:rPr>
        <w:t>或赚取</w:t>
      </w:r>
      <w:r>
        <w:fldChar w:fldCharType="begin"/>
      </w:r>
      <w:r>
        <w:instrText xml:space="preserve">HYPERLINK "https://wiki.mbalib.com/wiki/%E5%B7%AE%E4%BB%B7"</w:instrText>
      </w:r>
      <w:r>
        <w:fldChar w:fldCharType="separate"/>
      </w:r>
      <w:r>
        <w:rPr>
          <w:rFonts w:ascii="仿宋_GB2312" w:hAnsi="仿宋_GB2312" w:eastAsia="仿宋_GB2312" w:cs="仿宋_GB2312"/>
          <w:color w:val="000000"/>
          <w:sz w:val="32"/>
          <w:szCs w:val="32"/>
        </w:rPr>
        <w:t>差价</w:t>
      </w:r>
      <w:r>
        <w:rPr>
          <w:rFonts w:ascii="仿宋_GB2312" w:hAnsi="仿宋_GB2312" w:eastAsia="仿宋_GB2312" w:cs="仿宋_GB2312"/>
          <w:color w:val="000000"/>
          <w:sz w:val="32"/>
          <w:szCs w:val="32"/>
        </w:rPr>
        <w:fldChar w:fldCharType="end"/>
      </w:r>
      <w:r>
        <w:rPr>
          <w:rFonts w:ascii="仿宋_GB2312" w:hAnsi="仿宋_GB2312" w:eastAsia="仿宋_GB2312" w:cs="仿宋_GB2312"/>
          <w:color w:val="000000"/>
          <w:sz w:val="32"/>
          <w:szCs w:val="32"/>
        </w:rPr>
        <w:t>而获得</w:t>
      </w:r>
      <w:r>
        <w:fldChar w:fldCharType="begin"/>
      </w:r>
      <w:r>
        <w:instrText xml:space="preserve">HYPERLINK "https://wiki.mbalib.com/wiki/%E6%94%B6%E7%9B%8A"</w:instrText>
      </w:r>
      <w:r>
        <w:fldChar w:fldCharType="separate"/>
      </w:r>
      <w:r>
        <w:rPr>
          <w:rFonts w:ascii="仿宋_GB2312" w:hAnsi="仿宋_GB2312" w:eastAsia="仿宋_GB2312" w:cs="仿宋_GB2312"/>
          <w:color w:val="000000"/>
          <w:sz w:val="32"/>
          <w:szCs w:val="32"/>
        </w:rPr>
        <w:t>收益</w:t>
      </w:r>
      <w:r>
        <w:rPr>
          <w:rFonts w:ascii="仿宋_GB2312" w:hAnsi="仿宋_GB2312" w:eastAsia="仿宋_GB2312" w:cs="仿宋_GB2312"/>
          <w:color w:val="000000"/>
          <w:sz w:val="32"/>
          <w:szCs w:val="32"/>
        </w:rPr>
        <w:fldChar w:fldCharType="end"/>
      </w:r>
      <w:r>
        <w:rPr>
          <w:rFonts w:ascii="仿宋_GB2312" w:hAnsi="仿宋_GB2312" w:eastAsia="仿宋_GB2312" w:cs="仿宋_GB2312"/>
          <w:color w:val="000000"/>
          <w:sz w:val="32"/>
          <w:szCs w:val="32"/>
        </w:rPr>
        <w:t>的一种</w:t>
      </w:r>
      <w:r>
        <w:fldChar w:fldCharType="begin"/>
      </w:r>
      <w:r>
        <w:instrText xml:space="preserve">HYPERLINK "https://wiki.mbalib.com/wiki/%E5%95%86%E4%B8%9A%E6%A8%A1%E5%BC%8F"</w:instrText>
      </w:r>
      <w:r>
        <w:fldChar w:fldCharType="separate"/>
      </w:r>
      <w:r>
        <w:rPr>
          <w:rFonts w:ascii="仿宋_GB2312" w:hAnsi="仿宋_GB2312" w:eastAsia="仿宋_GB2312" w:cs="仿宋_GB2312"/>
          <w:color w:val="000000"/>
          <w:sz w:val="32"/>
          <w:szCs w:val="32"/>
        </w:rPr>
        <w:t>商业模式</w:t>
      </w:r>
      <w:r>
        <w:rPr>
          <w:rFonts w:ascii="仿宋_GB2312" w:hAnsi="仿宋_GB2312" w:eastAsia="仿宋_GB2312" w:cs="仿宋_GB2312"/>
          <w:color w:val="000000"/>
          <w:sz w:val="32"/>
          <w:szCs w:val="32"/>
        </w:rPr>
        <w:fldChar w:fldCharType="end"/>
      </w:r>
      <w:r>
        <w:rPr>
          <w:rFonts w:ascii="仿宋_GB2312" w:hAnsi="仿宋_GB2312" w:eastAsia="仿宋_GB2312" w:cs="仿宋_GB2312"/>
          <w:color w:val="000000"/>
          <w:sz w:val="32"/>
          <w:szCs w:val="32"/>
        </w:rPr>
        <w:t>。</w:t>
      </w:r>
    </w:p>
    <w:p>
      <w:pPr>
        <w:spacing w:after="0" w:line="312" w:lineRule="auto"/>
        <w:ind w:firstLine="0"/>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9.</w:t>
      </w:r>
      <w:r>
        <w:rPr>
          <w:rFonts w:ascii="仿宋_GB2312" w:hAnsi="仿宋_GB2312" w:eastAsia="仿宋_GB2312" w:cs="仿宋_GB2312"/>
          <w:b/>
          <w:color w:val="000000"/>
          <w:sz w:val="32"/>
          <w:szCs w:val="32"/>
        </w:rPr>
        <w:t>分享经济</w:t>
      </w:r>
      <w:r>
        <w:rPr>
          <w:rFonts w:hint="eastAsia" w:ascii="仿宋_GB2312" w:hAnsi="仿宋_GB2312" w:eastAsia="仿宋_GB2312" w:cs="仿宋_GB2312"/>
          <w:b/>
          <w:color w:val="000000"/>
          <w:sz w:val="32"/>
          <w:szCs w:val="32"/>
        </w:rPr>
        <w:t>：</w:t>
      </w:r>
      <w:r>
        <w:rPr>
          <w:rFonts w:ascii="仿宋_GB2312" w:hAnsi="仿宋_GB2312" w:eastAsia="仿宋_GB2312" w:cs="仿宋_GB2312"/>
          <w:color w:val="000000"/>
          <w:sz w:val="32"/>
          <w:szCs w:val="32"/>
        </w:rPr>
        <w:t>指个人、组织或者企业，通过社会化平台分享闲置实物资源或认知盈余，以低于专业性组织者的边际成本提供服务并获得收入的经济现象，其本质是以租代买，资源的支配权与使用权分离。分享经济将社会海量、分散、闲置资源等，进行平台化、协同化的集聚、复用与供需</w:t>
      </w:r>
      <w:r>
        <w:fldChar w:fldCharType="begin"/>
      </w:r>
      <w:r>
        <w:instrText xml:space="preserve">HYPERLINK "https://baike.so.com/doc/6607026-6820813.html_blank"</w:instrText>
      </w:r>
      <w:r>
        <w:fldChar w:fldCharType="separate"/>
      </w:r>
      <w:r>
        <w:rPr>
          <w:rFonts w:ascii="仿宋_GB2312" w:hAnsi="仿宋_GB2312" w:eastAsia="仿宋_GB2312" w:cs="仿宋_GB2312"/>
          <w:color w:val="000000"/>
          <w:sz w:val="32"/>
          <w:szCs w:val="32"/>
        </w:rPr>
        <w:t>匹配</w:t>
      </w:r>
      <w:r>
        <w:rPr>
          <w:rFonts w:ascii="仿宋_GB2312" w:hAnsi="仿宋_GB2312" w:eastAsia="仿宋_GB2312" w:cs="仿宋_GB2312"/>
          <w:color w:val="000000"/>
          <w:sz w:val="32"/>
          <w:szCs w:val="32"/>
        </w:rPr>
        <w:fldChar w:fldCharType="end"/>
      </w:r>
      <w:r>
        <w:rPr>
          <w:rFonts w:ascii="仿宋_GB2312" w:hAnsi="仿宋_GB2312" w:eastAsia="仿宋_GB2312" w:cs="仿宋_GB2312"/>
          <w:color w:val="000000"/>
          <w:sz w:val="32"/>
          <w:szCs w:val="32"/>
        </w:rPr>
        <w:t>，从而实现经济与社会价值最大化利用的新经济业态。包括不同人或组织之间对生产资料、产品、</w:t>
      </w:r>
      <w:r>
        <w:fldChar w:fldCharType="begin"/>
      </w:r>
      <w:r>
        <w:instrText xml:space="preserve">HYPERLINK "https://baike.so.com/doc/5376575-5612695.html_blank"</w:instrText>
      </w:r>
      <w:r>
        <w:fldChar w:fldCharType="separate"/>
      </w:r>
      <w:r>
        <w:rPr>
          <w:rFonts w:ascii="仿宋_GB2312" w:hAnsi="仿宋_GB2312" w:eastAsia="仿宋_GB2312" w:cs="仿宋_GB2312"/>
          <w:color w:val="000000"/>
          <w:sz w:val="32"/>
          <w:szCs w:val="32"/>
        </w:rPr>
        <w:t>分销渠道</w:t>
      </w:r>
      <w:r>
        <w:rPr>
          <w:rFonts w:ascii="仿宋_GB2312" w:hAnsi="仿宋_GB2312" w:eastAsia="仿宋_GB2312" w:cs="仿宋_GB2312"/>
          <w:color w:val="000000"/>
          <w:sz w:val="32"/>
          <w:szCs w:val="32"/>
        </w:rPr>
        <w:fldChar w:fldCharType="end"/>
      </w:r>
      <w:r>
        <w:rPr>
          <w:rFonts w:ascii="仿宋_GB2312" w:hAnsi="仿宋_GB2312" w:eastAsia="仿宋_GB2312" w:cs="仿宋_GB2312"/>
          <w:color w:val="000000"/>
          <w:sz w:val="32"/>
          <w:szCs w:val="32"/>
        </w:rPr>
        <w:t>、处于交易或消费过程中的商品和服务的分享。</w:t>
      </w:r>
      <w:r>
        <w:rPr>
          <w:rFonts w:hint="eastAsia" w:ascii="仿宋_GB2312" w:hAnsi="仿宋_GB2312" w:eastAsia="仿宋_GB2312" w:cs="仿宋_GB2312"/>
          <w:b/>
          <w:color w:val="000000"/>
          <w:sz w:val="32"/>
          <w:szCs w:val="32"/>
        </w:rPr>
        <w:t>10.AI:</w:t>
      </w:r>
      <w:r>
        <w:rPr>
          <w:rFonts w:ascii="仿宋_GB2312" w:hAnsi="仿宋_GB2312" w:eastAsia="仿宋_GB2312" w:cs="仿宋_GB2312"/>
          <w:color w:val="000000"/>
          <w:sz w:val="32"/>
          <w:szCs w:val="32"/>
        </w:rPr>
        <w:t>人工智能</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英语：Artificial Intelligence，缩写为AI</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亦称智械、机器智能，指由人制造出来的机器所表现出来的智能。通常人工智能是指通过普通计算机程序来呈现人类智能的技术。该词也指出研究这样的智能系统是否能够实现，以及如何实现。人工智能的研究是高度技术性和专业的，各分支领域都是深入且各不相通的，因而涉及范围极广。AI的核心问题包括建构能够跟人类似甚至超卓的推理、知识、规划、学习、交流、感知、移物、使用工具和操控机械的能力等。当前有大量的工具应用了人工智能，其中包括搜索和数学优化、逻辑推演。而基于仿生学、认知心理学，以及基于概率论和经济学的算法等等也在逐步探索当中。 思维来源于大脑，而思维控制行为，行为需要意志去实现，而思维又是对所有数据采集的整理，相当于数据库，所以人工智能最后会演变为机器替换人类。</w:t>
      </w:r>
    </w:p>
    <w:p>
      <w:pPr>
        <w:spacing w:after="0" w:line="312" w:lineRule="auto"/>
        <w:ind w:firstLine="320"/>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11.VR:</w:t>
      </w:r>
      <w:r>
        <w:rPr>
          <w:rFonts w:hint="eastAsia" w:ascii="仿宋_GB2312" w:hAnsi="仿宋_GB2312" w:eastAsia="仿宋_GB2312" w:cs="仿宋_GB2312"/>
          <w:color w:val="000000"/>
          <w:sz w:val="32"/>
          <w:szCs w:val="32"/>
        </w:rPr>
        <w:t>指</w:t>
      </w:r>
      <w:r>
        <w:rPr>
          <w:rFonts w:ascii="仿宋_GB2312" w:hAnsi="仿宋_GB2312" w:eastAsia="仿宋_GB2312" w:cs="仿宋_GB2312"/>
          <w:color w:val="000000"/>
          <w:sz w:val="32"/>
          <w:szCs w:val="32"/>
        </w:rPr>
        <w:t>虚拟现实技术是仿真技术的一个重要方向，是仿真技术与计算机图形学、人机接口技术、多媒体技术、传感技术、网络技术、等多种技术的集合。是一门富有挑战性的交叉技术前沿学科和研究领域。虚拟现实技术(VR)主要包括模拟环境、感知、自然技能和传感设备等方面。</w:t>
      </w:r>
    </w:p>
    <w:p>
      <w:pPr>
        <w:shd w:val="clear" w:color="000000"/>
        <w:spacing w:before="0" w:line="312" w:lineRule="auto"/>
        <w:ind w:firstLine="640"/>
        <w:rPr>
          <w:rFonts w:ascii="黑体" w:hAnsi="黑体" w:eastAsia="黑体" w:cs="黑体"/>
          <w:color w:val="000000"/>
          <w:sz w:val="32"/>
          <w:szCs w:val="32"/>
        </w:rPr>
      </w:pPr>
    </w:p>
    <w:p>
      <w:pPr>
        <w:spacing w:line="312" w:lineRule="auto"/>
        <w:jc w:val="left"/>
        <w:rPr>
          <w:rFonts w:ascii="仿宋_GB2312" w:hAnsi="仿宋_GB2312" w:eastAsia="仿宋_GB2312" w:cs="仿宋_GB2312"/>
          <w:color w:val="000000"/>
          <w:sz w:val="32"/>
          <w:szCs w:val="32"/>
        </w:rPr>
      </w:pPr>
    </w:p>
    <w:p>
      <w:pPr>
        <w:spacing w:line="312" w:lineRule="auto"/>
        <w:jc w:val="left"/>
        <w:rPr>
          <w:rFonts w:ascii="仿宋_GB2312" w:hAnsi="仿宋_GB2312" w:eastAsia="仿宋_GB2312" w:cs="仿宋_GB2312"/>
          <w:color w:val="000000"/>
          <w:sz w:val="32"/>
          <w:szCs w:val="32"/>
        </w:rPr>
      </w:pPr>
    </w:p>
    <w:p>
      <w:pPr>
        <w:spacing w:line="312" w:lineRule="auto"/>
        <w:jc w:val="left"/>
        <w:rPr>
          <w:rFonts w:ascii="仿宋_GB2312" w:hAnsi="仿宋_GB2312" w:eastAsia="仿宋_GB2312" w:cs="仿宋_GB2312"/>
          <w:color w:val="000000"/>
          <w:sz w:val="32"/>
          <w:szCs w:val="32"/>
        </w:rPr>
      </w:pPr>
    </w:p>
    <w:p>
      <w:pPr>
        <w:spacing w:line="312" w:lineRule="auto"/>
        <w:jc w:val="left"/>
        <w:rPr>
          <w:rFonts w:ascii="仿宋_GB2312" w:hAnsi="仿宋_GB2312" w:eastAsia="仿宋_GB2312" w:cs="仿宋_GB2312"/>
          <w:color w:val="000000"/>
          <w:sz w:val="32"/>
          <w:szCs w:val="32"/>
        </w:rPr>
      </w:pPr>
    </w:p>
    <w:p>
      <w:pPr>
        <w:spacing w:line="312" w:lineRule="auto"/>
        <w:jc w:val="left"/>
        <w:rPr>
          <w:rFonts w:ascii="仿宋_GB2312" w:hAnsi="仿宋_GB2312" w:eastAsia="仿宋_GB2312" w:cs="仿宋_GB2312"/>
          <w:color w:val="000000"/>
          <w:sz w:val="32"/>
          <w:szCs w:val="32"/>
        </w:rPr>
      </w:pPr>
    </w:p>
    <w:p>
      <w:pPr>
        <w:spacing w:line="312" w:lineRule="auto"/>
        <w:jc w:val="left"/>
        <w:rPr>
          <w:rFonts w:ascii="仿宋_GB2312" w:hAnsi="仿宋_GB2312" w:eastAsia="仿宋_GB2312" w:cs="仿宋_GB2312"/>
          <w:color w:val="000000"/>
          <w:sz w:val="32"/>
          <w:szCs w:val="32"/>
        </w:rPr>
      </w:pPr>
    </w:p>
    <w:p>
      <w:pPr>
        <w:spacing w:line="312" w:lineRule="auto"/>
        <w:jc w:val="left"/>
        <w:rPr>
          <w:rFonts w:ascii="仿宋_GB2312" w:hAnsi="仿宋_GB2312" w:eastAsia="仿宋_GB2312" w:cs="仿宋_GB2312"/>
          <w:color w:val="000000"/>
          <w:sz w:val="32"/>
          <w:szCs w:val="32"/>
        </w:rPr>
      </w:pPr>
    </w:p>
    <w:p>
      <w:pPr>
        <w:spacing w:line="312" w:lineRule="auto"/>
        <w:jc w:val="left"/>
        <w:rPr>
          <w:rFonts w:ascii="仿宋_GB2312" w:hAnsi="仿宋_GB2312" w:eastAsia="仿宋_GB2312" w:cs="仿宋_GB2312"/>
          <w:color w:val="000000"/>
          <w:sz w:val="32"/>
          <w:szCs w:val="32"/>
        </w:rPr>
      </w:pPr>
    </w:p>
    <w:p>
      <w:pPr>
        <w:spacing w:line="312" w:lineRule="auto"/>
        <w:jc w:val="left"/>
        <w:rPr>
          <w:rFonts w:ascii="仿宋_GB2312" w:hAnsi="仿宋_GB2312" w:eastAsia="仿宋_GB2312" w:cs="仿宋_GB2312"/>
          <w:color w:val="000000"/>
          <w:sz w:val="32"/>
          <w:szCs w:val="32"/>
        </w:rPr>
      </w:pPr>
    </w:p>
    <w:p>
      <w:pPr>
        <w:spacing w:line="312" w:lineRule="auto"/>
        <w:jc w:val="left"/>
        <w:rPr>
          <w:rFonts w:ascii="仿宋_GB2312" w:hAnsi="仿宋_GB2312" w:eastAsia="仿宋_GB2312" w:cs="仿宋_GB2312"/>
          <w:color w:val="000000"/>
          <w:sz w:val="32"/>
          <w:szCs w:val="32"/>
        </w:rPr>
      </w:pPr>
    </w:p>
    <w:p>
      <w:pPr>
        <w:spacing w:line="312" w:lineRule="auto"/>
        <w:jc w:val="left"/>
        <w:rPr>
          <w:rFonts w:ascii="仿宋_GB2312" w:hAnsi="仿宋_GB2312" w:eastAsia="仿宋_GB2312" w:cs="仿宋_GB2312"/>
          <w:color w:val="000000"/>
          <w:sz w:val="32"/>
          <w:szCs w:val="32"/>
        </w:rPr>
      </w:pPr>
    </w:p>
    <w:p>
      <w:pPr>
        <w:spacing w:line="312" w:lineRule="auto"/>
        <w:jc w:val="left"/>
        <w:rPr>
          <w:rFonts w:ascii="仿宋_GB2312" w:hAnsi="仿宋_GB2312" w:eastAsia="仿宋_GB2312" w:cs="仿宋_GB2312"/>
          <w:color w:val="000000"/>
          <w:sz w:val="32"/>
          <w:szCs w:val="32"/>
        </w:rPr>
      </w:pPr>
    </w:p>
    <w:p>
      <w:pPr>
        <w:spacing w:line="312" w:lineRule="auto"/>
        <w:jc w:val="left"/>
        <w:rPr>
          <w:rFonts w:ascii="仿宋_GB2312" w:hAnsi="仿宋_GB2312" w:eastAsia="仿宋_GB2312" w:cs="仿宋_GB2312"/>
          <w:color w:val="000000"/>
          <w:sz w:val="32"/>
          <w:szCs w:val="32"/>
        </w:rPr>
      </w:pPr>
    </w:p>
    <w:p>
      <w:pPr>
        <w:spacing w:line="312" w:lineRule="auto"/>
        <w:jc w:val="left"/>
        <w:rPr>
          <w:rFonts w:ascii="仿宋_GB2312" w:hAnsi="仿宋_GB2312" w:eastAsia="仿宋_GB2312" w:cs="仿宋_GB2312"/>
          <w:color w:val="000000"/>
          <w:sz w:val="32"/>
          <w:szCs w:val="32"/>
        </w:rPr>
      </w:pPr>
    </w:p>
    <w:p>
      <w:pPr>
        <w:spacing w:line="312" w:lineRule="auto"/>
        <w:jc w:val="left"/>
        <w:rPr>
          <w:rFonts w:ascii="仿宋_GB2312" w:hAnsi="仿宋_GB2312" w:eastAsia="仿宋_GB2312" w:cs="仿宋_GB2312"/>
          <w:color w:val="000000"/>
          <w:sz w:val="32"/>
          <w:szCs w:val="32"/>
        </w:rPr>
      </w:pPr>
    </w:p>
    <w:p>
      <w:pPr>
        <w:spacing w:line="312" w:lineRule="auto"/>
        <w:jc w:val="left"/>
        <w:rPr>
          <w:rFonts w:ascii="仿宋_GB2312" w:hAnsi="仿宋_GB2312" w:eastAsia="仿宋_GB2312" w:cs="仿宋_GB2312"/>
          <w:color w:val="000000"/>
          <w:sz w:val="32"/>
          <w:szCs w:val="32"/>
        </w:rPr>
      </w:pPr>
    </w:p>
    <w:p>
      <w:pPr>
        <w:spacing w:line="312" w:lineRule="auto"/>
        <w:jc w:val="left"/>
        <w:rPr>
          <w:rFonts w:ascii="仿宋_GB2312" w:hAnsi="仿宋_GB2312" w:eastAsia="仿宋_GB2312" w:cs="仿宋_GB2312"/>
          <w:color w:val="000000"/>
          <w:sz w:val="32"/>
          <w:szCs w:val="32"/>
        </w:rPr>
      </w:pPr>
    </w:p>
    <w:p>
      <w:pPr>
        <w:spacing w:line="312" w:lineRule="auto"/>
        <w:jc w:val="left"/>
        <w:rPr>
          <w:rFonts w:ascii="仿宋_GB2312" w:hAnsi="仿宋_GB2312" w:eastAsia="仿宋_GB2312" w:cs="仿宋_GB2312"/>
          <w:color w:val="000000"/>
          <w:sz w:val="32"/>
          <w:szCs w:val="32"/>
        </w:rPr>
      </w:pPr>
    </w:p>
    <w:p>
      <w:pPr>
        <w:spacing w:line="312" w:lineRule="auto"/>
        <w:jc w:val="left"/>
        <w:rPr>
          <w:rFonts w:ascii="仿宋_GB2312" w:hAnsi="仿宋_GB2312" w:eastAsia="仿宋_GB2312" w:cs="仿宋_GB2312"/>
          <w:color w:val="000000"/>
          <w:sz w:val="32"/>
          <w:szCs w:val="32"/>
        </w:rPr>
      </w:pPr>
    </w:p>
    <w:p>
      <w:pPr>
        <w:spacing w:line="312" w:lineRule="auto"/>
        <w:jc w:val="left"/>
        <w:rPr>
          <w:rFonts w:ascii="仿宋_GB2312" w:hAnsi="仿宋_GB2312" w:eastAsia="仿宋_GB2312" w:cs="仿宋_GB2312"/>
          <w:color w:val="000000"/>
          <w:sz w:val="32"/>
          <w:szCs w:val="32"/>
        </w:rPr>
      </w:pPr>
    </w:p>
    <w:p>
      <w:pPr>
        <w:spacing w:line="312" w:lineRule="auto"/>
        <w:jc w:val="left"/>
        <w:rPr>
          <w:rFonts w:ascii="仿宋_GB2312" w:hAnsi="仿宋_GB2312" w:eastAsia="仿宋_GB2312" w:cs="仿宋_GB2312"/>
          <w:color w:val="000000"/>
          <w:sz w:val="32"/>
          <w:szCs w:val="32"/>
        </w:rPr>
      </w:pPr>
    </w:p>
    <w:p>
      <w:pPr>
        <w:spacing w:line="312" w:lineRule="auto"/>
        <w:jc w:val="left"/>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附件二</w:t>
      </w:r>
    </w:p>
    <w:p>
      <w:pPr>
        <w:spacing w:line="312" w:lineRule="auto"/>
        <w:jc w:val="center"/>
        <w:rPr>
          <w:rFonts w:ascii="仿宋_GB2312" w:hAnsi="仿宋_GB2312" w:cs="仿宋_GB2312" w:eastAsiaTheme="minorEastAsia"/>
          <w:b/>
          <w:color w:val="000000"/>
          <w:sz w:val="44"/>
          <w:szCs w:val="44"/>
        </w:rPr>
      </w:pPr>
      <w:r>
        <w:rPr>
          <w:rFonts w:ascii="仿宋_GB2312" w:hAnsi="仿宋_GB2312" w:eastAsia="仿宋_GB2312" w:cs="仿宋_GB2312"/>
          <w:b/>
          <w:color w:val="000000"/>
          <w:sz w:val="44"/>
          <w:szCs w:val="44"/>
        </w:rPr>
        <w:t>编制说明</w:t>
      </w:r>
    </w:p>
    <w:p>
      <w:pPr>
        <w:spacing w:line="312" w:lineRule="auto"/>
        <w:jc w:val="center"/>
        <w:rPr>
          <w:rFonts w:ascii="仿宋_GB2312" w:hAnsi="仿宋_GB2312" w:cs="仿宋_GB2312" w:eastAsiaTheme="minorEastAsia"/>
          <w:color w:val="000000"/>
          <w:sz w:val="44"/>
          <w:szCs w:val="44"/>
        </w:rPr>
      </w:pPr>
    </w:p>
    <w:p>
      <w:pPr>
        <w:spacing w:line="312" w:lineRule="auto"/>
        <w:ind w:firstLine="640"/>
        <w:rPr>
          <w:rFonts w:ascii="仿宋_GB2312" w:hAnsi="仿宋_GB2312" w:eastAsia="仿宋_GB2312" w:cs="仿宋_GB2312"/>
          <w:b/>
          <w:color w:val="000000"/>
          <w:sz w:val="32"/>
          <w:szCs w:val="32"/>
        </w:rPr>
      </w:pPr>
      <w:r>
        <w:rPr>
          <w:rFonts w:ascii="仿宋_GB2312" w:hAnsi="仿宋_GB2312" w:eastAsia="仿宋_GB2312" w:cs="仿宋_GB2312"/>
          <w:b/>
          <w:color w:val="000000"/>
          <w:sz w:val="32"/>
          <w:szCs w:val="32"/>
        </w:rPr>
        <w:t>一、关于文本结构和内容</w:t>
      </w:r>
    </w:p>
    <w:p>
      <w:pPr>
        <w:spacing w:line="560" w:lineRule="exact"/>
        <w:ind w:firstLine="520"/>
        <w:outlineLvl w:val="7"/>
        <w:rPr>
          <w:rFonts w:ascii="仿宋_GB2312" w:hAnsi="仿宋_GB2312" w:cs="仿宋_GB2312" w:eastAsiaTheme="minorEastAsia"/>
          <w:color w:val="000000"/>
          <w:sz w:val="32"/>
          <w:szCs w:val="32"/>
        </w:rPr>
      </w:pPr>
      <w:r>
        <w:rPr>
          <w:rFonts w:ascii="仿宋_GB2312" w:hAnsi="仿宋_GB2312" w:eastAsia="仿宋_GB2312" w:cs="仿宋_GB2312"/>
          <w:color w:val="000000"/>
          <w:sz w:val="32"/>
          <w:szCs w:val="32"/>
        </w:rPr>
        <w:t>本规划的编制，以世界春城花都、现代科创新城、健康颐养新区和国际门户枢纽“四个品牌”建设为统揽，学习借鉴先进发达地区的经验和做法，将文本分为编制背景、发展要求、空间布局、发展任务四大部分，全面分析了发展基础、存在问题、发展环境等编制背景，重点提出了“十四五”现代服务业发展的指导思想、基本原则、发展目标,“两核两带六片多点”的发展空间布局，“聚焦十大重点行业，引领现代服务业高质量发展;实施六大行动计划，推进现代服务业高质量发展;强化五条工作措施，保障现代服务业高质量发展”的工作任务。</w:t>
      </w:r>
    </w:p>
    <w:p>
      <w:pPr>
        <w:spacing w:line="560" w:lineRule="exact"/>
        <w:ind w:firstLine="520"/>
        <w:outlineLvl w:val="7"/>
        <w:rPr>
          <w:rFonts w:ascii="仿宋_GB2312" w:hAnsi="仿宋_GB2312" w:cs="仿宋_GB2312" w:eastAsiaTheme="minorEastAsia"/>
          <w:color w:val="000000"/>
          <w:sz w:val="32"/>
          <w:szCs w:val="32"/>
        </w:rPr>
      </w:pPr>
    </w:p>
    <w:p>
      <w:pPr>
        <w:spacing w:line="312" w:lineRule="auto"/>
        <w:ind w:firstLine="640"/>
        <w:rPr>
          <w:rFonts w:ascii="仿宋_GB2312" w:hAnsi="仿宋_GB2312" w:eastAsia="仿宋_GB2312" w:cs="仿宋_GB2312"/>
          <w:b/>
          <w:color w:val="000000"/>
          <w:sz w:val="32"/>
          <w:szCs w:val="32"/>
        </w:rPr>
      </w:pPr>
      <w:r>
        <w:rPr>
          <w:rFonts w:ascii="仿宋_GB2312" w:hAnsi="仿宋_GB2312" w:eastAsia="仿宋_GB2312" w:cs="仿宋_GB2312"/>
          <w:b/>
          <w:color w:val="000000"/>
          <w:sz w:val="32"/>
          <w:szCs w:val="32"/>
        </w:rPr>
        <w:t>二、关于文本中部分数据</w:t>
      </w:r>
    </w:p>
    <w:p>
      <w:pPr>
        <w:spacing w:line="312" w:lineRule="auto"/>
        <w:ind w:firstLine="640"/>
        <w:rPr>
          <w:rFonts w:ascii="仿宋_GB2312" w:hAnsi="仿宋_GB2312" w:cs="仿宋_GB2312" w:eastAsiaTheme="minorEastAsia"/>
          <w:color w:val="000000"/>
          <w:sz w:val="32"/>
          <w:szCs w:val="32"/>
        </w:rPr>
      </w:pPr>
      <w:r>
        <w:rPr>
          <w:rFonts w:ascii="仿宋_GB2312" w:hAnsi="仿宋_GB2312" w:eastAsia="仿宋_GB2312" w:cs="仿宋_GB2312"/>
          <w:color w:val="000000"/>
          <w:sz w:val="32"/>
          <w:szCs w:val="32"/>
        </w:rPr>
        <w:t>按编制要求，当期数据应使用2020年数据，但由于2020年数据要到今年底才能出来，因此，文本中部分数据先暂时使用2019年数据，待2020年新数据出来后再更新。目前，2019年部分数据还未最后确定。</w:t>
      </w:r>
    </w:p>
    <w:p>
      <w:pPr>
        <w:spacing w:line="312" w:lineRule="auto"/>
        <w:ind w:firstLine="640"/>
        <w:rPr>
          <w:rFonts w:ascii="仿宋_GB2312" w:hAnsi="仿宋_GB2312" w:cs="仿宋_GB2312" w:eastAsiaTheme="minorEastAsia"/>
          <w:color w:val="000000"/>
          <w:sz w:val="32"/>
          <w:szCs w:val="32"/>
        </w:rPr>
      </w:pPr>
    </w:p>
    <w:p>
      <w:pPr>
        <w:spacing w:line="312" w:lineRule="auto"/>
        <w:ind w:firstLine="640"/>
        <w:rPr>
          <w:rFonts w:ascii="仿宋_GB2312" w:hAnsi="仿宋_GB2312" w:eastAsia="仿宋_GB2312" w:cs="仿宋_GB2312"/>
          <w:b/>
          <w:color w:val="000000"/>
          <w:sz w:val="32"/>
          <w:szCs w:val="32"/>
        </w:rPr>
      </w:pPr>
      <w:r>
        <w:rPr>
          <w:rFonts w:ascii="仿宋_GB2312" w:hAnsi="仿宋_GB2312" w:eastAsia="仿宋_GB2312" w:cs="仿宋_GB2312"/>
          <w:b/>
          <w:color w:val="000000"/>
          <w:sz w:val="32"/>
          <w:szCs w:val="32"/>
        </w:rPr>
        <w:t>三、关于“十四五”发展指标体系</w:t>
      </w:r>
    </w:p>
    <w:p>
      <w:pPr>
        <w:spacing w:line="312" w:lineRule="auto"/>
        <w:ind w:firstLine="640"/>
        <w:rPr>
          <w:rFonts w:ascii="仿宋_GB2312" w:hAnsi="仿宋_GB2312" w:cs="仿宋_GB2312" w:eastAsiaTheme="minorEastAsia"/>
          <w:color w:val="000000"/>
          <w:sz w:val="32"/>
          <w:szCs w:val="32"/>
        </w:rPr>
      </w:pPr>
      <w:r>
        <w:rPr>
          <w:rFonts w:ascii="仿宋_GB2312" w:hAnsi="仿宋_GB2312" w:eastAsia="仿宋_GB2312" w:cs="仿宋_GB2312"/>
          <w:color w:val="000000"/>
          <w:sz w:val="32"/>
          <w:szCs w:val="32"/>
        </w:rPr>
        <w:t>参照先进发达地区的做法和昆明市“十四五”现代服务业发展初步指标及《呈贡区建设区域性国际中心城市现代化科教创新新城行动计划（2019-2035》，呈贡区“十四五”现代服务业发展指标体系考虑为发展实力、发展质量、创新能力、竞争实力等4大方面，现代服务业增加值等10个小项。指标绝对值是在全面分析“十三五”发展基础和“十四五”发展优势、预期上确立的，总体上略高于市级水平。目前，市级“十四五”发展指标尚未最终确定，等市级确定后，将根据市级要求做相应调整。</w:t>
      </w:r>
    </w:p>
    <w:p>
      <w:pPr>
        <w:spacing w:line="312" w:lineRule="auto"/>
        <w:ind w:firstLine="640"/>
        <w:rPr>
          <w:rFonts w:ascii="仿宋_GB2312" w:hAnsi="仿宋_GB2312" w:cs="仿宋_GB2312" w:eastAsiaTheme="minorEastAsia"/>
          <w:color w:val="000000"/>
          <w:sz w:val="32"/>
          <w:szCs w:val="32"/>
        </w:rPr>
      </w:pPr>
    </w:p>
    <w:p>
      <w:pPr>
        <w:spacing w:line="312" w:lineRule="auto"/>
        <w:ind w:firstLine="640"/>
        <w:rPr>
          <w:rFonts w:ascii="仿宋_GB2312" w:hAnsi="仿宋_GB2312" w:eastAsia="仿宋_GB2312" w:cs="仿宋_GB2312"/>
          <w:b/>
          <w:color w:val="000000"/>
          <w:sz w:val="32"/>
          <w:szCs w:val="32"/>
        </w:rPr>
      </w:pPr>
      <w:r>
        <w:rPr>
          <w:rFonts w:ascii="仿宋_GB2312" w:hAnsi="仿宋_GB2312" w:eastAsia="仿宋_GB2312" w:cs="仿宋_GB2312"/>
          <w:b/>
          <w:color w:val="000000"/>
          <w:sz w:val="32"/>
          <w:szCs w:val="32"/>
        </w:rPr>
        <w:t>四、关于全区域规划</w:t>
      </w:r>
    </w:p>
    <w:p>
      <w:pPr>
        <w:spacing w:line="312" w:lineRule="auto"/>
        <w:ind w:firstLine="640"/>
        <w:rPr>
          <w:rFonts w:ascii="仿宋_GB2312" w:hAnsi="仿宋_GB2312" w:cs="仿宋_GB2312" w:eastAsiaTheme="minorEastAsia"/>
          <w:color w:val="000000"/>
          <w:sz w:val="32"/>
          <w:szCs w:val="32"/>
        </w:rPr>
      </w:pPr>
      <w:r>
        <w:rPr>
          <w:rFonts w:ascii="仿宋_GB2312" w:hAnsi="仿宋_GB2312" w:eastAsia="仿宋_GB2312" w:cs="仿宋_GB2312"/>
          <w:color w:val="000000"/>
          <w:sz w:val="32"/>
          <w:szCs w:val="32"/>
        </w:rPr>
        <w:t>本规划范围虽然为全区461平方公里，但按市级托管决定和托管区实际，涉及的4个托管区也都在编制各自相应的发展规划。文本中对4个托管区只从空间布局等方面进行简要描述。</w:t>
      </w:r>
    </w:p>
    <w:p>
      <w:pPr>
        <w:spacing w:line="312" w:lineRule="auto"/>
        <w:ind w:firstLine="640"/>
        <w:rPr>
          <w:rFonts w:ascii="仿宋_GB2312" w:hAnsi="仿宋_GB2312" w:cs="仿宋_GB2312" w:eastAsiaTheme="minorEastAsia"/>
          <w:color w:val="000000"/>
          <w:sz w:val="32"/>
          <w:szCs w:val="32"/>
        </w:rPr>
      </w:pPr>
    </w:p>
    <w:p>
      <w:pPr>
        <w:spacing w:line="312" w:lineRule="auto"/>
        <w:ind w:firstLine="640"/>
        <w:rPr>
          <w:rFonts w:ascii="仿宋_GB2312" w:hAnsi="仿宋_GB2312" w:eastAsia="仿宋_GB2312" w:cs="仿宋_GB2312"/>
          <w:b/>
          <w:color w:val="000000"/>
          <w:sz w:val="32"/>
          <w:szCs w:val="32"/>
        </w:rPr>
      </w:pPr>
      <w:r>
        <w:rPr>
          <w:rFonts w:ascii="仿宋_GB2312" w:hAnsi="仿宋_GB2312" w:eastAsia="仿宋_GB2312" w:cs="仿宋_GB2312"/>
          <w:b/>
          <w:color w:val="000000"/>
          <w:sz w:val="32"/>
          <w:szCs w:val="32"/>
        </w:rPr>
        <w:t>五、关于“十四五”推进项目</w:t>
      </w:r>
    </w:p>
    <w:p>
      <w:pPr>
        <w:spacing w:line="312" w:lineRule="auto"/>
        <w:ind w:firstLine="640"/>
        <w:rPr>
          <w:rFonts w:ascii="仿宋_GB2312" w:hAnsi="仿宋_GB2312" w:cs="仿宋_GB2312" w:eastAsiaTheme="minorEastAsia"/>
          <w:color w:val="000000"/>
          <w:sz w:val="32"/>
          <w:szCs w:val="32"/>
        </w:rPr>
      </w:pPr>
      <w:r>
        <w:rPr>
          <w:rFonts w:ascii="仿宋_GB2312" w:hAnsi="仿宋_GB2312" w:eastAsia="仿宋_GB2312" w:cs="仿宋_GB2312"/>
          <w:color w:val="000000"/>
          <w:sz w:val="32"/>
          <w:szCs w:val="32"/>
        </w:rPr>
        <w:t>由于现代服务业涉及类别多、关联性强，附件中设置了《昆明市呈贡区“十四五”现代服务业相关项目推进计划表》。表中项目根据发展变化情况将逐步进行更新。现代服务业具体项目各相关部门正在梳理，待情况汇拢后再逐一列出。</w:t>
      </w:r>
    </w:p>
    <w:p>
      <w:pPr>
        <w:shd w:val="clear" w:color="000000" w:fill="FFFFFF"/>
        <w:spacing w:before="375" w:line="360" w:lineRule="auto"/>
        <w:rPr>
          <w:rFonts w:hint="eastAsia" w:ascii="黑体" w:hAnsi="黑体" w:eastAsia="黑体" w:cs="黑体"/>
          <w:color w:val="000000"/>
          <w:sz w:val="32"/>
          <w:szCs w:val="32"/>
        </w:rPr>
      </w:pPr>
    </w:p>
    <w:p>
      <w:pPr>
        <w:shd w:val="clear" w:color="000000" w:fill="FFFFFF"/>
        <w:spacing w:before="375" w:line="360" w:lineRule="auto"/>
        <w:rPr>
          <w:rFonts w:hint="eastAsia" w:ascii="黑体" w:hAnsi="黑体" w:eastAsia="黑体" w:cs="黑体"/>
          <w:color w:val="000000"/>
          <w:sz w:val="32"/>
          <w:szCs w:val="32"/>
        </w:rPr>
      </w:pPr>
    </w:p>
    <w:p>
      <w:pPr>
        <w:shd w:val="clear" w:color="000000" w:fill="FFFFFF"/>
        <w:spacing w:before="375" w:line="360" w:lineRule="auto"/>
        <w:rPr>
          <w:rFonts w:hint="eastAsia" w:ascii="黑体" w:hAnsi="黑体" w:eastAsia="黑体" w:cs="黑体"/>
          <w:color w:val="000000"/>
          <w:sz w:val="32"/>
          <w:szCs w:val="32"/>
        </w:rPr>
      </w:pPr>
    </w:p>
    <w:p>
      <w:pPr>
        <w:shd w:val="clear" w:color="000000" w:fill="FFFFFF"/>
        <w:spacing w:before="375" w:line="360" w:lineRule="auto"/>
        <w:rPr>
          <w:rFonts w:hint="eastAsia" w:ascii="黑体" w:hAnsi="黑体" w:eastAsia="黑体" w:cs="黑体"/>
          <w:color w:val="000000"/>
          <w:sz w:val="32"/>
          <w:szCs w:val="32"/>
        </w:rPr>
      </w:pPr>
    </w:p>
    <w:p>
      <w:pPr>
        <w:shd w:val="clear" w:color="000000" w:fill="FFFFFF"/>
        <w:spacing w:before="375" w:line="360" w:lineRule="auto"/>
        <w:rPr>
          <w:rFonts w:ascii="黑体" w:hAnsi="黑体" w:eastAsia="黑体" w:cs="黑体"/>
          <w:color w:val="000000"/>
          <w:sz w:val="32"/>
          <w:szCs w:val="32"/>
        </w:rPr>
      </w:pPr>
    </w:p>
    <w:p>
      <w:pPr>
        <w:shd w:val="clear" w:color="000000" w:fill="FFFFFF"/>
        <w:spacing w:before="375" w:line="360" w:lineRule="auto"/>
        <w:rPr>
          <w:rFonts w:ascii="黑体" w:hAnsi="黑体" w:eastAsia="黑体" w:cs="黑体"/>
          <w:color w:val="000000"/>
          <w:sz w:val="32"/>
          <w:szCs w:val="32"/>
        </w:rPr>
      </w:pPr>
      <w:r>
        <w:rPr>
          <w:rFonts w:ascii="黑体" w:hAnsi="黑体" w:eastAsia="黑体" w:cs="黑体"/>
          <w:color w:val="000000"/>
          <w:sz w:val="32"/>
          <w:szCs w:val="32"/>
        </w:rPr>
        <w:t>附件三</w:t>
      </w:r>
    </w:p>
    <w:p>
      <w:pPr>
        <w:shd w:val="clear" w:color="000000" w:fill="FFFFFF"/>
        <w:spacing w:before="375" w:line="360" w:lineRule="auto"/>
        <w:ind w:firstLine="640"/>
        <w:rPr>
          <w:rFonts w:ascii="黑体" w:hAnsi="黑体" w:eastAsia="黑体" w:cs="黑体"/>
          <w:color w:val="000000"/>
          <w:sz w:val="32"/>
          <w:szCs w:val="32"/>
        </w:rPr>
      </w:pPr>
      <w:r>
        <w:rPr>
          <w:rFonts w:ascii="黑体" w:hAnsi="黑体" w:eastAsia="黑体" w:cs="黑体"/>
          <w:color w:val="000000"/>
          <w:sz w:val="32"/>
          <w:szCs w:val="32"/>
        </w:rPr>
        <w:t xml:space="preserve">昆明市呈贡区“十四五”现代服务业相关项目推进计划表 </w:t>
      </w:r>
    </w:p>
    <w:p>
      <w:pPr>
        <w:jc w:val="right"/>
        <w:rPr>
          <w:rFonts w:ascii="黑体" w:hAnsi="黑体" w:eastAsia="黑体" w:cs="黑体"/>
          <w:color w:val="000000"/>
          <w:sz w:val="28"/>
          <w:szCs w:val="28"/>
        </w:rPr>
      </w:pPr>
    </w:p>
    <w:p>
      <w:pPr>
        <w:jc w:val="right"/>
        <w:rPr>
          <w:rFonts w:ascii="宋体"/>
          <w:color w:val="000000"/>
          <w:sz w:val="28"/>
          <w:szCs w:val="28"/>
        </w:rPr>
      </w:pPr>
    </w:p>
    <w:p>
      <w:pPr>
        <w:jc w:val="right"/>
        <w:rPr>
          <w:rFonts w:ascii="宋体"/>
          <w:color w:val="000000"/>
          <w:sz w:val="28"/>
          <w:szCs w:val="28"/>
        </w:rPr>
      </w:pPr>
      <w:r>
        <w:rPr>
          <w:rFonts w:ascii="宋体"/>
          <w:color w:val="000000"/>
          <w:sz w:val="28"/>
          <w:szCs w:val="28"/>
        </w:rPr>
        <w:t>单位：万元</w:t>
      </w:r>
    </w:p>
    <w:tbl>
      <w:tblPr>
        <w:tblStyle w:val="10"/>
        <w:tblW w:w="14216" w:type="dxa"/>
        <w:tblInd w:w="-195" w:type="dxa"/>
        <w:tblLayout w:type="fixed"/>
        <w:tblCellMar>
          <w:top w:w="0" w:type="dxa"/>
          <w:left w:w="57" w:type="dxa"/>
          <w:bottom w:w="0" w:type="dxa"/>
          <w:right w:w="57" w:type="dxa"/>
        </w:tblCellMar>
      </w:tblPr>
      <w:tblGrid>
        <w:gridCol w:w="683"/>
        <w:gridCol w:w="1537"/>
        <w:gridCol w:w="938"/>
        <w:gridCol w:w="924"/>
        <w:gridCol w:w="812"/>
        <w:gridCol w:w="1049"/>
        <w:gridCol w:w="3206"/>
        <w:gridCol w:w="840"/>
        <w:gridCol w:w="357"/>
        <w:gridCol w:w="399"/>
        <w:gridCol w:w="796"/>
        <w:gridCol w:w="813"/>
        <w:gridCol w:w="854"/>
        <w:gridCol w:w="756"/>
        <w:gridCol w:w="252"/>
      </w:tblGrid>
      <w:tr>
        <w:tblPrEx>
          <w:tblCellMar>
            <w:top w:w="0" w:type="dxa"/>
            <w:left w:w="57" w:type="dxa"/>
            <w:bottom w:w="0" w:type="dxa"/>
            <w:right w:w="57" w:type="dxa"/>
          </w:tblCellMar>
        </w:tblPrEx>
        <w:trPr>
          <w:trHeight w:val="340" w:hRule="atLeast"/>
          <w:tblHeader/>
        </w:trPr>
        <w:tc>
          <w:tcPr>
            <w:tcW w:w="683"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jc w:val="center"/>
              <w:rPr>
                <w:rFonts w:ascii="宋体"/>
                <w:b/>
                <w:color w:val="000000"/>
                <w:sz w:val="20"/>
                <w:szCs w:val="20"/>
              </w:rPr>
            </w:pPr>
            <w:r>
              <w:rPr>
                <w:rFonts w:ascii="宋体"/>
                <w:b/>
                <w:color w:val="000000"/>
                <w:sz w:val="20"/>
                <w:szCs w:val="20"/>
              </w:rPr>
              <w:t>序号</w:t>
            </w:r>
          </w:p>
        </w:tc>
        <w:tc>
          <w:tcPr>
            <w:tcW w:w="153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rPr>
                <w:rFonts w:ascii="宋体"/>
                <w:b/>
                <w:color w:val="000000"/>
                <w:sz w:val="20"/>
                <w:szCs w:val="20"/>
              </w:rPr>
            </w:pPr>
            <w:r>
              <w:rPr>
                <w:rFonts w:ascii="宋体"/>
                <w:b/>
                <w:color w:val="000000"/>
                <w:sz w:val="20"/>
                <w:szCs w:val="20"/>
              </w:rPr>
              <w:t>项目名称</w:t>
            </w:r>
          </w:p>
        </w:tc>
        <w:tc>
          <w:tcPr>
            <w:tcW w:w="93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jc w:val="center"/>
              <w:rPr>
                <w:rFonts w:ascii="宋体"/>
                <w:b/>
                <w:color w:val="000000"/>
                <w:spacing w:val="-5"/>
                <w:w w:val="95"/>
                <w:sz w:val="20"/>
                <w:szCs w:val="20"/>
              </w:rPr>
            </w:pPr>
            <w:r>
              <w:rPr>
                <w:rFonts w:ascii="宋体"/>
                <w:b/>
                <w:color w:val="000000"/>
                <w:spacing w:val="-5"/>
                <w:w w:val="95"/>
                <w:sz w:val="20"/>
                <w:szCs w:val="20"/>
              </w:rPr>
              <w:t>建设地点</w:t>
            </w:r>
          </w:p>
        </w:tc>
        <w:tc>
          <w:tcPr>
            <w:tcW w:w="924" w:type="dxa"/>
            <w:vMerge w:val="restart"/>
            <w:tcBorders>
              <w:top w:val="single" w:color="auto" w:sz="4" w:space="0"/>
              <w:left w:val="single" w:color="auto" w:sz="4" w:space="0"/>
              <w:bottom w:val="single" w:color="000000" w:sz="4" w:space="0"/>
              <w:right w:val="single" w:color="auto" w:sz="4" w:space="0"/>
            </w:tcBorders>
            <w:shd w:val="clear" w:color="000000" w:fill="FFFFFF"/>
            <w:vAlign w:val="center"/>
          </w:tcPr>
          <w:p>
            <w:pPr>
              <w:spacing w:line="240" w:lineRule="exact"/>
              <w:jc w:val="center"/>
              <w:rPr>
                <w:rFonts w:ascii="宋体"/>
                <w:b/>
                <w:color w:val="000000"/>
                <w:spacing w:val="-5"/>
                <w:w w:val="95"/>
                <w:sz w:val="20"/>
                <w:szCs w:val="20"/>
              </w:rPr>
            </w:pPr>
            <w:r>
              <w:rPr>
                <w:rFonts w:ascii="宋体"/>
                <w:b/>
                <w:color w:val="000000"/>
                <w:spacing w:val="-5"/>
                <w:w w:val="95"/>
                <w:sz w:val="20"/>
                <w:szCs w:val="20"/>
              </w:rPr>
              <w:t>项目类型</w:t>
            </w:r>
          </w:p>
        </w:tc>
        <w:tc>
          <w:tcPr>
            <w:tcW w:w="81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jc w:val="center"/>
              <w:rPr>
                <w:rFonts w:ascii="宋体"/>
                <w:b/>
                <w:color w:val="000000"/>
                <w:spacing w:val="-5"/>
                <w:w w:val="95"/>
                <w:sz w:val="20"/>
                <w:szCs w:val="20"/>
              </w:rPr>
            </w:pPr>
            <w:r>
              <w:rPr>
                <w:rFonts w:ascii="宋体"/>
                <w:b/>
                <w:color w:val="000000"/>
                <w:spacing w:val="-5"/>
                <w:w w:val="95"/>
                <w:sz w:val="20"/>
                <w:szCs w:val="20"/>
              </w:rPr>
              <w:t>建设性</w:t>
            </w:r>
          </w:p>
          <w:p>
            <w:pPr>
              <w:spacing w:line="240" w:lineRule="exact"/>
              <w:jc w:val="left"/>
              <w:rPr>
                <w:rFonts w:ascii="宋体"/>
                <w:b/>
                <w:color w:val="000000"/>
                <w:spacing w:val="-10"/>
                <w:w w:val="95"/>
                <w:sz w:val="20"/>
                <w:szCs w:val="20"/>
              </w:rPr>
            </w:pPr>
            <w:r>
              <w:rPr>
                <w:rFonts w:ascii="宋体"/>
                <w:b/>
                <w:color w:val="000000"/>
                <w:spacing w:val="-10"/>
                <w:w w:val="95"/>
                <w:sz w:val="20"/>
                <w:szCs w:val="20"/>
              </w:rPr>
              <w:t>质（续建</w:t>
            </w:r>
          </w:p>
          <w:p>
            <w:pPr>
              <w:spacing w:line="240" w:lineRule="exact"/>
              <w:jc w:val="center"/>
              <w:rPr>
                <w:rFonts w:ascii="宋体"/>
                <w:b/>
                <w:color w:val="000000"/>
                <w:spacing w:val="-5"/>
                <w:w w:val="95"/>
                <w:sz w:val="20"/>
                <w:szCs w:val="20"/>
              </w:rPr>
            </w:pPr>
            <w:r>
              <w:rPr>
                <w:rFonts w:ascii="宋体"/>
                <w:b/>
                <w:color w:val="000000"/>
                <w:spacing w:val="-5"/>
                <w:w w:val="95"/>
                <w:sz w:val="20"/>
                <w:szCs w:val="20"/>
              </w:rPr>
              <w:t>/新开工</w:t>
            </w:r>
          </w:p>
        </w:tc>
        <w:tc>
          <w:tcPr>
            <w:tcW w:w="104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jc w:val="center"/>
              <w:rPr>
                <w:rFonts w:ascii="宋体"/>
                <w:b/>
                <w:color w:val="000000"/>
                <w:sz w:val="20"/>
                <w:szCs w:val="20"/>
              </w:rPr>
            </w:pPr>
            <w:r>
              <w:rPr>
                <w:rFonts w:ascii="宋体"/>
                <w:b/>
                <w:color w:val="000000"/>
                <w:sz w:val="20"/>
                <w:szCs w:val="20"/>
              </w:rPr>
              <w:t>建设</w:t>
            </w:r>
          </w:p>
          <w:p>
            <w:pPr>
              <w:spacing w:line="240" w:lineRule="exact"/>
              <w:jc w:val="center"/>
              <w:rPr>
                <w:rFonts w:ascii="宋体"/>
                <w:b/>
                <w:color w:val="000000"/>
                <w:sz w:val="20"/>
                <w:szCs w:val="20"/>
              </w:rPr>
            </w:pPr>
            <w:r>
              <w:rPr>
                <w:rFonts w:ascii="宋体"/>
                <w:b/>
                <w:color w:val="000000"/>
                <w:sz w:val="20"/>
                <w:szCs w:val="20"/>
              </w:rPr>
              <w:t>起止年限</w:t>
            </w:r>
          </w:p>
        </w:tc>
        <w:tc>
          <w:tcPr>
            <w:tcW w:w="3206" w:type="dxa"/>
            <w:vMerge w:val="restart"/>
            <w:tcBorders>
              <w:top w:val="single" w:color="auto" w:sz="4" w:space="0"/>
              <w:left w:val="single" w:color="auto" w:sz="4" w:space="0"/>
              <w:bottom w:val="single" w:color="000000" w:sz="4" w:space="0"/>
              <w:right w:val="single" w:color="auto" w:sz="4" w:space="0"/>
            </w:tcBorders>
            <w:shd w:val="clear" w:color="000000" w:fill="FFFFFF"/>
            <w:vAlign w:val="center"/>
          </w:tcPr>
          <w:p>
            <w:pPr>
              <w:spacing w:line="240" w:lineRule="exact"/>
              <w:jc w:val="center"/>
              <w:rPr>
                <w:rFonts w:ascii="宋体"/>
                <w:b/>
                <w:color w:val="000000"/>
                <w:sz w:val="20"/>
                <w:szCs w:val="20"/>
              </w:rPr>
            </w:pPr>
            <w:r>
              <w:rPr>
                <w:rFonts w:ascii="宋体"/>
                <w:b/>
                <w:color w:val="000000"/>
                <w:sz w:val="20"/>
                <w:szCs w:val="20"/>
              </w:rPr>
              <w:t>建设内容和规模</w:t>
            </w:r>
          </w:p>
        </w:tc>
        <w:tc>
          <w:tcPr>
            <w:tcW w:w="84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jc w:val="center"/>
              <w:rPr>
                <w:rFonts w:ascii="宋体"/>
                <w:b/>
                <w:color w:val="000000"/>
                <w:spacing w:val="-5"/>
                <w:w w:val="95"/>
                <w:sz w:val="20"/>
                <w:szCs w:val="20"/>
              </w:rPr>
            </w:pPr>
            <w:r>
              <w:rPr>
                <w:rFonts w:ascii="宋体"/>
                <w:b/>
                <w:color w:val="000000"/>
                <w:spacing w:val="-5"/>
                <w:w w:val="95"/>
                <w:sz w:val="20"/>
                <w:szCs w:val="20"/>
              </w:rPr>
              <w:t>项目</w:t>
            </w:r>
          </w:p>
          <w:p>
            <w:pPr>
              <w:spacing w:line="240" w:lineRule="exact"/>
              <w:jc w:val="center"/>
              <w:rPr>
                <w:rFonts w:ascii="宋体"/>
                <w:b/>
                <w:color w:val="000000"/>
                <w:spacing w:val="-5"/>
                <w:w w:val="95"/>
                <w:sz w:val="20"/>
                <w:szCs w:val="20"/>
              </w:rPr>
            </w:pPr>
            <w:r>
              <w:rPr>
                <w:rFonts w:ascii="宋体"/>
                <w:b/>
                <w:color w:val="000000"/>
                <w:spacing w:val="-5"/>
                <w:w w:val="95"/>
                <w:sz w:val="20"/>
                <w:szCs w:val="20"/>
              </w:rPr>
              <w:t>总投资</w:t>
            </w:r>
          </w:p>
        </w:tc>
        <w:tc>
          <w:tcPr>
            <w:tcW w:w="756"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jc w:val="center"/>
              <w:rPr>
                <w:rFonts w:ascii="宋体"/>
                <w:b/>
                <w:color w:val="000000"/>
                <w:spacing w:val="-5"/>
                <w:w w:val="95"/>
                <w:sz w:val="20"/>
                <w:szCs w:val="20"/>
              </w:rPr>
            </w:pPr>
            <w:r>
              <w:rPr>
                <w:rFonts w:ascii="宋体"/>
                <w:b/>
                <w:color w:val="000000"/>
                <w:spacing w:val="-5"/>
                <w:w w:val="95"/>
                <w:sz w:val="20"/>
                <w:szCs w:val="20"/>
              </w:rPr>
              <w:t>项目开工以来累计完成投资</w:t>
            </w:r>
          </w:p>
        </w:tc>
        <w:tc>
          <w:tcPr>
            <w:tcW w:w="3219" w:type="dxa"/>
            <w:gridSpan w:val="4"/>
            <w:tcBorders>
              <w:top w:val="single" w:color="auto" w:sz="4" w:space="0"/>
              <w:left w:val="nil"/>
              <w:bottom w:val="single" w:color="auto" w:sz="4" w:space="0"/>
              <w:right w:val="single" w:color="auto" w:sz="4" w:space="0"/>
            </w:tcBorders>
            <w:shd w:val="clear" w:color="000000" w:fill="FFFFFF"/>
            <w:vAlign w:val="center"/>
          </w:tcPr>
          <w:p>
            <w:pPr>
              <w:spacing w:line="240" w:lineRule="exact"/>
              <w:jc w:val="center"/>
              <w:rPr>
                <w:rFonts w:ascii="宋体"/>
                <w:b/>
                <w:color w:val="000000"/>
                <w:sz w:val="20"/>
                <w:szCs w:val="20"/>
              </w:rPr>
            </w:pPr>
            <w:r>
              <w:rPr>
                <w:rFonts w:ascii="Times New Roman"/>
                <w:b/>
                <w:color w:val="000000"/>
                <w:sz w:val="20"/>
                <w:szCs w:val="20"/>
              </w:rPr>
              <w:t>2019</w:t>
            </w:r>
            <w:r>
              <w:rPr>
                <w:rFonts w:ascii="宋体"/>
                <w:b/>
                <w:color w:val="000000"/>
                <w:sz w:val="20"/>
                <w:szCs w:val="20"/>
              </w:rPr>
              <w:t>-</w:t>
            </w:r>
            <w:r>
              <w:rPr>
                <w:rFonts w:ascii="Times New Roman"/>
                <w:b/>
                <w:color w:val="000000"/>
                <w:sz w:val="20"/>
                <w:szCs w:val="20"/>
              </w:rPr>
              <w:t>2030</w:t>
            </w:r>
            <w:r>
              <w:rPr>
                <w:rFonts w:ascii="宋体"/>
                <w:b/>
                <w:color w:val="000000"/>
                <w:sz w:val="20"/>
                <w:szCs w:val="20"/>
              </w:rPr>
              <w:t>年计划投资</w:t>
            </w:r>
          </w:p>
        </w:tc>
        <w:tc>
          <w:tcPr>
            <w:tcW w:w="25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jc w:val="center"/>
              <w:rPr>
                <w:rFonts w:ascii="宋体"/>
                <w:b/>
                <w:color w:val="000000"/>
                <w:sz w:val="20"/>
                <w:szCs w:val="20"/>
              </w:rPr>
            </w:pPr>
            <w:r>
              <w:rPr>
                <w:rFonts w:ascii="宋体"/>
                <w:b/>
                <w:color w:val="000000"/>
                <w:sz w:val="20"/>
                <w:szCs w:val="20"/>
              </w:rPr>
              <w:t>备注</w:t>
            </w:r>
          </w:p>
        </w:tc>
      </w:tr>
      <w:tr>
        <w:tblPrEx>
          <w:tblCellMar>
            <w:top w:w="0" w:type="dxa"/>
            <w:left w:w="57" w:type="dxa"/>
            <w:bottom w:w="0" w:type="dxa"/>
            <w:right w:w="57" w:type="dxa"/>
          </w:tblCellMar>
        </w:tblPrEx>
        <w:trPr>
          <w:trHeight w:val="340" w:hRule="atLeast"/>
        </w:trPr>
        <w:tc>
          <w:tcPr>
            <w:tcW w:w="683"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tc>
        <w:tc>
          <w:tcPr>
            <w:tcW w:w="1537"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tc>
        <w:tc>
          <w:tcPr>
            <w:tcW w:w="938"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tc>
        <w:tc>
          <w:tcPr>
            <w:tcW w:w="924" w:type="dxa"/>
            <w:vMerge w:val="continue"/>
            <w:tcBorders>
              <w:top w:val="single" w:color="auto" w:sz="4" w:space="0"/>
              <w:left w:val="single" w:color="auto" w:sz="4" w:space="0"/>
              <w:bottom w:val="single" w:color="000000" w:sz="4" w:space="0"/>
              <w:right w:val="single" w:color="auto" w:sz="4" w:space="0"/>
            </w:tcBorders>
            <w:shd w:val="clear" w:color="000000" w:fill="FFFFFF"/>
            <w:vAlign w:val="center"/>
          </w:tcPr>
          <w:p/>
        </w:tc>
        <w:tc>
          <w:tcPr>
            <w:tcW w:w="812"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tc>
        <w:tc>
          <w:tcPr>
            <w:tcW w:w="1049"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tc>
        <w:tc>
          <w:tcPr>
            <w:tcW w:w="3206" w:type="dxa"/>
            <w:vMerge w:val="continue"/>
            <w:tcBorders>
              <w:top w:val="single" w:color="auto" w:sz="4" w:space="0"/>
              <w:left w:val="single" w:color="auto" w:sz="4" w:space="0"/>
              <w:bottom w:val="single" w:color="000000" w:sz="4" w:space="0"/>
              <w:right w:val="single" w:color="auto" w:sz="4" w:space="0"/>
            </w:tcBorders>
            <w:shd w:val="clear" w:color="000000" w:fill="FFFFFF"/>
            <w:vAlign w:val="center"/>
          </w:tcPr>
          <w:p/>
        </w:tc>
        <w:tc>
          <w:tcPr>
            <w:tcW w:w="840"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tc>
        <w:tc>
          <w:tcPr>
            <w:tcW w:w="756" w:type="dxa"/>
            <w:gridSpan w:val="2"/>
            <w:vMerge w:val="continue"/>
            <w:tcBorders>
              <w:top w:val="single" w:color="auto" w:sz="4" w:space="0"/>
              <w:left w:val="single" w:color="auto" w:sz="4" w:space="0"/>
              <w:bottom w:val="single" w:color="auto" w:sz="4" w:space="0"/>
              <w:right w:val="single" w:color="auto" w:sz="4" w:space="0"/>
            </w:tcBorders>
            <w:shd w:val="clear" w:color="000000" w:fill="FFFFFF"/>
            <w:vAlign w:val="center"/>
          </w:tcPr>
          <w:p/>
        </w:tc>
        <w:tc>
          <w:tcPr>
            <w:tcW w:w="796" w:type="dxa"/>
            <w:tcBorders>
              <w:top w:val="nil"/>
              <w:left w:val="nil"/>
              <w:bottom w:val="single" w:color="auto" w:sz="4" w:space="0"/>
              <w:right w:val="single" w:color="auto" w:sz="4" w:space="0"/>
            </w:tcBorders>
            <w:shd w:val="clear" w:color="000000" w:fill="FFFFFF"/>
            <w:vAlign w:val="center"/>
          </w:tcPr>
          <w:p>
            <w:pPr>
              <w:spacing w:line="240" w:lineRule="exact"/>
              <w:jc w:val="center"/>
              <w:rPr>
                <w:rFonts w:ascii="宋体"/>
                <w:b/>
                <w:color w:val="000000"/>
                <w:sz w:val="20"/>
                <w:szCs w:val="20"/>
              </w:rPr>
            </w:pPr>
            <w:r>
              <w:rPr>
                <w:rFonts w:ascii="宋体"/>
                <w:b/>
                <w:color w:val="000000"/>
                <w:sz w:val="20"/>
                <w:szCs w:val="20"/>
              </w:rPr>
              <w:t>合计</w:t>
            </w:r>
          </w:p>
        </w:tc>
        <w:tc>
          <w:tcPr>
            <w:tcW w:w="813" w:type="dxa"/>
            <w:tcBorders>
              <w:top w:val="nil"/>
              <w:left w:val="nil"/>
              <w:bottom w:val="single" w:color="auto" w:sz="4" w:space="0"/>
              <w:right w:val="single" w:color="auto" w:sz="4" w:space="0"/>
            </w:tcBorders>
            <w:shd w:val="clear" w:color="000000" w:fill="FFFFFF"/>
            <w:vAlign w:val="center"/>
          </w:tcPr>
          <w:p>
            <w:pPr>
              <w:spacing w:line="240" w:lineRule="exact"/>
              <w:jc w:val="center"/>
              <w:rPr>
                <w:rFonts w:ascii="宋体"/>
                <w:b/>
                <w:color w:val="000000"/>
                <w:spacing w:val="-5"/>
                <w:w w:val="95"/>
                <w:sz w:val="20"/>
                <w:szCs w:val="20"/>
              </w:rPr>
            </w:pPr>
            <w:r>
              <w:rPr>
                <w:rFonts w:ascii="Times New Roman"/>
                <w:b/>
                <w:color w:val="000000"/>
                <w:spacing w:val="-5"/>
                <w:w w:val="95"/>
                <w:sz w:val="20"/>
                <w:szCs w:val="20"/>
              </w:rPr>
              <w:t>2019</w:t>
            </w:r>
            <w:r>
              <w:rPr>
                <w:rFonts w:ascii="宋体"/>
                <w:b/>
                <w:color w:val="000000"/>
                <w:spacing w:val="-5"/>
                <w:w w:val="95"/>
                <w:sz w:val="20"/>
                <w:szCs w:val="20"/>
              </w:rPr>
              <w:t>-</w:t>
            </w:r>
            <w:r>
              <w:rPr>
                <w:rFonts w:ascii="宋体"/>
                <w:b/>
                <w:color w:val="000000"/>
                <w:spacing w:val="-5"/>
                <w:w w:val="95"/>
                <w:sz w:val="20"/>
                <w:szCs w:val="20"/>
              </w:rPr>
              <w:br w:type="textWrapping" w:clear="all"/>
            </w:r>
            <w:r>
              <w:rPr>
                <w:rFonts w:ascii="Times New Roman"/>
                <w:b/>
                <w:color w:val="000000"/>
                <w:spacing w:val="-5"/>
                <w:w w:val="95"/>
                <w:sz w:val="20"/>
                <w:szCs w:val="20"/>
              </w:rPr>
              <w:t>2020</w:t>
            </w:r>
            <w:r>
              <w:rPr>
                <w:rFonts w:ascii="宋体"/>
                <w:b/>
                <w:color w:val="000000"/>
                <w:spacing w:val="-5"/>
                <w:w w:val="95"/>
                <w:sz w:val="20"/>
                <w:szCs w:val="20"/>
              </w:rPr>
              <w:t>年</w:t>
            </w:r>
          </w:p>
        </w:tc>
        <w:tc>
          <w:tcPr>
            <w:tcW w:w="854" w:type="dxa"/>
            <w:tcBorders>
              <w:top w:val="nil"/>
              <w:left w:val="nil"/>
              <w:bottom w:val="single" w:color="auto" w:sz="4" w:space="0"/>
              <w:right w:val="single" w:color="auto" w:sz="4" w:space="0"/>
            </w:tcBorders>
            <w:shd w:val="clear" w:color="000000" w:fill="FFFFFF"/>
            <w:vAlign w:val="center"/>
          </w:tcPr>
          <w:p>
            <w:pPr>
              <w:spacing w:line="240" w:lineRule="exact"/>
              <w:jc w:val="center"/>
              <w:rPr>
                <w:rFonts w:ascii="宋体"/>
                <w:b/>
                <w:color w:val="000000"/>
                <w:spacing w:val="-5"/>
                <w:w w:val="95"/>
                <w:sz w:val="20"/>
                <w:szCs w:val="20"/>
              </w:rPr>
            </w:pPr>
            <w:r>
              <w:rPr>
                <w:rFonts w:ascii="Times New Roman"/>
                <w:b/>
                <w:color w:val="000000"/>
                <w:spacing w:val="-5"/>
                <w:w w:val="95"/>
                <w:sz w:val="20"/>
                <w:szCs w:val="20"/>
              </w:rPr>
              <w:t>2020</w:t>
            </w:r>
            <w:r>
              <w:rPr>
                <w:rFonts w:ascii="宋体"/>
                <w:b/>
                <w:color w:val="000000"/>
                <w:spacing w:val="-5"/>
                <w:w w:val="95"/>
                <w:sz w:val="20"/>
                <w:szCs w:val="20"/>
              </w:rPr>
              <w:t>-</w:t>
            </w:r>
            <w:r>
              <w:rPr>
                <w:rFonts w:ascii="宋体"/>
                <w:b/>
                <w:color w:val="000000"/>
                <w:spacing w:val="-5"/>
                <w:w w:val="95"/>
                <w:sz w:val="20"/>
                <w:szCs w:val="20"/>
              </w:rPr>
              <w:br w:type="textWrapping" w:clear="all"/>
            </w:r>
            <w:r>
              <w:rPr>
                <w:rFonts w:ascii="Times New Roman"/>
                <w:b/>
                <w:color w:val="000000"/>
                <w:spacing w:val="-5"/>
                <w:w w:val="95"/>
                <w:sz w:val="20"/>
                <w:szCs w:val="20"/>
              </w:rPr>
              <w:t>2025</w:t>
            </w:r>
            <w:r>
              <w:rPr>
                <w:rFonts w:ascii="宋体"/>
                <w:b/>
                <w:color w:val="000000"/>
                <w:spacing w:val="-5"/>
                <w:w w:val="95"/>
                <w:sz w:val="20"/>
                <w:szCs w:val="20"/>
              </w:rPr>
              <w:t>年</w:t>
            </w:r>
          </w:p>
        </w:tc>
        <w:tc>
          <w:tcPr>
            <w:tcW w:w="756" w:type="dxa"/>
            <w:tcBorders>
              <w:top w:val="nil"/>
              <w:left w:val="nil"/>
              <w:bottom w:val="single" w:color="auto" w:sz="4" w:space="0"/>
              <w:right w:val="single" w:color="auto" w:sz="4" w:space="0"/>
            </w:tcBorders>
            <w:shd w:val="clear" w:color="000000" w:fill="FFFFFF"/>
            <w:vAlign w:val="center"/>
          </w:tcPr>
          <w:p>
            <w:pPr>
              <w:spacing w:line="240" w:lineRule="exact"/>
              <w:jc w:val="center"/>
              <w:rPr>
                <w:rFonts w:ascii="宋体"/>
                <w:b/>
                <w:color w:val="000000"/>
                <w:spacing w:val="-5"/>
                <w:w w:val="95"/>
                <w:sz w:val="20"/>
                <w:szCs w:val="20"/>
              </w:rPr>
            </w:pPr>
            <w:r>
              <w:rPr>
                <w:rFonts w:ascii="Times New Roman"/>
                <w:b/>
                <w:color w:val="000000"/>
                <w:spacing w:val="-5"/>
                <w:w w:val="95"/>
                <w:sz w:val="20"/>
                <w:szCs w:val="20"/>
              </w:rPr>
              <w:t>2025</w:t>
            </w:r>
            <w:r>
              <w:rPr>
                <w:rFonts w:ascii="宋体"/>
                <w:b/>
                <w:color w:val="000000"/>
                <w:spacing w:val="-5"/>
                <w:w w:val="95"/>
                <w:sz w:val="20"/>
                <w:szCs w:val="20"/>
              </w:rPr>
              <w:t>-</w:t>
            </w:r>
            <w:r>
              <w:rPr>
                <w:rFonts w:ascii="宋体"/>
                <w:b/>
                <w:color w:val="000000"/>
                <w:spacing w:val="-5"/>
                <w:w w:val="95"/>
                <w:sz w:val="20"/>
                <w:szCs w:val="20"/>
              </w:rPr>
              <w:br w:type="textWrapping" w:clear="all"/>
            </w:r>
            <w:r>
              <w:rPr>
                <w:rFonts w:ascii="Times New Roman"/>
                <w:b/>
                <w:color w:val="000000"/>
                <w:spacing w:val="-5"/>
                <w:w w:val="95"/>
                <w:sz w:val="20"/>
                <w:szCs w:val="20"/>
              </w:rPr>
              <w:t>2030</w:t>
            </w:r>
            <w:r>
              <w:rPr>
                <w:rFonts w:ascii="宋体"/>
                <w:b/>
                <w:color w:val="000000"/>
                <w:spacing w:val="-5"/>
                <w:w w:val="95"/>
                <w:sz w:val="20"/>
                <w:szCs w:val="20"/>
              </w:rPr>
              <w:t>年</w:t>
            </w:r>
          </w:p>
        </w:tc>
        <w:tc>
          <w:tcPr>
            <w:tcW w:w="252"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tc>
      </w:tr>
      <w:tr>
        <w:tblPrEx>
          <w:tblCellMar>
            <w:top w:w="0" w:type="dxa"/>
            <w:left w:w="57" w:type="dxa"/>
            <w:bottom w:w="0" w:type="dxa"/>
            <w:right w:w="57" w:type="dxa"/>
          </w:tblCellMar>
        </w:tblPrEx>
        <w:trPr>
          <w:trHeight w:val="340" w:hRule="atLeast"/>
        </w:trPr>
        <w:tc>
          <w:tcPr>
            <w:tcW w:w="683" w:type="dxa"/>
            <w:tcBorders>
              <w:top w:val="nil"/>
              <w:left w:val="single" w:color="auto" w:sz="4" w:space="0"/>
              <w:bottom w:val="single" w:color="auto" w:sz="4" w:space="0"/>
              <w:right w:val="single" w:color="auto" w:sz="4" w:space="0"/>
            </w:tcBorders>
            <w:shd w:val="clear" w:color="000000" w:fill="FFFFFF"/>
            <w:vAlign w:val="center"/>
          </w:tcPr>
          <w:p>
            <w:pPr>
              <w:spacing w:line="0" w:lineRule="atLeast"/>
              <w:jc w:val="center"/>
              <w:rPr>
                <w:rFonts w:ascii="宋体"/>
                <w:b/>
                <w:color w:val="000000"/>
                <w:sz w:val="20"/>
                <w:szCs w:val="20"/>
              </w:rPr>
            </w:pPr>
          </w:p>
        </w:tc>
        <w:tc>
          <w:tcPr>
            <w:tcW w:w="1537" w:type="dxa"/>
            <w:tcBorders>
              <w:top w:val="nil"/>
              <w:left w:val="nil"/>
              <w:bottom w:val="single" w:color="auto" w:sz="4" w:space="0"/>
              <w:right w:val="single" w:color="auto" w:sz="4" w:space="0"/>
            </w:tcBorders>
            <w:shd w:val="clear" w:color="000000" w:fill="FFFFFF"/>
            <w:vAlign w:val="center"/>
          </w:tcPr>
          <w:p>
            <w:pPr>
              <w:spacing w:line="0" w:lineRule="atLeast"/>
              <w:rPr>
                <w:rFonts w:ascii="宋体"/>
                <w:b/>
                <w:color w:val="000000"/>
                <w:sz w:val="20"/>
                <w:szCs w:val="20"/>
              </w:rPr>
            </w:pPr>
            <w:r>
              <w:rPr>
                <w:rFonts w:ascii="宋体"/>
                <w:b/>
                <w:color w:val="000000"/>
                <w:sz w:val="20"/>
                <w:szCs w:val="20"/>
              </w:rPr>
              <w:t>合计（</w:t>
            </w:r>
            <w:r>
              <w:rPr>
                <w:rFonts w:hint="eastAsia" w:ascii="Times New Roman"/>
                <w:b/>
                <w:color w:val="000000"/>
                <w:sz w:val="20"/>
                <w:szCs w:val="20"/>
              </w:rPr>
              <w:t>80</w:t>
            </w:r>
            <w:r>
              <w:rPr>
                <w:rFonts w:ascii="宋体"/>
                <w:b/>
                <w:color w:val="000000"/>
                <w:sz w:val="20"/>
                <w:szCs w:val="20"/>
              </w:rPr>
              <w:t>项）</w:t>
            </w:r>
          </w:p>
        </w:tc>
        <w:tc>
          <w:tcPr>
            <w:tcW w:w="938"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b/>
                <w:color w:val="000000"/>
                <w:sz w:val="20"/>
                <w:szCs w:val="20"/>
              </w:rPr>
            </w:pPr>
          </w:p>
        </w:tc>
        <w:tc>
          <w:tcPr>
            <w:tcW w:w="924"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b/>
                <w:color w:val="000000"/>
                <w:sz w:val="20"/>
                <w:szCs w:val="20"/>
              </w:rPr>
            </w:pPr>
          </w:p>
        </w:tc>
        <w:tc>
          <w:tcPr>
            <w:tcW w:w="812"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b/>
                <w:color w:val="000000"/>
                <w:sz w:val="20"/>
                <w:szCs w:val="20"/>
              </w:rPr>
            </w:pPr>
          </w:p>
        </w:tc>
        <w:tc>
          <w:tcPr>
            <w:tcW w:w="1049"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b/>
                <w:color w:val="000000"/>
                <w:sz w:val="20"/>
                <w:szCs w:val="20"/>
              </w:rPr>
            </w:pPr>
          </w:p>
        </w:tc>
        <w:tc>
          <w:tcPr>
            <w:tcW w:w="3206" w:type="dxa"/>
            <w:tcBorders>
              <w:top w:val="nil"/>
              <w:left w:val="nil"/>
              <w:bottom w:val="single" w:color="auto" w:sz="4" w:space="0"/>
              <w:right w:val="single" w:color="auto" w:sz="4" w:space="0"/>
            </w:tcBorders>
            <w:shd w:val="clear" w:color="000000" w:fill="FFFFFF"/>
            <w:vAlign w:val="center"/>
          </w:tcPr>
          <w:p>
            <w:pPr>
              <w:spacing w:line="0" w:lineRule="atLeast"/>
              <w:rPr>
                <w:rFonts w:ascii="宋体"/>
                <w:b/>
                <w:color w:val="000000"/>
                <w:sz w:val="20"/>
                <w:szCs w:val="20"/>
              </w:rPr>
            </w:pPr>
          </w:p>
        </w:tc>
        <w:tc>
          <w:tcPr>
            <w:tcW w:w="840" w:type="dxa"/>
            <w:tcBorders>
              <w:top w:val="nil"/>
              <w:left w:val="nil"/>
              <w:bottom w:val="single" w:color="auto" w:sz="4" w:space="0"/>
              <w:right w:val="single" w:color="auto" w:sz="4" w:space="0"/>
            </w:tcBorders>
            <w:shd w:val="clear" w:color="000000" w:fill="FFFFFF"/>
            <w:vAlign w:val="center"/>
          </w:tcPr>
          <w:p>
            <w:pPr>
              <w:jc w:val="right"/>
              <w:rPr>
                <w:rFonts w:ascii="Times New Roman"/>
                <w:b/>
                <w:color w:val="000000"/>
                <w:spacing w:val="-5"/>
                <w:w w:val="95"/>
                <w:sz w:val="20"/>
                <w:szCs w:val="20"/>
              </w:rPr>
            </w:pPr>
            <w:r>
              <w:rPr>
                <w:rFonts w:ascii="Times New Roman"/>
                <w:b/>
                <w:color w:val="000000"/>
                <w:spacing w:val="-5"/>
                <w:w w:val="95"/>
                <w:sz w:val="20"/>
                <w:szCs w:val="20"/>
              </w:rPr>
              <w:t>24652186</w:t>
            </w:r>
          </w:p>
        </w:tc>
        <w:tc>
          <w:tcPr>
            <w:tcW w:w="756" w:type="dxa"/>
            <w:gridSpan w:val="2"/>
            <w:tcBorders>
              <w:top w:val="nil"/>
              <w:left w:val="nil"/>
              <w:bottom w:val="single" w:color="auto" w:sz="4" w:space="0"/>
              <w:right w:val="single" w:color="auto" w:sz="4" w:space="0"/>
            </w:tcBorders>
            <w:shd w:val="clear" w:color="000000" w:fill="FFFFFF"/>
            <w:vAlign w:val="center"/>
          </w:tcPr>
          <w:p>
            <w:pPr>
              <w:jc w:val="right"/>
              <w:rPr>
                <w:rFonts w:ascii="Times New Roman"/>
                <w:b/>
                <w:color w:val="000000"/>
                <w:spacing w:val="-5"/>
                <w:w w:val="95"/>
                <w:sz w:val="20"/>
                <w:szCs w:val="20"/>
              </w:rPr>
            </w:pPr>
            <w:r>
              <w:rPr>
                <w:rFonts w:ascii="Times New Roman"/>
                <w:b/>
                <w:color w:val="000000"/>
                <w:spacing w:val="-5"/>
                <w:w w:val="95"/>
                <w:sz w:val="20"/>
                <w:szCs w:val="20"/>
              </w:rPr>
              <w:t>4426374</w:t>
            </w:r>
          </w:p>
        </w:tc>
        <w:tc>
          <w:tcPr>
            <w:tcW w:w="796" w:type="dxa"/>
            <w:tcBorders>
              <w:top w:val="nil"/>
              <w:left w:val="nil"/>
              <w:bottom w:val="single" w:color="auto" w:sz="4" w:space="0"/>
              <w:right w:val="single" w:color="auto" w:sz="4" w:space="0"/>
            </w:tcBorders>
            <w:shd w:val="clear" w:color="000000" w:fill="FFFFFF"/>
            <w:vAlign w:val="center"/>
          </w:tcPr>
          <w:p>
            <w:pPr>
              <w:jc w:val="right"/>
              <w:rPr>
                <w:rFonts w:ascii="Times New Roman"/>
                <w:b/>
                <w:color w:val="000000"/>
                <w:spacing w:val="-5"/>
                <w:w w:val="95"/>
                <w:sz w:val="20"/>
                <w:szCs w:val="20"/>
              </w:rPr>
            </w:pPr>
            <w:r>
              <w:rPr>
                <w:rFonts w:ascii="Times New Roman"/>
                <w:b/>
                <w:color w:val="000000"/>
                <w:spacing w:val="-5"/>
                <w:w w:val="95"/>
                <w:sz w:val="20"/>
                <w:szCs w:val="20"/>
              </w:rPr>
              <w:t>20225812</w:t>
            </w:r>
          </w:p>
        </w:tc>
        <w:tc>
          <w:tcPr>
            <w:tcW w:w="813" w:type="dxa"/>
            <w:tcBorders>
              <w:top w:val="nil"/>
              <w:left w:val="nil"/>
              <w:bottom w:val="single" w:color="auto" w:sz="4" w:space="0"/>
              <w:right w:val="single" w:color="auto" w:sz="4" w:space="0"/>
            </w:tcBorders>
            <w:shd w:val="clear" w:color="000000" w:fill="FFFFFF"/>
            <w:vAlign w:val="center"/>
          </w:tcPr>
          <w:p>
            <w:pPr>
              <w:jc w:val="right"/>
              <w:rPr>
                <w:rFonts w:ascii="Times New Roman"/>
                <w:b/>
                <w:color w:val="000000"/>
                <w:spacing w:val="-5"/>
                <w:w w:val="95"/>
                <w:sz w:val="20"/>
                <w:szCs w:val="20"/>
              </w:rPr>
            </w:pPr>
            <w:r>
              <w:rPr>
                <w:rFonts w:ascii="Times New Roman"/>
                <w:b/>
                <w:color w:val="000000"/>
                <w:spacing w:val="-5"/>
                <w:w w:val="95"/>
                <w:sz w:val="20"/>
                <w:szCs w:val="20"/>
              </w:rPr>
              <w:t>5701611</w:t>
            </w:r>
          </w:p>
        </w:tc>
        <w:tc>
          <w:tcPr>
            <w:tcW w:w="854" w:type="dxa"/>
            <w:tcBorders>
              <w:top w:val="nil"/>
              <w:left w:val="nil"/>
              <w:bottom w:val="single" w:color="auto" w:sz="4" w:space="0"/>
              <w:right w:val="single" w:color="auto" w:sz="4" w:space="0"/>
            </w:tcBorders>
            <w:shd w:val="clear" w:color="000000" w:fill="FFFFFF"/>
            <w:vAlign w:val="center"/>
          </w:tcPr>
          <w:p>
            <w:pPr>
              <w:jc w:val="right"/>
              <w:rPr>
                <w:rFonts w:ascii="Times New Roman"/>
                <w:b/>
                <w:color w:val="000000"/>
                <w:spacing w:val="-5"/>
                <w:w w:val="95"/>
                <w:sz w:val="20"/>
                <w:szCs w:val="20"/>
              </w:rPr>
            </w:pPr>
            <w:r>
              <w:rPr>
                <w:rFonts w:ascii="Times New Roman"/>
                <w:b/>
                <w:color w:val="000000"/>
                <w:spacing w:val="-5"/>
                <w:w w:val="95"/>
                <w:sz w:val="20"/>
                <w:szCs w:val="20"/>
              </w:rPr>
              <w:t>9654721</w:t>
            </w:r>
          </w:p>
        </w:tc>
        <w:tc>
          <w:tcPr>
            <w:tcW w:w="756" w:type="dxa"/>
            <w:tcBorders>
              <w:top w:val="nil"/>
              <w:left w:val="nil"/>
              <w:bottom w:val="single" w:color="auto" w:sz="4" w:space="0"/>
              <w:right w:val="single" w:color="auto" w:sz="4" w:space="0"/>
            </w:tcBorders>
            <w:shd w:val="clear" w:color="000000" w:fill="FFFFFF"/>
            <w:vAlign w:val="center"/>
          </w:tcPr>
          <w:p>
            <w:pPr>
              <w:jc w:val="right"/>
              <w:rPr>
                <w:rFonts w:ascii="Times New Roman"/>
                <w:b/>
                <w:color w:val="000000"/>
                <w:spacing w:val="-5"/>
                <w:w w:val="95"/>
                <w:sz w:val="20"/>
                <w:szCs w:val="20"/>
              </w:rPr>
            </w:pPr>
            <w:r>
              <w:rPr>
                <w:rFonts w:ascii="Times New Roman"/>
                <w:b/>
                <w:color w:val="000000"/>
                <w:spacing w:val="-5"/>
                <w:w w:val="95"/>
                <w:sz w:val="20"/>
                <w:szCs w:val="20"/>
              </w:rPr>
              <w:t>4869480</w:t>
            </w:r>
          </w:p>
        </w:tc>
        <w:tc>
          <w:tcPr>
            <w:tcW w:w="252"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b/>
                <w:color w:val="000000"/>
                <w:sz w:val="20"/>
                <w:szCs w:val="20"/>
              </w:rPr>
            </w:pPr>
          </w:p>
        </w:tc>
      </w:tr>
      <w:tr>
        <w:tblPrEx>
          <w:tblCellMar>
            <w:top w:w="0" w:type="dxa"/>
            <w:left w:w="57" w:type="dxa"/>
            <w:bottom w:w="0" w:type="dxa"/>
            <w:right w:w="57" w:type="dxa"/>
          </w:tblCellMar>
        </w:tblPrEx>
        <w:trPr>
          <w:trHeight w:val="340" w:hRule="atLeast"/>
        </w:trPr>
        <w:tc>
          <w:tcPr>
            <w:tcW w:w="683" w:type="dxa"/>
            <w:tcBorders>
              <w:top w:val="nil"/>
              <w:left w:val="single" w:color="auto" w:sz="4" w:space="0"/>
              <w:bottom w:val="single" w:color="auto" w:sz="4" w:space="0"/>
              <w:right w:val="single" w:color="auto" w:sz="4" w:space="0"/>
            </w:tcBorders>
            <w:shd w:val="clear" w:color="000000" w:fill="FFFFFF"/>
            <w:vAlign w:val="center"/>
          </w:tcPr>
          <w:p>
            <w:pPr>
              <w:spacing w:line="0" w:lineRule="atLeast"/>
              <w:jc w:val="center"/>
              <w:rPr>
                <w:rFonts w:ascii="宋体"/>
                <w:b/>
                <w:color w:val="000000"/>
                <w:sz w:val="20"/>
                <w:szCs w:val="20"/>
              </w:rPr>
            </w:pPr>
            <w:r>
              <w:rPr>
                <w:rFonts w:ascii="宋体"/>
                <w:b/>
                <w:color w:val="000000"/>
                <w:sz w:val="20"/>
                <w:szCs w:val="20"/>
              </w:rPr>
              <w:t>一</w:t>
            </w:r>
          </w:p>
        </w:tc>
        <w:tc>
          <w:tcPr>
            <w:tcW w:w="1537" w:type="dxa"/>
            <w:tcBorders>
              <w:top w:val="nil"/>
              <w:left w:val="nil"/>
              <w:bottom w:val="single" w:color="auto" w:sz="4" w:space="0"/>
              <w:right w:val="single" w:color="auto" w:sz="4" w:space="0"/>
            </w:tcBorders>
            <w:shd w:val="clear" w:color="000000" w:fill="FFFFFF"/>
            <w:vAlign w:val="center"/>
          </w:tcPr>
          <w:p>
            <w:pPr>
              <w:spacing w:line="0" w:lineRule="atLeast"/>
              <w:rPr>
                <w:rFonts w:ascii="宋体"/>
                <w:b/>
                <w:color w:val="000000"/>
                <w:sz w:val="20"/>
                <w:szCs w:val="20"/>
              </w:rPr>
            </w:pPr>
            <w:r>
              <w:rPr>
                <w:rFonts w:ascii="宋体"/>
                <w:b/>
                <w:color w:val="000000"/>
                <w:sz w:val="20"/>
                <w:szCs w:val="20"/>
              </w:rPr>
              <w:t>续建（</w:t>
            </w:r>
            <w:r>
              <w:rPr>
                <w:rFonts w:hint="eastAsia" w:ascii="Times New Roman"/>
                <w:b/>
                <w:color w:val="000000"/>
                <w:sz w:val="20"/>
                <w:szCs w:val="20"/>
              </w:rPr>
              <w:t>55</w:t>
            </w:r>
            <w:r>
              <w:rPr>
                <w:rFonts w:ascii="宋体"/>
                <w:b/>
                <w:color w:val="000000"/>
                <w:sz w:val="20"/>
                <w:szCs w:val="20"/>
              </w:rPr>
              <w:t>项）</w:t>
            </w:r>
          </w:p>
        </w:tc>
        <w:tc>
          <w:tcPr>
            <w:tcW w:w="938"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b/>
                <w:color w:val="000000"/>
                <w:sz w:val="20"/>
                <w:szCs w:val="20"/>
              </w:rPr>
            </w:pPr>
          </w:p>
        </w:tc>
        <w:tc>
          <w:tcPr>
            <w:tcW w:w="924"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b/>
                <w:color w:val="000000"/>
                <w:sz w:val="20"/>
                <w:szCs w:val="20"/>
              </w:rPr>
            </w:pPr>
          </w:p>
        </w:tc>
        <w:tc>
          <w:tcPr>
            <w:tcW w:w="812"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b/>
                <w:color w:val="000000"/>
                <w:sz w:val="20"/>
                <w:szCs w:val="20"/>
              </w:rPr>
            </w:pPr>
          </w:p>
        </w:tc>
        <w:tc>
          <w:tcPr>
            <w:tcW w:w="1049"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b/>
                <w:color w:val="000000"/>
                <w:sz w:val="20"/>
                <w:szCs w:val="20"/>
              </w:rPr>
            </w:pPr>
          </w:p>
        </w:tc>
        <w:tc>
          <w:tcPr>
            <w:tcW w:w="3206" w:type="dxa"/>
            <w:tcBorders>
              <w:top w:val="nil"/>
              <w:left w:val="nil"/>
              <w:bottom w:val="single" w:color="auto" w:sz="4" w:space="0"/>
              <w:right w:val="single" w:color="auto" w:sz="4" w:space="0"/>
            </w:tcBorders>
            <w:shd w:val="clear" w:color="000000" w:fill="FFFFFF"/>
            <w:vAlign w:val="center"/>
          </w:tcPr>
          <w:p>
            <w:pPr>
              <w:spacing w:line="0" w:lineRule="atLeast"/>
              <w:rPr>
                <w:rFonts w:ascii="宋体"/>
                <w:b/>
                <w:color w:val="000000"/>
                <w:sz w:val="20"/>
                <w:szCs w:val="20"/>
              </w:rPr>
            </w:pPr>
          </w:p>
        </w:tc>
        <w:tc>
          <w:tcPr>
            <w:tcW w:w="840" w:type="dxa"/>
            <w:tcBorders>
              <w:top w:val="nil"/>
              <w:left w:val="nil"/>
              <w:bottom w:val="single" w:color="auto" w:sz="4" w:space="0"/>
              <w:right w:val="single" w:color="auto" w:sz="4" w:space="0"/>
            </w:tcBorders>
            <w:shd w:val="clear" w:color="000000" w:fill="FFFFFF"/>
            <w:vAlign w:val="center"/>
          </w:tcPr>
          <w:p>
            <w:pPr>
              <w:jc w:val="right"/>
              <w:rPr>
                <w:rFonts w:ascii="Times New Roman"/>
                <w:b/>
                <w:color w:val="000000"/>
                <w:spacing w:val="-5"/>
                <w:w w:val="95"/>
                <w:sz w:val="20"/>
                <w:szCs w:val="20"/>
              </w:rPr>
            </w:pPr>
            <w:r>
              <w:rPr>
                <w:rFonts w:ascii="Times New Roman"/>
                <w:b/>
                <w:color w:val="000000"/>
                <w:spacing w:val="-5"/>
                <w:w w:val="95"/>
                <w:sz w:val="20"/>
                <w:szCs w:val="20"/>
              </w:rPr>
              <w:t>7961877</w:t>
            </w:r>
          </w:p>
        </w:tc>
        <w:tc>
          <w:tcPr>
            <w:tcW w:w="756" w:type="dxa"/>
            <w:gridSpan w:val="2"/>
            <w:tcBorders>
              <w:top w:val="nil"/>
              <w:left w:val="nil"/>
              <w:bottom w:val="single" w:color="auto" w:sz="4" w:space="0"/>
              <w:right w:val="single" w:color="auto" w:sz="4" w:space="0"/>
            </w:tcBorders>
            <w:shd w:val="clear" w:color="000000" w:fill="FFFFFF"/>
            <w:vAlign w:val="center"/>
          </w:tcPr>
          <w:p>
            <w:pPr>
              <w:jc w:val="right"/>
              <w:rPr>
                <w:rFonts w:ascii="Times New Roman"/>
                <w:b/>
                <w:color w:val="000000"/>
                <w:spacing w:val="-5"/>
                <w:w w:val="95"/>
                <w:sz w:val="20"/>
                <w:szCs w:val="20"/>
              </w:rPr>
            </w:pPr>
            <w:r>
              <w:rPr>
                <w:rFonts w:ascii="Times New Roman"/>
                <w:b/>
                <w:color w:val="000000"/>
                <w:spacing w:val="-5"/>
                <w:w w:val="95"/>
                <w:sz w:val="20"/>
                <w:szCs w:val="20"/>
              </w:rPr>
              <w:t>4426374</w:t>
            </w:r>
          </w:p>
        </w:tc>
        <w:tc>
          <w:tcPr>
            <w:tcW w:w="796" w:type="dxa"/>
            <w:tcBorders>
              <w:top w:val="nil"/>
              <w:left w:val="nil"/>
              <w:bottom w:val="single" w:color="auto" w:sz="4" w:space="0"/>
              <w:right w:val="single" w:color="auto" w:sz="4" w:space="0"/>
            </w:tcBorders>
            <w:shd w:val="clear" w:color="000000" w:fill="FFFFFF"/>
            <w:vAlign w:val="center"/>
          </w:tcPr>
          <w:p>
            <w:pPr>
              <w:jc w:val="right"/>
              <w:rPr>
                <w:rFonts w:ascii="Times New Roman"/>
                <w:b/>
                <w:color w:val="000000"/>
                <w:spacing w:val="-5"/>
                <w:w w:val="95"/>
                <w:sz w:val="20"/>
                <w:szCs w:val="20"/>
              </w:rPr>
            </w:pPr>
            <w:r>
              <w:rPr>
                <w:rFonts w:ascii="Times New Roman"/>
                <w:b/>
                <w:color w:val="000000"/>
                <w:spacing w:val="-5"/>
                <w:w w:val="95"/>
                <w:sz w:val="20"/>
                <w:szCs w:val="20"/>
              </w:rPr>
              <w:t>3535503</w:t>
            </w:r>
          </w:p>
        </w:tc>
        <w:tc>
          <w:tcPr>
            <w:tcW w:w="813" w:type="dxa"/>
            <w:tcBorders>
              <w:top w:val="nil"/>
              <w:left w:val="nil"/>
              <w:bottom w:val="single" w:color="auto" w:sz="4" w:space="0"/>
              <w:right w:val="single" w:color="auto" w:sz="4" w:space="0"/>
            </w:tcBorders>
            <w:shd w:val="clear" w:color="000000" w:fill="FFFFFF"/>
            <w:vAlign w:val="center"/>
          </w:tcPr>
          <w:p>
            <w:pPr>
              <w:jc w:val="right"/>
              <w:rPr>
                <w:rFonts w:ascii="Times New Roman"/>
                <w:b/>
                <w:color w:val="000000"/>
                <w:spacing w:val="-5"/>
                <w:w w:val="95"/>
                <w:sz w:val="20"/>
                <w:szCs w:val="20"/>
              </w:rPr>
            </w:pPr>
            <w:r>
              <w:rPr>
                <w:rFonts w:ascii="Times New Roman"/>
                <w:b/>
                <w:color w:val="000000"/>
                <w:spacing w:val="-5"/>
                <w:w w:val="95"/>
                <w:sz w:val="20"/>
                <w:szCs w:val="20"/>
              </w:rPr>
              <w:t>2519040</w:t>
            </w:r>
          </w:p>
        </w:tc>
        <w:tc>
          <w:tcPr>
            <w:tcW w:w="854" w:type="dxa"/>
            <w:tcBorders>
              <w:top w:val="nil"/>
              <w:left w:val="nil"/>
              <w:bottom w:val="single" w:color="auto" w:sz="4" w:space="0"/>
              <w:right w:val="single" w:color="auto" w:sz="4" w:space="0"/>
            </w:tcBorders>
            <w:shd w:val="clear" w:color="000000" w:fill="FFFFFF"/>
            <w:vAlign w:val="center"/>
          </w:tcPr>
          <w:p>
            <w:pPr>
              <w:jc w:val="right"/>
              <w:rPr>
                <w:rFonts w:ascii="Times New Roman"/>
                <w:b/>
                <w:color w:val="000000"/>
                <w:spacing w:val="-5"/>
                <w:w w:val="95"/>
                <w:sz w:val="20"/>
                <w:szCs w:val="20"/>
              </w:rPr>
            </w:pPr>
            <w:r>
              <w:rPr>
                <w:rFonts w:ascii="Times New Roman"/>
                <w:b/>
                <w:color w:val="000000"/>
                <w:spacing w:val="-5"/>
                <w:w w:val="95"/>
                <w:sz w:val="20"/>
                <w:szCs w:val="20"/>
              </w:rPr>
              <w:t>839833</w:t>
            </w:r>
          </w:p>
        </w:tc>
        <w:tc>
          <w:tcPr>
            <w:tcW w:w="756" w:type="dxa"/>
            <w:tcBorders>
              <w:top w:val="nil"/>
              <w:left w:val="nil"/>
              <w:bottom w:val="single" w:color="auto" w:sz="4" w:space="0"/>
              <w:right w:val="single" w:color="auto" w:sz="4" w:space="0"/>
            </w:tcBorders>
            <w:shd w:val="clear" w:color="000000" w:fill="FFFFFF"/>
            <w:vAlign w:val="center"/>
          </w:tcPr>
          <w:p>
            <w:pPr>
              <w:jc w:val="right"/>
              <w:rPr>
                <w:rFonts w:ascii="Times New Roman"/>
                <w:b/>
                <w:color w:val="000000"/>
                <w:spacing w:val="-5"/>
                <w:w w:val="95"/>
                <w:sz w:val="20"/>
                <w:szCs w:val="20"/>
              </w:rPr>
            </w:pPr>
            <w:r>
              <w:rPr>
                <w:rFonts w:ascii="Times New Roman"/>
                <w:b/>
                <w:color w:val="000000"/>
                <w:spacing w:val="-5"/>
                <w:w w:val="95"/>
                <w:sz w:val="20"/>
                <w:szCs w:val="20"/>
              </w:rPr>
              <w:t>176630</w:t>
            </w:r>
          </w:p>
        </w:tc>
        <w:tc>
          <w:tcPr>
            <w:tcW w:w="252"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b/>
                <w:color w:val="000000"/>
                <w:sz w:val="20"/>
                <w:szCs w:val="20"/>
              </w:rPr>
            </w:pPr>
          </w:p>
        </w:tc>
      </w:tr>
      <w:tr>
        <w:tblPrEx>
          <w:tblCellMar>
            <w:top w:w="0" w:type="dxa"/>
            <w:left w:w="57" w:type="dxa"/>
            <w:bottom w:w="0" w:type="dxa"/>
            <w:right w:w="57" w:type="dxa"/>
          </w:tblCellMar>
        </w:tblPrEx>
        <w:trPr>
          <w:trHeight w:val="737" w:hRule="atLeast"/>
        </w:trPr>
        <w:tc>
          <w:tcPr>
            <w:tcW w:w="683" w:type="dxa"/>
            <w:tcBorders>
              <w:top w:val="nil"/>
              <w:left w:val="single" w:color="auto" w:sz="4" w:space="0"/>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Times New Roman"/>
                <w:color w:val="000000"/>
                <w:sz w:val="20"/>
                <w:szCs w:val="20"/>
              </w:rPr>
              <w:t>1</w:t>
            </w:r>
          </w:p>
        </w:tc>
        <w:tc>
          <w:tcPr>
            <w:tcW w:w="1537" w:type="dxa"/>
            <w:tcBorders>
              <w:top w:val="nil"/>
              <w:left w:val="nil"/>
              <w:bottom w:val="single" w:color="auto" w:sz="4" w:space="0"/>
              <w:right w:val="single" w:color="auto" w:sz="4" w:space="0"/>
            </w:tcBorders>
            <w:shd w:val="clear" w:color="000000" w:fill="FFFFFF"/>
            <w:vAlign w:val="center"/>
          </w:tcPr>
          <w:p>
            <w:pPr>
              <w:spacing w:line="0" w:lineRule="atLeast"/>
              <w:rPr>
                <w:rFonts w:ascii="宋体"/>
                <w:color w:val="000000"/>
                <w:sz w:val="20"/>
                <w:szCs w:val="20"/>
              </w:rPr>
            </w:pPr>
            <w:r>
              <w:rPr>
                <w:rFonts w:ascii="宋体"/>
                <w:color w:val="000000"/>
                <w:sz w:val="20"/>
                <w:szCs w:val="20"/>
              </w:rPr>
              <w:t>兴冶广场</w:t>
            </w:r>
          </w:p>
        </w:tc>
        <w:tc>
          <w:tcPr>
            <w:tcW w:w="938"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宋体"/>
                <w:color w:val="000000"/>
                <w:sz w:val="20"/>
                <w:szCs w:val="20"/>
              </w:rPr>
              <w:t>斗南街道</w:t>
            </w:r>
          </w:p>
        </w:tc>
        <w:tc>
          <w:tcPr>
            <w:tcW w:w="924"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宋体"/>
                <w:color w:val="000000"/>
                <w:sz w:val="20"/>
                <w:szCs w:val="20"/>
              </w:rPr>
              <w:t>房地产</w:t>
            </w:r>
          </w:p>
        </w:tc>
        <w:tc>
          <w:tcPr>
            <w:tcW w:w="812"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宋体"/>
                <w:color w:val="000000"/>
                <w:sz w:val="20"/>
                <w:szCs w:val="20"/>
              </w:rPr>
              <w:t>续建</w:t>
            </w:r>
          </w:p>
        </w:tc>
        <w:tc>
          <w:tcPr>
            <w:tcW w:w="1049"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Times New Roman"/>
                <w:color w:val="000000"/>
                <w:sz w:val="20"/>
                <w:szCs w:val="20"/>
              </w:rPr>
              <w:t>2018</w:t>
            </w:r>
            <w:r>
              <w:rPr>
                <w:rFonts w:ascii="宋体"/>
                <w:color w:val="000000"/>
                <w:sz w:val="20"/>
                <w:szCs w:val="20"/>
              </w:rPr>
              <w:t>-</w:t>
            </w:r>
            <w:r>
              <w:rPr>
                <w:rFonts w:ascii="Times New Roman"/>
                <w:color w:val="000000"/>
                <w:sz w:val="20"/>
                <w:szCs w:val="20"/>
              </w:rPr>
              <w:t>2021</w:t>
            </w:r>
          </w:p>
        </w:tc>
        <w:tc>
          <w:tcPr>
            <w:tcW w:w="3206" w:type="dxa"/>
            <w:tcBorders>
              <w:top w:val="nil"/>
              <w:left w:val="nil"/>
              <w:bottom w:val="single" w:color="auto" w:sz="4" w:space="0"/>
              <w:right w:val="single" w:color="auto" w:sz="4" w:space="0"/>
            </w:tcBorders>
            <w:shd w:val="clear" w:color="000000" w:fill="FFFFFF"/>
            <w:vAlign w:val="center"/>
          </w:tcPr>
          <w:p>
            <w:pPr>
              <w:spacing w:line="0" w:lineRule="atLeast"/>
              <w:rPr>
                <w:rFonts w:ascii="宋体"/>
                <w:color w:val="000000"/>
                <w:sz w:val="20"/>
                <w:szCs w:val="20"/>
              </w:rPr>
            </w:pPr>
            <w:r>
              <w:rPr>
                <w:rFonts w:ascii="宋体"/>
                <w:color w:val="000000"/>
                <w:sz w:val="20"/>
                <w:szCs w:val="20"/>
              </w:rPr>
              <w:t>项目建设内容为酒店、办公楼等，建设面积约</w:t>
            </w:r>
            <w:r>
              <w:rPr>
                <w:rFonts w:ascii="Times New Roman"/>
                <w:color w:val="000000"/>
                <w:sz w:val="20"/>
                <w:szCs w:val="20"/>
              </w:rPr>
              <w:t>36</w:t>
            </w:r>
            <w:r>
              <w:rPr>
                <w:rFonts w:ascii="宋体"/>
                <w:color w:val="000000"/>
                <w:sz w:val="20"/>
                <w:szCs w:val="20"/>
              </w:rPr>
              <w:t>万平方米。</w:t>
            </w:r>
          </w:p>
        </w:tc>
        <w:tc>
          <w:tcPr>
            <w:tcW w:w="840"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Times New Roman"/>
                <w:color w:val="000000"/>
                <w:sz w:val="20"/>
                <w:szCs w:val="20"/>
              </w:rPr>
              <w:t>220000</w:t>
            </w:r>
          </w:p>
        </w:tc>
        <w:tc>
          <w:tcPr>
            <w:tcW w:w="756" w:type="dxa"/>
            <w:gridSpan w:val="2"/>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Times New Roman"/>
                <w:color w:val="000000"/>
                <w:sz w:val="20"/>
                <w:szCs w:val="20"/>
              </w:rPr>
              <w:t>60218</w:t>
            </w:r>
          </w:p>
        </w:tc>
        <w:tc>
          <w:tcPr>
            <w:tcW w:w="796"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Times New Roman"/>
                <w:color w:val="000000"/>
                <w:sz w:val="20"/>
                <w:szCs w:val="20"/>
              </w:rPr>
              <w:t>159782</w:t>
            </w:r>
          </w:p>
        </w:tc>
        <w:tc>
          <w:tcPr>
            <w:tcW w:w="813"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Times New Roman"/>
                <w:color w:val="000000"/>
                <w:sz w:val="20"/>
                <w:szCs w:val="20"/>
              </w:rPr>
              <w:t>100000</w:t>
            </w:r>
          </w:p>
        </w:tc>
        <w:tc>
          <w:tcPr>
            <w:tcW w:w="854"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Times New Roman"/>
                <w:color w:val="000000"/>
                <w:sz w:val="20"/>
                <w:szCs w:val="20"/>
              </w:rPr>
              <w:t>59782</w:t>
            </w:r>
          </w:p>
        </w:tc>
        <w:tc>
          <w:tcPr>
            <w:tcW w:w="756"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Times New Roman"/>
                <w:color w:val="000000"/>
                <w:sz w:val="20"/>
                <w:szCs w:val="20"/>
              </w:rPr>
              <w:t>0</w:t>
            </w:r>
          </w:p>
        </w:tc>
        <w:tc>
          <w:tcPr>
            <w:tcW w:w="252"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p>
        </w:tc>
      </w:tr>
      <w:tr>
        <w:tblPrEx>
          <w:tblCellMar>
            <w:top w:w="0" w:type="dxa"/>
            <w:left w:w="57" w:type="dxa"/>
            <w:bottom w:w="0" w:type="dxa"/>
            <w:right w:w="57" w:type="dxa"/>
          </w:tblCellMar>
        </w:tblPrEx>
        <w:trPr>
          <w:trHeight w:val="340" w:hRule="atLeast"/>
        </w:trPr>
        <w:tc>
          <w:tcPr>
            <w:tcW w:w="683" w:type="dxa"/>
            <w:tcBorders>
              <w:top w:val="nil"/>
              <w:left w:val="single" w:color="auto" w:sz="4" w:space="0"/>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Times New Roman"/>
                <w:color w:val="000000"/>
                <w:sz w:val="20"/>
                <w:szCs w:val="20"/>
              </w:rPr>
              <w:t>2</w:t>
            </w:r>
          </w:p>
        </w:tc>
        <w:tc>
          <w:tcPr>
            <w:tcW w:w="1537" w:type="dxa"/>
            <w:tcBorders>
              <w:top w:val="nil"/>
              <w:left w:val="nil"/>
              <w:bottom w:val="single" w:color="auto" w:sz="4" w:space="0"/>
              <w:right w:val="single" w:color="auto" w:sz="4" w:space="0"/>
            </w:tcBorders>
            <w:shd w:val="clear" w:color="000000" w:fill="FFFFFF"/>
            <w:vAlign w:val="center"/>
          </w:tcPr>
          <w:p>
            <w:pPr>
              <w:spacing w:line="0" w:lineRule="atLeast"/>
              <w:rPr>
                <w:rFonts w:ascii="宋体"/>
                <w:color w:val="000000"/>
                <w:sz w:val="20"/>
                <w:szCs w:val="20"/>
              </w:rPr>
            </w:pPr>
            <w:r>
              <w:rPr>
                <w:rFonts w:ascii="宋体"/>
                <w:color w:val="000000"/>
                <w:sz w:val="20"/>
                <w:szCs w:val="20"/>
              </w:rPr>
              <w:t>蓝光花间溪谷花园</w:t>
            </w:r>
          </w:p>
        </w:tc>
        <w:tc>
          <w:tcPr>
            <w:tcW w:w="938"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宋体"/>
                <w:color w:val="000000"/>
                <w:sz w:val="20"/>
                <w:szCs w:val="20"/>
              </w:rPr>
              <w:t>斗南街道</w:t>
            </w:r>
          </w:p>
        </w:tc>
        <w:tc>
          <w:tcPr>
            <w:tcW w:w="924"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宋体"/>
                <w:color w:val="000000"/>
                <w:sz w:val="20"/>
                <w:szCs w:val="20"/>
              </w:rPr>
              <w:t>房地产</w:t>
            </w:r>
          </w:p>
        </w:tc>
        <w:tc>
          <w:tcPr>
            <w:tcW w:w="812"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宋体"/>
                <w:color w:val="000000"/>
                <w:sz w:val="20"/>
                <w:szCs w:val="20"/>
              </w:rPr>
              <w:t>续建</w:t>
            </w:r>
          </w:p>
        </w:tc>
        <w:tc>
          <w:tcPr>
            <w:tcW w:w="1049"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Times New Roman"/>
                <w:color w:val="000000"/>
                <w:sz w:val="20"/>
                <w:szCs w:val="20"/>
              </w:rPr>
              <w:t>2018</w:t>
            </w:r>
            <w:r>
              <w:rPr>
                <w:rFonts w:ascii="宋体"/>
                <w:color w:val="000000"/>
                <w:sz w:val="20"/>
                <w:szCs w:val="20"/>
              </w:rPr>
              <w:t>-</w:t>
            </w:r>
            <w:r>
              <w:rPr>
                <w:rFonts w:ascii="Times New Roman"/>
                <w:color w:val="000000"/>
                <w:sz w:val="20"/>
                <w:szCs w:val="20"/>
              </w:rPr>
              <w:t>2020</w:t>
            </w:r>
          </w:p>
        </w:tc>
        <w:tc>
          <w:tcPr>
            <w:tcW w:w="3206" w:type="dxa"/>
            <w:tcBorders>
              <w:top w:val="nil"/>
              <w:left w:val="nil"/>
              <w:bottom w:val="single" w:color="auto" w:sz="4" w:space="0"/>
              <w:right w:val="single" w:color="auto" w:sz="4" w:space="0"/>
            </w:tcBorders>
            <w:shd w:val="clear" w:color="000000" w:fill="FFFFFF"/>
            <w:vAlign w:val="center"/>
          </w:tcPr>
          <w:p>
            <w:pPr>
              <w:spacing w:line="0" w:lineRule="atLeast"/>
              <w:rPr>
                <w:color w:val="000000"/>
              </w:rPr>
            </w:pPr>
            <w:r>
              <w:rPr>
                <w:rFonts w:ascii="宋体"/>
                <w:color w:val="000000"/>
                <w:sz w:val="20"/>
                <w:szCs w:val="20"/>
              </w:rPr>
              <w:t>项目净用地约</w:t>
            </w:r>
            <w:r>
              <w:rPr>
                <w:rFonts w:ascii="Times New Roman"/>
                <w:color w:val="000000"/>
                <w:sz w:val="20"/>
                <w:szCs w:val="20"/>
              </w:rPr>
              <w:t>248</w:t>
            </w:r>
            <w:r>
              <w:rPr>
                <w:rFonts w:ascii="宋体"/>
                <w:color w:val="000000"/>
                <w:sz w:val="20"/>
                <w:szCs w:val="20"/>
              </w:rPr>
              <w:t>.</w:t>
            </w:r>
            <w:r>
              <w:rPr>
                <w:rFonts w:ascii="Times New Roman"/>
                <w:color w:val="000000"/>
                <w:sz w:val="20"/>
                <w:szCs w:val="20"/>
              </w:rPr>
              <w:t>59</w:t>
            </w:r>
            <w:r>
              <w:rPr>
                <w:rFonts w:ascii="宋体"/>
                <w:color w:val="000000"/>
                <w:sz w:val="20"/>
                <w:szCs w:val="20"/>
              </w:rPr>
              <w:t>亩，总建筑面积</w:t>
            </w:r>
            <w:r>
              <w:rPr>
                <w:rFonts w:ascii="Times New Roman"/>
                <w:color w:val="000000"/>
                <w:sz w:val="20"/>
                <w:szCs w:val="20"/>
              </w:rPr>
              <w:t>565664</w:t>
            </w:r>
            <w:r>
              <w:rPr>
                <w:rFonts w:ascii="宋体"/>
                <w:color w:val="000000"/>
                <w:sz w:val="20"/>
                <w:szCs w:val="20"/>
              </w:rPr>
              <w:t>.</w:t>
            </w:r>
            <w:r>
              <w:rPr>
                <w:rFonts w:ascii="Times New Roman"/>
                <w:color w:val="000000"/>
                <w:sz w:val="20"/>
                <w:szCs w:val="20"/>
              </w:rPr>
              <w:t>59</w:t>
            </w:r>
            <w:r>
              <w:rPr>
                <w:rFonts w:ascii="宋体"/>
                <w:color w:val="000000"/>
                <w:sz w:val="20"/>
                <w:szCs w:val="20"/>
              </w:rPr>
              <w:t>㎡。主要建设包含住宅区、商业区，幼儿园、配套设</w:t>
            </w:r>
          </w:p>
          <w:p>
            <w:pPr>
              <w:spacing w:line="0" w:lineRule="atLeast"/>
              <w:rPr>
                <w:rFonts w:ascii="宋体"/>
                <w:color w:val="000000"/>
                <w:sz w:val="20"/>
                <w:szCs w:val="20"/>
              </w:rPr>
            </w:pPr>
            <w:r>
              <w:rPr>
                <w:rFonts w:ascii="宋体"/>
                <w:color w:val="000000"/>
                <w:sz w:val="20"/>
                <w:szCs w:val="20"/>
              </w:rPr>
              <w:t>施等内容的综合住宅区。</w:t>
            </w:r>
          </w:p>
        </w:tc>
        <w:tc>
          <w:tcPr>
            <w:tcW w:w="840"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Times New Roman"/>
                <w:color w:val="000000"/>
                <w:sz w:val="20"/>
                <w:szCs w:val="20"/>
              </w:rPr>
              <w:t>344529</w:t>
            </w:r>
          </w:p>
        </w:tc>
        <w:tc>
          <w:tcPr>
            <w:tcW w:w="756" w:type="dxa"/>
            <w:gridSpan w:val="2"/>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Times New Roman"/>
                <w:color w:val="000000"/>
                <w:sz w:val="20"/>
                <w:szCs w:val="20"/>
              </w:rPr>
              <w:t>193278</w:t>
            </w:r>
          </w:p>
        </w:tc>
        <w:tc>
          <w:tcPr>
            <w:tcW w:w="796"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Times New Roman"/>
                <w:color w:val="000000"/>
                <w:sz w:val="20"/>
                <w:szCs w:val="20"/>
              </w:rPr>
              <w:t>151251</w:t>
            </w:r>
          </w:p>
        </w:tc>
        <w:tc>
          <w:tcPr>
            <w:tcW w:w="813"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Times New Roman"/>
                <w:color w:val="000000"/>
                <w:sz w:val="20"/>
                <w:szCs w:val="20"/>
              </w:rPr>
              <w:t>151251</w:t>
            </w:r>
          </w:p>
        </w:tc>
        <w:tc>
          <w:tcPr>
            <w:tcW w:w="854"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Times New Roman"/>
                <w:color w:val="000000"/>
                <w:sz w:val="20"/>
                <w:szCs w:val="20"/>
              </w:rPr>
              <w:t>0</w:t>
            </w:r>
          </w:p>
        </w:tc>
        <w:tc>
          <w:tcPr>
            <w:tcW w:w="756"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Times New Roman"/>
                <w:color w:val="000000"/>
                <w:sz w:val="20"/>
                <w:szCs w:val="20"/>
              </w:rPr>
              <w:t>0</w:t>
            </w:r>
          </w:p>
        </w:tc>
        <w:tc>
          <w:tcPr>
            <w:tcW w:w="252"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p>
        </w:tc>
      </w:tr>
      <w:tr>
        <w:tblPrEx>
          <w:tblCellMar>
            <w:top w:w="0" w:type="dxa"/>
            <w:left w:w="57" w:type="dxa"/>
            <w:bottom w:w="0" w:type="dxa"/>
            <w:right w:w="57" w:type="dxa"/>
          </w:tblCellMar>
        </w:tblPrEx>
        <w:trPr>
          <w:trHeight w:val="340" w:hRule="atLeast"/>
        </w:trPr>
        <w:tc>
          <w:tcPr>
            <w:tcW w:w="683" w:type="dxa"/>
            <w:tcBorders>
              <w:top w:val="nil"/>
              <w:left w:val="single" w:color="auto" w:sz="4" w:space="0"/>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Times New Roman"/>
                <w:color w:val="000000"/>
                <w:sz w:val="20"/>
                <w:szCs w:val="20"/>
              </w:rPr>
              <w:t>3</w:t>
            </w:r>
          </w:p>
        </w:tc>
        <w:tc>
          <w:tcPr>
            <w:tcW w:w="1537" w:type="dxa"/>
            <w:tcBorders>
              <w:top w:val="nil"/>
              <w:left w:val="nil"/>
              <w:bottom w:val="single" w:color="auto" w:sz="4" w:space="0"/>
              <w:right w:val="single" w:color="auto" w:sz="4" w:space="0"/>
            </w:tcBorders>
            <w:shd w:val="clear" w:color="000000" w:fill="FFFFFF"/>
            <w:vAlign w:val="center"/>
          </w:tcPr>
          <w:p>
            <w:pPr>
              <w:spacing w:line="0" w:lineRule="atLeast"/>
              <w:rPr>
                <w:rFonts w:ascii="宋体"/>
                <w:color w:val="000000"/>
                <w:sz w:val="20"/>
                <w:szCs w:val="20"/>
              </w:rPr>
            </w:pPr>
            <w:r>
              <w:rPr>
                <w:rFonts w:ascii="宋体"/>
                <w:color w:val="000000"/>
                <w:sz w:val="20"/>
                <w:szCs w:val="20"/>
              </w:rPr>
              <w:t>蓝光花间香缇中心</w:t>
            </w:r>
          </w:p>
        </w:tc>
        <w:tc>
          <w:tcPr>
            <w:tcW w:w="938"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宋体"/>
                <w:color w:val="000000"/>
                <w:sz w:val="20"/>
                <w:szCs w:val="20"/>
              </w:rPr>
              <w:t>斗南街道</w:t>
            </w:r>
          </w:p>
        </w:tc>
        <w:tc>
          <w:tcPr>
            <w:tcW w:w="924"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宋体"/>
                <w:color w:val="000000"/>
                <w:sz w:val="20"/>
                <w:szCs w:val="20"/>
              </w:rPr>
              <w:t>房地产</w:t>
            </w:r>
          </w:p>
        </w:tc>
        <w:tc>
          <w:tcPr>
            <w:tcW w:w="812"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宋体"/>
                <w:color w:val="000000"/>
                <w:sz w:val="20"/>
                <w:szCs w:val="20"/>
              </w:rPr>
              <w:t>续建</w:t>
            </w:r>
          </w:p>
        </w:tc>
        <w:tc>
          <w:tcPr>
            <w:tcW w:w="1049"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Times New Roman"/>
                <w:color w:val="000000"/>
                <w:sz w:val="20"/>
                <w:szCs w:val="20"/>
              </w:rPr>
              <w:t>2018</w:t>
            </w:r>
            <w:r>
              <w:rPr>
                <w:rFonts w:ascii="宋体"/>
                <w:color w:val="000000"/>
                <w:sz w:val="20"/>
                <w:szCs w:val="20"/>
              </w:rPr>
              <w:t>-</w:t>
            </w:r>
            <w:r>
              <w:rPr>
                <w:rFonts w:ascii="Times New Roman"/>
                <w:color w:val="000000"/>
                <w:sz w:val="20"/>
                <w:szCs w:val="20"/>
              </w:rPr>
              <w:t>2022</w:t>
            </w:r>
          </w:p>
        </w:tc>
        <w:tc>
          <w:tcPr>
            <w:tcW w:w="3206" w:type="dxa"/>
            <w:tcBorders>
              <w:top w:val="nil"/>
              <w:left w:val="nil"/>
              <w:bottom w:val="single" w:color="auto" w:sz="4" w:space="0"/>
              <w:right w:val="single" w:color="auto" w:sz="4" w:space="0"/>
            </w:tcBorders>
            <w:shd w:val="clear" w:color="000000" w:fill="FFFFFF"/>
            <w:vAlign w:val="center"/>
          </w:tcPr>
          <w:p>
            <w:pPr>
              <w:spacing w:line="0" w:lineRule="atLeast"/>
              <w:rPr>
                <w:rFonts w:ascii="宋体"/>
                <w:color w:val="000000"/>
                <w:sz w:val="20"/>
                <w:szCs w:val="20"/>
              </w:rPr>
            </w:pPr>
            <w:r>
              <w:rPr>
                <w:rFonts w:ascii="宋体"/>
                <w:color w:val="000000"/>
                <w:sz w:val="20"/>
                <w:szCs w:val="20"/>
              </w:rPr>
              <w:t>项目净用地约</w:t>
            </w:r>
            <w:r>
              <w:rPr>
                <w:rFonts w:ascii="Times New Roman"/>
                <w:color w:val="000000"/>
                <w:sz w:val="20"/>
                <w:szCs w:val="20"/>
              </w:rPr>
              <w:t>148</w:t>
            </w:r>
            <w:r>
              <w:rPr>
                <w:rFonts w:ascii="宋体"/>
                <w:color w:val="000000"/>
                <w:sz w:val="20"/>
                <w:szCs w:val="20"/>
              </w:rPr>
              <w:t>.</w:t>
            </w:r>
            <w:r>
              <w:rPr>
                <w:rFonts w:ascii="Times New Roman"/>
                <w:color w:val="000000"/>
                <w:sz w:val="20"/>
                <w:szCs w:val="20"/>
              </w:rPr>
              <w:t>15</w:t>
            </w:r>
            <w:r>
              <w:rPr>
                <w:rFonts w:ascii="宋体"/>
                <w:color w:val="000000"/>
                <w:sz w:val="20"/>
                <w:szCs w:val="20"/>
              </w:rPr>
              <w:t>亩，总建筑面积</w:t>
            </w:r>
            <w:r>
              <w:rPr>
                <w:rFonts w:ascii="Times New Roman"/>
                <w:color w:val="000000"/>
                <w:sz w:val="20"/>
                <w:szCs w:val="20"/>
              </w:rPr>
              <w:t>80563</w:t>
            </w:r>
            <w:r>
              <w:rPr>
                <w:rFonts w:ascii="宋体"/>
                <w:color w:val="000000"/>
                <w:sz w:val="20"/>
                <w:szCs w:val="20"/>
              </w:rPr>
              <w:t>㎡。</w:t>
            </w:r>
          </w:p>
        </w:tc>
        <w:tc>
          <w:tcPr>
            <w:tcW w:w="840"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Times New Roman"/>
                <w:color w:val="000000"/>
                <w:sz w:val="20"/>
                <w:szCs w:val="20"/>
              </w:rPr>
              <w:t>124400</w:t>
            </w:r>
          </w:p>
        </w:tc>
        <w:tc>
          <w:tcPr>
            <w:tcW w:w="756" w:type="dxa"/>
            <w:gridSpan w:val="2"/>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Times New Roman"/>
                <w:color w:val="000000"/>
                <w:sz w:val="20"/>
                <w:szCs w:val="20"/>
              </w:rPr>
              <w:t>34152</w:t>
            </w:r>
          </w:p>
        </w:tc>
        <w:tc>
          <w:tcPr>
            <w:tcW w:w="796"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Times New Roman"/>
                <w:color w:val="000000"/>
                <w:sz w:val="20"/>
                <w:szCs w:val="20"/>
              </w:rPr>
              <w:t>90248</w:t>
            </w:r>
          </w:p>
        </w:tc>
        <w:tc>
          <w:tcPr>
            <w:tcW w:w="813"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Times New Roman"/>
                <w:color w:val="000000"/>
                <w:sz w:val="20"/>
                <w:szCs w:val="20"/>
              </w:rPr>
              <w:t>60000</w:t>
            </w:r>
          </w:p>
        </w:tc>
        <w:tc>
          <w:tcPr>
            <w:tcW w:w="854"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Times New Roman"/>
                <w:color w:val="000000"/>
                <w:sz w:val="20"/>
                <w:szCs w:val="20"/>
              </w:rPr>
              <w:t>30248</w:t>
            </w:r>
          </w:p>
        </w:tc>
        <w:tc>
          <w:tcPr>
            <w:tcW w:w="756"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Times New Roman"/>
                <w:color w:val="000000"/>
                <w:sz w:val="20"/>
                <w:szCs w:val="20"/>
              </w:rPr>
              <w:t>0</w:t>
            </w:r>
          </w:p>
        </w:tc>
        <w:tc>
          <w:tcPr>
            <w:tcW w:w="252"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p>
        </w:tc>
      </w:tr>
      <w:tr>
        <w:tblPrEx>
          <w:tblCellMar>
            <w:top w:w="0" w:type="dxa"/>
            <w:left w:w="57" w:type="dxa"/>
            <w:bottom w:w="0" w:type="dxa"/>
            <w:right w:w="57" w:type="dxa"/>
          </w:tblCellMar>
        </w:tblPrEx>
        <w:trPr>
          <w:trHeight w:val="340" w:hRule="atLeast"/>
        </w:trPr>
        <w:tc>
          <w:tcPr>
            <w:tcW w:w="683" w:type="dxa"/>
            <w:tcBorders>
              <w:top w:val="nil"/>
              <w:left w:val="single" w:color="auto" w:sz="4" w:space="0"/>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Times New Roman"/>
                <w:color w:val="000000"/>
                <w:sz w:val="20"/>
                <w:szCs w:val="20"/>
              </w:rPr>
              <w:t>4</w:t>
            </w:r>
          </w:p>
        </w:tc>
        <w:tc>
          <w:tcPr>
            <w:tcW w:w="1537" w:type="dxa"/>
            <w:tcBorders>
              <w:top w:val="nil"/>
              <w:left w:val="nil"/>
              <w:bottom w:val="single" w:color="auto" w:sz="4" w:space="0"/>
              <w:right w:val="single" w:color="auto" w:sz="4" w:space="0"/>
            </w:tcBorders>
            <w:shd w:val="clear" w:color="000000" w:fill="FFFFFF"/>
            <w:vAlign w:val="center"/>
          </w:tcPr>
          <w:p>
            <w:pPr>
              <w:spacing w:line="0" w:lineRule="atLeast"/>
              <w:rPr>
                <w:rFonts w:ascii="宋体"/>
                <w:color w:val="000000"/>
                <w:sz w:val="20"/>
                <w:szCs w:val="20"/>
              </w:rPr>
            </w:pPr>
            <w:r>
              <w:rPr>
                <w:rFonts w:ascii="宋体"/>
                <w:color w:val="000000"/>
                <w:sz w:val="20"/>
                <w:szCs w:val="20"/>
              </w:rPr>
              <w:t>东盟商贸港</w:t>
            </w:r>
          </w:p>
        </w:tc>
        <w:tc>
          <w:tcPr>
            <w:tcW w:w="938"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宋体"/>
                <w:color w:val="000000"/>
                <w:sz w:val="20"/>
                <w:szCs w:val="20"/>
              </w:rPr>
              <w:t>斗南街道</w:t>
            </w:r>
          </w:p>
        </w:tc>
        <w:tc>
          <w:tcPr>
            <w:tcW w:w="924"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宋体"/>
                <w:color w:val="000000"/>
                <w:sz w:val="20"/>
                <w:szCs w:val="20"/>
              </w:rPr>
              <w:t>房地产</w:t>
            </w:r>
          </w:p>
        </w:tc>
        <w:tc>
          <w:tcPr>
            <w:tcW w:w="812"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宋体"/>
                <w:color w:val="000000"/>
                <w:sz w:val="20"/>
                <w:szCs w:val="20"/>
              </w:rPr>
              <w:t>续建</w:t>
            </w:r>
          </w:p>
        </w:tc>
        <w:tc>
          <w:tcPr>
            <w:tcW w:w="1049"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Times New Roman"/>
                <w:color w:val="000000"/>
                <w:sz w:val="20"/>
                <w:szCs w:val="20"/>
              </w:rPr>
              <w:t>2011</w:t>
            </w:r>
            <w:r>
              <w:rPr>
                <w:rFonts w:ascii="宋体"/>
                <w:color w:val="000000"/>
                <w:sz w:val="20"/>
                <w:szCs w:val="20"/>
              </w:rPr>
              <w:t>-</w:t>
            </w:r>
            <w:r>
              <w:rPr>
                <w:rFonts w:ascii="Times New Roman"/>
                <w:color w:val="000000"/>
                <w:sz w:val="20"/>
                <w:szCs w:val="20"/>
              </w:rPr>
              <w:t>2023</w:t>
            </w:r>
          </w:p>
        </w:tc>
        <w:tc>
          <w:tcPr>
            <w:tcW w:w="3206" w:type="dxa"/>
            <w:tcBorders>
              <w:top w:val="nil"/>
              <w:left w:val="nil"/>
              <w:bottom w:val="single" w:color="auto" w:sz="4" w:space="0"/>
              <w:right w:val="single" w:color="auto" w:sz="4" w:space="0"/>
            </w:tcBorders>
            <w:shd w:val="clear" w:color="000000" w:fill="FFFFFF"/>
            <w:vAlign w:val="center"/>
          </w:tcPr>
          <w:p>
            <w:pPr>
              <w:spacing w:line="0" w:lineRule="atLeast"/>
              <w:rPr>
                <w:rFonts w:ascii="宋体"/>
                <w:color w:val="000000"/>
                <w:sz w:val="20"/>
                <w:szCs w:val="20"/>
              </w:rPr>
            </w:pPr>
            <w:r>
              <w:rPr>
                <w:rFonts w:ascii="宋体"/>
                <w:color w:val="000000"/>
                <w:sz w:val="20"/>
                <w:szCs w:val="20"/>
              </w:rPr>
              <w:t>分三期开发，其中一、二期共征用殷联社区集体土地约</w:t>
            </w:r>
            <w:r>
              <w:rPr>
                <w:rFonts w:ascii="Times New Roman"/>
                <w:color w:val="000000"/>
                <w:sz w:val="20"/>
                <w:szCs w:val="20"/>
              </w:rPr>
              <w:t>610</w:t>
            </w:r>
            <w:r>
              <w:rPr>
                <w:rFonts w:ascii="宋体"/>
                <w:color w:val="000000"/>
                <w:sz w:val="20"/>
                <w:szCs w:val="20"/>
              </w:rPr>
              <w:t>亩，主要建设住宅、公寓、商业等。</w:t>
            </w:r>
          </w:p>
        </w:tc>
        <w:tc>
          <w:tcPr>
            <w:tcW w:w="840"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Times New Roman"/>
                <w:color w:val="000000"/>
                <w:sz w:val="20"/>
                <w:szCs w:val="20"/>
              </w:rPr>
              <w:t>350000</w:t>
            </w:r>
          </w:p>
        </w:tc>
        <w:tc>
          <w:tcPr>
            <w:tcW w:w="756" w:type="dxa"/>
            <w:gridSpan w:val="2"/>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Times New Roman"/>
                <w:color w:val="000000"/>
                <w:sz w:val="20"/>
                <w:szCs w:val="20"/>
              </w:rPr>
              <w:t>242765</w:t>
            </w:r>
          </w:p>
        </w:tc>
        <w:tc>
          <w:tcPr>
            <w:tcW w:w="796"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Times New Roman"/>
                <w:color w:val="000000"/>
                <w:sz w:val="20"/>
                <w:szCs w:val="20"/>
              </w:rPr>
              <w:t>107235</w:t>
            </w:r>
          </w:p>
        </w:tc>
        <w:tc>
          <w:tcPr>
            <w:tcW w:w="813"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Times New Roman"/>
                <w:color w:val="000000"/>
                <w:sz w:val="20"/>
                <w:szCs w:val="20"/>
              </w:rPr>
              <w:t>80000</w:t>
            </w:r>
          </w:p>
        </w:tc>
        <w:tc>
          <w:tcPr>
            <w:tcW w:w="854"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Times New Roman"/>
                <w:color w:val="000000"/>
                <w:sz w:val="20"/>
                <w:szCs w:val="20"/>
              </w:rPr>
              <w:t>27235</w:t>
            </w:r>
          </w:p>
        </w:tc>
        <w:tc>
          <w:tcPr>
            <w:tcW w:w="756"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Times New Roman"/>
                <w:color w:val="000000"/>
                <w:sz w:val="20"/>
                <w:szCs w:val="20"/>
              </w:rPr>
              <w:t>0</w:t>
            </w:r>
          </w:p>
        </w:tc>
        <w:tc>
          <w:tcPr>
            <w:tcW w:w="252"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p>
        </w:tc>
      </w:tr>
      <w:tr>
        <w:tblPrEx>
          <w:tblCellMar>
            <w:top w:w="0" w:type="dxa"/>
            <w:left w:w="57" w:type="dxa"/>
            <w:bottom w:w="0" w:type="dxa"/>
            <w:right w:w="57" w:type="dxa"/>
          </w:tblCellMar>
        </w:tblPrEx>
        <w:trPr>
          <w:trHeight w:val="340" w:hRule="atLeast"/>
        </w:trPr>
        <w:tc>
          <w:tcPr>
            <w:tcW w:w="683" w:type="dxa"/>
            <w:tcBorders>
              <w:top w:val="nil"/>
              <w:left w:val="single" w:color="auto" w:sz="4" w:space="0"/>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Times New Roman"/>
                <w:color w:val="000000"/>
                <w:sz w:val="20"/>
                <w:szCs w:val="20"/>
              </w:rPr>
              <w:t>5</w:t>
            </w:r>
          </w:p>
        </w:tc>
        <w:tc>
          <w:tcPr>
            <w:tcW w:w="1537" w:type="dxa"/>
            <w:tcBorders>
              <w:top w:val="nil"/>
              <w:left w:val="nil"/>
              <w:bottom w:val="single" w:color="auto" w:sz="4" w:space="0"/>
              <w:right w:val="single" w:color="auto" w:sz="4" w:space="0"/>
            </w:tcBorders>
            <w:shd w:val="clear" w:color="000000" w:fill="FFFFFF"/>
            <w:vAlign w:val="center"/>
          </w:tcPr>
          <w:p>
            <w:pPr>
              <w:spacing w:line="0" w:lineRule="atLeast"/>
              <w:rPr>
                <w:rFonts w:ascii="宋体"/>
                <w:color w:val="000000"/>
                <w:sz w:val="20"/>
                <w:szCs w:val="20"/>
              </w:rPr>
            </w:pPr>
            <w:r>
              <w:rPr>
                <w:rFonts w:ascii="宋体"/>
                <w:color w:val="000000"/>
                <w:sz w:val="20"/>
                <w:szCs w:val="20"/>
              </w:rPr>
              <w:t>涌鑫中心</w:t>
            </w:r>
          </w:p>
        </w:tc>
        <w:tc>
          <w:tcPr>
            <w:tcW w:w="938"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宋体"/>
                <w:color w:val="000000"/>
                <w:sz w:val="20"/>
                <w:szCs w:val="20"/>
              </w:rPr>
              <w:t>吴家营街道</w:t>
            </w:r>
          </w:p>
        </w:tc>
        <w:tc>
          <w:tcPr>
            <w:tcW w:w="924"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宋体"/>
                <w:color w:val="000000"/>
                <w:sz w:val="20"/>
                <w:szCs w:val="20"/>
              </w:rPr>
              <w:t>房地产</w:t>
            </w:r>
          </w:p>
        </w:tc>
        <w:tc>
          <w:tcPr>
            <w:tcW w:w="812"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宋体"/>
                <w:color w:val="000000"/>
                <w:sz w:val="20"/>
                <w:szCs w:val="20"/>
              </w:rPr>
              <w:t>续建</w:t>
            </w:r>
          </w:p>
        </w:tc>
        <w:tc>
          <w:tcPr>
            <w:tcW w:w="1049"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Times New Roman"/>
                <w:color w:val="000000"/>
                <w:sz w:val="20"/>
                <w:szCs w:val="20"/>
              </w:rPr>
              <w:t>2013</w:t>
            </w:r>
            <w:r>
              <w:rPr>
                <w:rFonts w:ascii="宋体"/>
                <w:color w:val="000000"/>
                <w:sz w:val="20"/>
                <w:szCs w:val="20"/>
              </w:rPr>
              <w:t>-</w:t>
            </w:r>
            <w:r>
              <w:rPr>
                <w:rFonts w:ascii="Times New Roman"/>
                <w:color w:val="000000"/>
                <w:sz w:val="20"/>
                <w:szCs w:val="20"/>
              </w:rPr>
              <w:t>2021</w:t>
            </w:r>
          </w:p>
        </w:tc>
        <w:tc>
          <w:tcPr>
            <w:tcW w:w="3206" w:type="dxa"/>
            <w:tcBorders>
              <w:top w:val="nil"/>
              <w:left w:val="nil"/>
              <w:bottom w:val="single" w:color="auto" w:sz="4" w:space="0"/>
              <w:right w:val="single" w:color="auto" w:sz="4" w:space="0"/>
            </w:tcBorders>
            <w:shd w:val="clear" w:color="000000" w:fill="FFFFFF"/>
            <w:vAlign w:val="center"/>
          </w:tcPr>
          <w:p>
            <w:pPr>
              <w:spacing w:line="0" w:lineRule="atLeast"/>
              <w:rPr>
                <w:rFonts w:ascii="宋体"/>
                <w:color w:val="000000"/>
                <w:sz w:val="20"/>
                <w:szCs w:val="20"/>
              </w:rPr>
            </w:pPr>
            <w:r>
              <w:rPr>
                <w:rFonts w:ascii="宋体"/>
                <w:color w:val="000000"/>
                <w:sz w:val="20"/>
                <w:szCs w:val="20"/>
              </w:rPr>
              <w:t>住宅、商业等。项目规划建筑面积</w:t>
            </w:r>
            <w:r>
              <w:rPr>
                <w:rFonts w:ascii="Times New Roman"/>
                <w:color w:val="000000"/>
                <w:sz w:val="20"/>
                <w:szCs w:val="20"/>
              </w:rPr>
              <w:t>823459</w:t>
            </w:r>
            <w:r>
              <w:rPr>
                <w:rFonts w:ascii="宋体"/>
                <w:color w:val="000000"/>
                <w:sz w:val="20"/>
                <w:szCs w:val="20"/>
              </w:rPr>
              <w:t>平米。</w:t>
            </w:r>
          </w:p>
        </w:tc>
        <w:tc>
          <w:tcPr>
            <w:tcW w:w="840"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Times New Roman"/>
                <w:color w:val="000000"/>
                <w:sz w:val="20"/>
                <w:szCs w:val="20"/>
              </w:rPr>
              <w:t>467764</w:t>
            </w:r>
          </w:p>
        </w:tc>
        <w:tc>
          <w:tcPr>
            <w:tcW w:w="756" w:type="dxa"/>
            <w:gridSpan w:val="2"/>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Times New Roman"/>
                <w:color w:val="000000"/>
                <w:sz w:val="20"/>
                <w:szCs w:val="20"/>
              </w:rPr>
              <w:t>331526</w:t>
            </w:r>
          </w:p>
        </w:tc>
        <w:tc>
          <w:tcPr>
            <w:tcW w:w="796"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Times New Roman"/>
                <w:color w:val="000000"/>
                <w:sz w:val="20"/>
                <w:szCs w:val="20"/>
              </w:rPr>
              <w:t>136238</w:t>
            </w:r>
          </w:p>
        </w:tc>
        <w:tc>
          <w:tcPr>
            <w:tcW w:w="813"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Times New Roman"/>
                <w:color w:val="000000"/>
                <w:sz w:val="20"/>
                <w:szCs w:val="20"/>
              </w:rPr>
              <w:t>100000</w:t>
            </w:r>
          </w:p>
        </w:tc>
        <w:tc>
          <w:tcPr>
            <w:tcW w:w="854"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Times New Roman"/>
                <w:color w:val="000000"/>
                <w:sz w:val="20"/>
                <w:szCs w:val="20"/>
              </w:rPr>
              <w:t>36238</w:t>
            </w:r>
          </w:p>
        </w:tc>
        <w:tc>
          <w:tcPr>
            <w:tcW w:w="756"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Times New Roman"/>
                <w:color w:val="000000"/>
                <w:sz w:val="20"/>
                <w:szCs w:val="20"/>
              </w:rPr>
              <w:t>0</w:t>
            </w:r>
          </w:p>
        </w:tc>
        <w:tc>
          <w:tcPr>
            <w:tcW w:w="252"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p>
        </w:tc>
      </w:tr>
      <w:tr>
        <w:tblPrEx>
          <w:tblCellMar>
            <w:top w:w="0" w:type="dxa"/>
            <w:left w:w="57" w:type="dxa"/>
            <w:bottom w:w="0" w:type="dxa"/>
            <w:right w:w="57" w:type="dxa"/>
          </w:tblCellMar>
        </w:tblPrEx>
        <w:trPr>
          <w:trHeight w:val="340" w:hRule="atLeast"/>
        </w:trPr>
        <w:tc>
          <w:tcPr>
            <w:tcW w:w="683" w:type="dxa"/>
            <w:tcBorders>
              <w:top w:val="nil"/>
              <w:left w:val="single" w:color="auto" w:sz="4" w:space="0"/>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Times New Roman"/>
                <w:color w:val="000000"/>
                <w:sz w:val="20"/>
                <w:szCs w:val="20"/>
              </w:rPr>
              <w:t>6</w:t>
            </w:r>
          </w:p>
        </w:tc>
        <w:tc>
          <w:tcPr>
            <w:tcW w:w="1537" w:type="dxa"/>
            <w:tcBorders>
              <w:top w:val="nil"/>
              <w:left w:val="nil"/>
              <w:bottom w:val="single" w:color="auto" w:sz="4" w:space="0"/>
              <w:right w:val="single" w:color="auto" w:sz="4" w:space="0"/>
            </w:tcBorders>
            <w:shd w:val="clear" w:color="000000" w:fill="FFFFFF"/>
            <w:vAlign w:val="center"/>
          </w:tcPr>
          <w:p>
            <w:pPr>
              <w:spacing w:line="0" w:lineRule="atLeast"/>
              <w:rPr>
                <w:rFonts w:ascii="宋体"/>
                <w:color w:val="000000"/>
                <w:sz w:val="20"/>
                <w:szCs w:val="20"/>
              </w:rPr>
            </w:pPr>
            <w:r>
              <w:rPr>
                <w:rFonts w:ascii="宋体"/>
                <w:color w:val="000000"/>
                <w:sz w:val="20"/>
                <w:szCs w:val="20"/>
              </w:rPr>
              <w:t>博晖商业中心及博晖雅苑</w:t>
            </w:r>
          </w:p>
        </w:tc>
        <w:tc>
          <w:tcPr>
            <w:tcW w:w="938"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宋体"/>
                <w:color w:val="000000"/>
                <w:sz w:val="20"/>
                <w:szCs w:val="20"/>
              </w:rPr>
              <w:t>吴家营街道</w:t>
            </w:r>
          </w:p>
        </w:tc>
        <w:tc>
          <w:tcPr>
            <w:tcW w:w="924"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宋体"/>
                <w:color w:val="000000"/>
                <w:sz w:val="20"/>
                <w:szCs w:val="20"/>
              </w:rPr>
              <w:t>房地产</w:t>
            </w:r>
          </w:p>
        </w:tc>
        <w:tc>
          <w:tcPr>
            <w:tcW w:w="812"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宋体"/>
                <w:color w:val="000000"/>
                <w:sz w:val="20"/>
                <w:szCs w:val="20"/>
              </w:rPr>
              <w:t>续建</w:t>
            </w:r>
          </w:p>
        </w:tc>
        <w:tc>
          <w:tcPr>
            <w:tcW w:w="1049"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Times New Roman"/>
                <w:color w:val="000000"/>
                <w:sz w:val="20"/>
                <w:szCs w:val="20"/>
              </w:rPr>
              <w:t>2015</w:t>
            </w:r>
            <w:r>
              <w:rPr>
                <w:rFonts w:ascii="宋体"/>
                <w:color w:val="000000"/>
                <w:sz w:val="20"/>
                <w:szCs w:val="20"/>
              </w:rPr>
              <w:t>-</w:t>
            </w:r>
            <w:r>
              <w:rPr>
                <w:rFonts w:ascii="Times New Roman"/>
                <w:color w:val="000000"/>
                <w:sz w:val="20"/>
                <w:szCs w:val="20"/>
              </w:rPr>
              <w:t>2021</w:t>
            </w:r>
          </w:p>
        </w:tc>
        <w:tc>
          <w:tcPr>
            <w:tcW w:w="3206" w:type="dxa"/>
            <w:tcBorders>
              <w:top w:val="nil"/>
              <w:left w:val="nil"/>
              <w:bottom w:val="single" w:color="auto" w:sz="4" w:space="0"/>
              <w:right w:val="single" w:color="auto" w:sz="4" w:space="0"/>
            </w:tcBorders>
            <w:shd w:val="clear" w:color="000000" w:fill="FFFFFF"/>
            <w:vAlign w:val="center"/>
          </w:tcPr>
          <w:p>
            <w:pPr>
              <w:spacing w:line="0" w:lineRule="atLeast"/>
              <w:rPr>
                <w:rFonts w:ascii="宋体"/>
                <w:color w:val="000000"/>
                <w:sz w:val="20"/>
                <w:szCs w:val="20"/>
              </w:rPr>
            </w:pPr>
            <w:r>
              <w:rPr>
                <w:rFonts w:ascii="宋体"/>
                <w:color w:val="000000"/>
                <w:sz w:val="20"/>
                <w:szCs w:val="20"/>
              </w:rPr>
              <w:t>住宅及商业。项目净用地面积</w:t>
            </w:r>
            <w:r>
              <w:rPr>
                <w:rFonts w:ascii="Times New Roman"/>
                <w:color w:val="000000"/>
                <w:sz w:val="20"/>
                <w:szCs w:val="20"/>
              </w:rPr>
              <w:t>49838</w:t>
            </w:r>
            <w:r>
              <w:rPr>
                <w:rFonts w:ascii="宋体"/>
                <w:color w:val="000000"/>
                <w:sz w:val="20"/>
                <w:szCs w:val="20"/>
              </w:rPr>
              <w:t>.</w:t>
            </w:r>
            <w:r>
              <w:rPr>
                <w:rFonts w:ascii="Times New Roman"/>
                <w:color w:val="000000"/>
                <w:sz w:val="20"/>
                <w:szCs w:val="20"/>
              </w:rPr>
              <w:t>45</w:t>
            </w:r>
            <w:r>
              <w:rPr>
                <w:rFonts w:ascii="宋体"/>
                <w:color w:val="000000"/>
                <w:sz w:val="20"/>
                <w:szCs w:val="20"/>
              </w:rPr>
              <w:t>平方米，总建筑面积</w:t>
            </w:r>
            <w:r>
              <w:rPr>
                <w:rFonts w:ascii="Times New Roman"/>
                <w:color w:val="000000"/>
                <w:sz w:val="20"/>
                <w:szCs w:val="20"/>
              </w:rPr>
              <w:t>233364</w:t>
            </w:r>
            <w:r>
              <w:rPr>
                <w:rFonts w:ascii="宋体"/>
                <w:color w:val="000000"/>
                <w:sz w:val="20"/>
                <w:szCs w:val="20"/>
              </w:rPr>
              <w:t>.</w:t>
            </w:r>
            <w:r>
              <w:rPr>
                <w:rFonts w:ascii="Times New Roman"/>
                <w:color w:val="000000"/>
                <w:sz w:val="20"/>
                <w:szCs w:val="20"/>
              </w:rPr>
              <w:t>9</w:t>
            </w:r>
            <w:r>
              <w:rPr>
                <w:rFonts w:ascii="宋体"/>
                <w:color w:val="000000"/>
                <w:sz w:val="20"/>
                <w:szCs w:val="20"/>
              </w:rPr>
              <w:t>平方米，属于</w:t>
            </w:r>
            <w:r>
              <w:rPr>
                <w:rFonts w:ascii="Times New Roman"/>
                <w:color w:val="000000"/>
                <w:sz w:val="20"/>
                <w:szCs w:val="20"/>
              </w:rPr>
              <w:t>R2</w:t>
            </w:r>
            <w:r>
              <w:rPr>
                <w:rFonts w:ascii="宋体"/>
                <w:color w:val="000000"/>
                <w:sz w:val="20"/>
                <w:szCs w:val="20"/>
              </w:rPr>
              <w:t>二类居住用地。</w:t>
            </w:r>
          </w:p>
        </w:tc>
        <w:tc>
          <w:tcPr>
            <w:tcW w:w="840"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Times New Roman"/>
                <w:color w:val="000000"/>
                <w:sz w:val="20"/>
                <w:szCs w:val="20"/>
              </w:rPr>
              <w:t>286631</w:t>
            </w:r>
          </w:p>
        </w:tc>
        <w:tc>
          <w:tcPr>
            <w:tcW w:w="756" w:type="dxa"/>
            <w:gridSpan w:val="2"/>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Times New Roman"/>
                <w:color w:val="000000"/>
                <w:sz w:val="20"/>
                <w:szCs w:val="20"/>
              </w:rPr>
              <w:t>168705</w:t>
            </w:r>
          </w:p>
        </w:tc>
        <w:tc>
          <w:tcPr>
            <w:tcW w:w="796"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Times New Roman"/>
                <w:color w:val="000000"/>
                <w:sz w:val="20"/>
                <w:szCs w:val="20"/>
              </w:rPr>
              <w:t>117926</w:t>
            </w:r>
          </w:p>
        </w:tc>
        <w:tc>
          <w:tcPr>
            <w:tcW w:w="813"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Times New Roman"/>
                <w:color w:val="000000"/>
                <w:sz w:val="20"/>
                <w:szCs w:val="20"/>
              </w:rPr>
              <w:t>100000</w:t>
            </w:r>
          </w:p>
        </w:tc>
        <w:tc>
          <w:tcPr>
            <w:tcW w:w="854"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Times New Roman"/>
                <w:color w:val="000000"/>
                <w:sz w:val="20"/>
                <w:szCs w:val="20"/>
              </w:rPr>
              <w:t>17926</w:t>
            </w:r>
          </w:p>
        </w:tc>
        <w:tc>
          <w:tcPr>
            <w:tcW w:w="756"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Times New Roman"/>
                <w:color w:val="000000"/>
                <w:sz w:val="20"/>
                <w:szCs w:val="20"/>
              </w:rPr>
              <w:t>0</w:t>
            </w:r>
          </w:p>
        </w:tc>
        <w:tc>
          <w:tcPr>
            <w:tcW w:w="252"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p>
        </w:tc>
      </w:tr>
      <w:tr>
        <w:tblPrEx>
          <w:tblCellMar>
            <w:top w:w="0" w:type="dxa"/>
            <w:left w:w="57" w:type="dxa"/>
            <w:bottom w:w="0" w:type="dxa"/>
            <w:right w:w="57" w:type="dxa"/>
          </w:tblCellMar>
        </w:tblPrEx>
        <w:trPr>
          <w:trHeight w:val="340" w:hRule="atLeast"/>
        </w:trPr>
        <w:tc>
          <w:tcPr>
            <w:tcW w:w="683" w:type="dxa"/>
            <w:tcBorders>
              <w:top w:val="nil"/>
              <w:left w:val="single" w:color="auto" w:sz="4" w:space="0"/>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Times New Roman"/>
                <w:color w:val="000000"/>
                <w:sz w:val="20"/>
                <w:szCs w:val="20"/>
              </w:rPr>
              <w:t>7</w:t>
            </w:r>
          </w:p>
        </w:tc>
        <w:tc>
          <w:tcPr>
            <w:tcW w:w="1537" w:type="dxa"/>
            <w:tcBorders>
              <w:top w:val="nil"/>
              <w:left w:val="nil"/>
              <w:bottom w:val="single" w:color="auto" w:sz="4" w:space="0"/>
              <w:right w:val="single" w:color="auto" w:sz="4" w:space="0"/>
            </w:tcBorders>
            <w:shd w:val="clear" w:color="000000" w:fill="FFFFFF"/>
            <w:vAlign w:val="center"/>
          </w:tcPr>
          <w:p>
            <w:pPr>
              <w:spacing w:line="0" w:lineRule="atLeast"/>
              <w:rPr>
                <w:rFonts w:ascii="宋体"/>
                <w:color w:val="000000"/>
                <w:sz w:val="20"/>
                <w:szCs w:val="20"/>
              </w:rPr>
            </w:pPr>
            <w:r>
              <w:rPr>
                <w:rFonts w:ascii="宋体"/>
                <w:color w:val="000000"/>
                <w:sz w:val="20"/>
                <w:szCs w:val="20"/>
              </w:rPr>
              <w:t>峯荟花园项目</w:t>
            </w:r>
          </w:p>
        </w:tc>
        <w:tc>
          <w:tcPr>
            <w:tcW w:w="938"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宋体"/>
                <w:color w:val="000000"/>
                <w:sz w:val="20"/>
                <w:szCs w:val="20"/>
              </w:rPr>
              <w:t>吴家营街道</w:t>
            </w:r>
          </w:p>
        </w:tc>
        <w:tc>
          <w:tcPr>
            <w:tcW w:w="924"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宋体"/>
                <w:color w:val="000000"/>
                <w:sz w:val="20"/>
                <w:szCs w:val="20"/>
              </w:rPr>
              <w:t>房地产</w:t>
            </w:r>
          </w:p>
        </w:tc>
        <w:tc>
          <w:tcPr>
            <w:tcW w:w="812"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宋体"/>
                <w:color w:val="000000"/>
                <w:sz w:val="20"/>
                <w:szCs w:val="20"/>
              </w:rPr>
              <w:t>续建</w:t>
            </w:r>
          </w:p>
        </w:tc>
        <w:tc>
          <w:tcPr>
            <w:tcW w:w="1049"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Times New Roman"/>
                <w:color w:val="000000"/>
                <w:sz w:val="20"/>
                <w:szCs w:val="20"/>
              </w:rPr>
              <w:t>2017</w:t>
            </w:r>
            <w:r>
              <w:rPr>
                <w:rFonts w:ascii="宋体"/>
                <w:color w:val="000000"/>
                <w:sz w:val="20"/>
                <w:szCs w:val="20"/>
              </w:rPr>
              <w:t>-</w:t>
            </w:r>
            <w:r>
              <w:rPr>
                <w:rFonts w:ascii="Times New Roman"/>
                <w:color w:val="000000"/>
                <w:sz w:val="20"/>
                <w:szCs w:val="20"/>
              </w:rPr>
              <w:t>2021</w:t>
            </w:r>
          </w:p>
        </w:tc>
        <w:tc>
          <w:tcPr>
            <w:tcW w:w="3206" w:type="dxa"/>
            <w:tcBorders>
              <w:top w:val="nil"/>
              <w:left w:val="nil"/>
              <w:bottom w:val="single" w:color="auto" w:sz="4" w:space="0"/>
              <w:right w:val="single" w:color="auto" w:sz="4" w:space="0"/>
            </w:tcBorders>
            <w:shd w:val="clear" w:color="000000" w:fill="FFFFFF"/>
            <w:vAlign w:val="center"/>
          </w:tcPr>
          <w:p>
            <w:pPr>
              <w:spacing w:line="0" w:lineRule="atLeast"/>
              <w:rPr>
                <w:rFonts w:ascii="宋体"/>
                <w:color w:val="000000"/>
                <w:sz w:val="20"/>
                <w:szCs w:val="20"/>
              </w:rPr>
            </w:pPr>
            <w:r>
              <w:rPr>
                <w:rFonts w:ascii="宋体"/>
                <w:color w:val="000000"/>
                <w:sz w:val="20"/>
                <w:szCs w:val="20"/>
              </w:rPr>
              <w:t>住宅，项目总建筑面积</w:t>
            </w:r>
            <w:r>
              <w:rPr>
                <w:rFonts w:ascii="Times New Roman"/>
                <w:color w:val="000000"/>
                <w:sz w:val="20"/>
                <w:szCs w:val="20"/>
              </w:rPr>
              <w:t>37</w:t>
            </w:r>
            <w:r>
              <w:rPr>
                <w:rFonts w:ascii="宋体"/>
                <w:color w:val="000000"/>
                <w:sz w:val="20"/>
                <w:szCs w:val="20"/>
              </w:rPr>
              <w:t>万平米。</w:t>
            </w:r>
          </w:p>
        </w:tc>
        <w:tc>
          <w:tcPr>
            <w:tcW w:w="840"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Times New Roman"/>
                <w:color w:val="000000"/>
                <w:sz w:val="20"/>
                <w:szCs w:val="20"/>
              </w:rPr>
              <w:t>148575</w:t>
            </w:r>
          </w:p>
        </w:tc>
        <w:tc>
          <w:tcPr>
            <w:tcW w:w="756" w:type="dxa"/>
            <w:gridSpan w:val="2"/>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Times New Roman"/>
                <w:color w:val="000000"/>
                <w:sz w:val="20"/>
                <w:szCs w:val="20"/>
              </w:rPr>
              <w:t>39813</w:t>
            </w:r>
          </w:p>
        </w:tc>
        <w:tc>
          <w:tcPr>
            <w:tcW w:w="796"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Times New Roman"/>
                <w:color w:val="000000"/>
                <w:sz w:val="20"/>
                <w:szCs w:val="20"/>
              </w:rPr>
              <w:t>108762</w:t>
            </w:r>
          </w:p>
        </w:tc>
        <w:tc>
          <w:tcPr>
            <w:tcW w:w="813"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Times New Roman"/>
                <w:color w:val="000000"/>
                <w:sz w:val="20"/>
                <w:szCs w:val="20"/>
              </w:rPr>
              <w:t>100000</w:t>
            </w:r>
          </w:p>
        </w:tc>
        <w:tc>
          <w:tcPr>
            <w:tcW w:w="854"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Times New Roman"/>
                <w:color w:val="000000"/>
                <w:sz w:val="20"/>
                <w:szCs w:val="20"/>
              </w:rPr>
              <w:t>8762</w:t>
            </w:r>
          </w:p>
        </w:tc>
        <w:tc>
          <w:tcPr>
            <w:tcW w:w="756"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Times New Roman"/>
                <w:color w:val="000000"/>
                <w:sz w:val="20"/>
                <w:szCs w:val="20"/>
              </w:rPr>
              <w:t>0</w:t>
            </w:r>
          </w:p>
        </w:tc>
        <w:tc>
          <w:tcPr>
            <w:tcW w:w="252"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p>
        </w:tc>
      </w:tr>
      <w:tr>
        <w:tblPrEx>
          <w:tblCellMar>
            <w:top w:w="0" w:type="dxa"/>
            <w:left w:w="57" w:type="dxa"/>
            <w:bottom w:w="0" w:type="dxa"/>
            <w:right w:w="57" w:type="dxa"/>
          </w:tblCellMar>
        </w:tblPrEx>
        <w:trPr>
          <w:trHeight w:val="340" w:hRule="atLeast"/>
        </w:trPr>
        <w:tc>
          <w:tcPr>
            <w:tcW w:w="683" w:type="dxa"/>
            <w:tcBorders>
              <w:top w:val="nil"/>
              <w:left w:val="single" w:color="auto" w:sz="4" w:space="0"/>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Times New Roman"/>
                <w:color w:val="000000"/>
                <w:sz w:val="20"/>
                <w:szCs w:val="20"/>
              </w:rPr>
              <w:t>8</w:t>
            </w:r>
          </w:p>
        </w:tc>
        <w:tc>
          <w:tcPr>
            <w:tcW w:w="1537" w:type="dxa"/>
            <w:tcBorders>
              <w:top w:val="nil"/>
              <w:left w:val="nil"/>
              <w:bottom w:val="single" w:color="auto" w:sz="4" w:space="0"/>
              <w:right w:val="single" w:color="auto" w:sz="4" w:space="0"/>
            </w:tcBorders>
            <w:shd w:val="clear" w:color="000000" w:fill="FFFFFF"/>
            <w:vAlign w:val="center"/>
          </w:tcPr>
          <w:p>
            <w:pPr>
              <w:spacing w:line="0" w:lineRule="atLeast"/>
              <w:rPr>
                <w:rFonts w:ascii="宋体"/>
                <w:color w:val="000000"/>
                <w:sz w:val="20"/>
                <w:szCs w:val="20"/>
              </w:rPr>
            </w:pPr>
            <w:r>
              <w:rPr>
                <w:rFonts w:ascii="宋体"/>
                <w:color w:val="000000"/>
                <w:sz w:val="20"/>
                <w:szCs w:val="20"/>
              </w:rPr>
              <w:t>中铁大厦、中铁佳苑</w:t>
            </w:r>
          </w:p>
        </w:tc>
        <w:tc>
          <w:tcPr>
            <w:tcW w:w="938"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宋体"/>
                <w:color w:val="000000"/>
                <w:sz w:val="20"/>
                <w:szCs w:val="20"/>
              </w:rPr>
              <w:t>吴家营街道</w:t>
            </w:r>
          </w:p>
        </w:tc>
        <w:tc>
          <w:tcPr>
            <w:tcW w:w="924"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宋体"/>
                <w:color w:val="000000"/>
                <w:sz w:val="20"/>
                <w:szCs w:val="20"/>
              </w:rPr>
              <w:t>房地产</w:t>
            </w:r>
          </w:p>
        </w:tc>
        <w:tc>
          <w:tcPr>
            <w:tcW w:w="812"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宋体"/>
                <w:color w:val="000000"/>
                <w:sz w:val="20"/>
                <w:szCs w:val="20"/>
              </w:rPr>
              <w:t>续建</w:t>
            </w:r>
          </w:p>
        </w:tc>
        <w:tc>
          <w:tcPr>
            <w:tcW w:w="1049"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Times New Roman"/>
                <w:color w:val="000000"/>
                <w:sz w:val="20"/>
                <w:szCs w:val="20"/>
              </w:rPr>
              <w:t>2018</w:t>
            </w:r>
            <w:r>
              <w:rPr>
                <w:rFonts w:ascii="宋体"/>
                <w:color w:val="000000"/>
                <w:sz w:val="20"/>
                <w:szCs w:val="20"/>
              </w:rPr>
              <w:t>-</w:t>
            </w:r>
            <w:r>
              <w:rPr>
                <w:rFonts w:ascii="Times New Roman"/>
                <w:color w:val="000000"/>
                <w:sz w:val="20"/>
                <w:szCs w:val="20"/>
              </w:rPr>
              <w:t>2022</w:t>
            </w:r>
          </w:p>
        </w:tc>
        <w:tc>
          <w:tcPr>
            <w:tcW w:w="3206" w:type="dxa"/>
            <w:tcBorders>
              <w:top w:val="nil"/>
              <w:left w:val="nil"/>
              <w:bottom w:val="single" w:color="auto" w:sz="4" w:space="0"/>
              <w:right w:val="single" w:color="auto" w:sz="4" w:space="0"/>
            </w:tcBorders>
            <w:shd w:val="clear" w:color="000000" w:fill="FFFFFF"/>
            <w:vAlign w:val="center"/>
          </w:tcPr>
          <w:p>
            <w:pPr>
              <w:spacing w:line="0" w:lineRule="atLeast"/>
              <w:rPr>
                <w:rFonts w:ascii="宋体"/>
                <w:color w:val="000000"/>
                <w:sz w:val="20"/>
                <w:szCs w:val="20"/>
              </w:rPr>
            </w:pPr>
            <w:r>
              <w:rPr>
                <w:rFonts w:ascii="宋体"/>
                <w:color w:val="000000"/>
                <w:sz w:val="20"/>
                <w:szCs w:val="20"/>
              </w:rPr>
              <w:t>共分为四个地块，总用地面积为</w:t>
            </w:r>
            <w:r>
              <w:rPr>
                <w:rFonts w:ascii="Times New Roman"/>
                <w:color w:val="000000"/>
                <w:sz w:val="20"/>
                <w:szCs w:val="20"/>
              </w:rPr>
              <w:t>34658</w:t>
            </w:r>
            <w:r>
              <w:rPr>
                <w:rFonts w:ascii="宋体"/>
                <w:color w:val="000000"/>
                <w:sz w:val="20"/>
                <w:szCs w:val="20"/>
              </w:rPr>
              <w:t>.</w:t>
            </w:r>
            <w:r>
              <w:rPr>
                <w:rFonts w:ascii="Times New Roman"/>
                <w:color w:val="000000"/>
                <w:sz w:val="20"/>
                <w:szCs w:val="20"/>
              </w:rPr>
              <w:t>82</w:t>
            </w:r>
            <w:r>
              <w:rPr>
                <w:rFonts w:ascii="宋体"/>
                <w:color w:val="000000"/>
                <w:sz w:val="20"/>
                <w:szCs w:val="20"/>
              </w:rPr>
              <w:t>㎡（约</w:t>
            </w:r>
            <w:r>
              <w:rPr>
                <w:rFonts w:ascii="Times New Roman"/>
                <w:color w:val="000000"/>
                <w:sz w:val="20"/>
                <w:szCs w:val="20"/>
              </w:rPr>
              <w:t>52</w:t>
            </w:r>
            <w:r>
              <w:rPr>
                <w:rFonts w:ascii="宋体"/>
                <w:color w:val="000000"/>
                <w:sz w:val="20"/>
                <w:szCs w:val="20"/>
              </w:rPr>
              <w:t>亩），总建筑面积为</w:t>
            </w:r>
            <w:r>
              <w:rPr>
                <w:rFonts w:ascii="Times New Roman"/>
                <w:color w:val="000000"/>
                <w:sz w:val="20"/>
                <w:szCs w:val="20"/>
              </w:rPr>
              <w:t>238083</w:t>
            </w:r>
            <w:r>
              <w:rPr>
                <w:rFonts w:ascii="宋体"/>
                <w:color w:val="000000"/>
                <w:sz w:val="20"/>
                <w:szCs w:val="20"/>
              </w:rPr>
              <w:t>.</w:t>
            </w:r>
            <w:r>
              <w:rPr>
                <w:rFonts w:ascii="Times New Roman"/>
                <w:color w:val="000000"/>
                <w:sz w:val="20"/>
                <w:szCs w:val="20"/>
              </w:rPr>
              <w:t>78</w:t>
            </w:r>
            <w:r>
              <w:rPr>
                <w:rFonts w:ascii="宋体"/>
                <w:color w:val="000000"/>
                <w:sz w:val="20"/>
                <w:szCs w:val="20"/>
              </w:rPr>
              <w:t>㎡。</w:t>
            </w:r>
          </w:p>
        </w:tc>
        <w:tc>
          <w:tcPr>
            <w:tcW w:w="840"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Times New Roman"/>
                <w:color w:val="000000"/>
                <w:sz w:val="20"/>
                <w:szCs w:val="20"/>
              </w:rPr>
              <w:t>140000</w:t>
            </w:r>
          </w:p>
        </w:tc>
        <w:tc>
          <w:tcPr>
            <w:tcW w:w="756" w:type="dxa"/>
            <w:gridSpan w:val="2"/>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Times New Roman"/>
                <w:color w:val="000000"/>
                <w:sz w:val="20"/>
                <w:szCs w:val="20"/>
              </w:rPr>
              <w:t>87100</w:t>
            </w:r>
          </w:p>
        </w:tc>
        <w:tc>
          <w:tcPr>
            <w:tcW w:w="796"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Times New Roman"/>
                <w:color w:val="000000"/>
                <w:sz w:val="20"/>
                <w:szCs w:val="20"/>
              </w:rPr>
              <w:t>52900</w:t>
            </w:r>
          </w:p>
        </w:tc>
        <w:tc>
          <w:tcPr>
            <w:tcW w:w="813"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Times New Roman"/>
                <w:color w:val="000000"/>
                <w:sz w:val="20"/>
                <w:szCs w:val="20"/>
              </w:rPr>
              <w:t>40000</w:t>
            </w:r>
          </w:p>
        </w:tc>
        <w:tc>
          <w:tcPr>
            <w:tcW w:w="854"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Times New Roman"/>
                <w:color w:val="000000"/>
                <w:sz w:val="20"/>
                <w:szCs w:val="20"/>
              </w:rPr>
              <w:t>12900</w:t>
            </w:r>
          </w:p>
        </w:tc>
        <w:tc>
          <w:tcPr>
            <w:tcW w:w="756"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Times New Roman"/>
                <w:color w:val="000000"/>
                <w:sz w:val="20"/>
                <w:szCs w:val="20"/>
              </w:rPr>
              <w:t>0</w:t>
            </w:r>
          </w:p>
        </w:tc>
        <w:tc>
          <w:tcPr>
            <w:tcW w:w="252"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p>
        </w:tc>
      </w:tr>
      <w:tr>
        <w:tblPrEx>
          <w:tblCellMar>
            <w:top w:w="0" w:type="dxa"/>
            <w:left w:w="57" w:type="dxa"/>
            <w:bottom w:w="0" w:type="dxa"/>
            <w:right w:w="57" w:type="dxa"/>
          </w:tblCellMar>
        </w:tblPrEx>
        <w:trPr>
          <w:trHeight w:val="340" w:hRule="atLeast"/>
        </w:trPr>
        <w:tc>
          <w:tcPr>
            <w:tcW w:w="683" w:type="dxa"/>
            <w:tcBorders>
              <w:top w:val="nil"/>
              <w:left w:val="single" w:color="auto" w:sz="4" w:space="0"/>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Times New Roman"/>
                <w:color w:val="000000"/>
                <w:sz w:val="20"/>
                <w:szCs w:val="20"/>
              </w:rPr>
              <w:t>9</w:t>
            </w:r>
          </w:p>
        </w:tc>
        <w:tc>
          <w:tcPr>
            <w:tcW w:w="1537" w:type="dxa"/>
            <w:tcBorders>
              <w:top w:val="nil"/>
              <w:left w:val="nil"/>
              <w:bottom w:val="single" w:color="auto" w:sz="4" w:space="0"/>
              <w:right w:val="single" w:color="auto" w:sz="4" w:space="0"/>
            </w:tcBorders>
            <w:shd w:val="clear" w:color="000000" w:fill="FFFFFF"/>
            <w:vAlign w:val="center"/>
          </w:tcPr>
          <w:p>
            <w:pPr>
              <w:spacing w:line="0" w:lineRule="atLeast"/>
              <w:rPr>
                <w:rFonts w:ascii="宋体"/>
                <w:color w:val="000000"/>
                <w:sz w:val="20"/>
                <w:szCs w:val="20"/>
              </w:rPr>
            </w:pPr>
            <w:r>
              <w:rPr>
                <w:rFonts w:ascii="宋体"/>
                <w:color w:val="000000"/>
                <w:sz w:val="20"/>
                <w:szCs w:val="20"/>
              </w:rPr>
              <w:t>滇池明珠广场</w:t>
            </w:r>
          </w:p>
        </w:tc>
        <w:tc>
          <w:tcPr>
            <w:tcW w:w="938"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宋体"/>
                <w:color w:val="000000"/>
                <w:sz w:val="20"/>
                <w:szCs w:val="20"/>
              </w:rPr>
              <w:t>乌龙街道</w:t>
            </w:r>
          </w:p>
        </w:tc>
        <w:tc>
          <w:tcPr>
            <w:tcW w:w="924"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宋体"/>
                <w:color w:val="000000"/>
                <w:sz w:val="20"/>
                <w:szCs w:val="20"/>
              </w:rPr>
              <w:t>房地产</w:t>
            </w:r>
          </w:p>
        </w:tc>
        <w:tc>
          <w:tcPr>
            <w:tcW w:w="812"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宋体"/>
                <w:color w:val="000000"/>
                <w:sz w:val="20"/>
                <w:szCs w:val="20"/>
              </w:rPr>
              <w:t>续建</w:t>
            </w:r>
          </w:p>
        </w:tc>
        <w:tc>
          <w:tcPr>
            <w:tcW w:w="1049"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Times New Roman"/>
                <w:color w:val="000000"/>
                <w:sz w:val="20"/>
                <w:szCs w:val="20"/>
              </w:rPr>
              <w:t>2011</w:t>
            </w:r>
            <w:r>
              <w:rPr>
                <w:rFonts w:ascii="宋体"/>
                <w:color w:val="000000"/>
                <w:sz w:val="20"/>
                <w:szCs w:val="20"/>
              </w:rPr>
              <w:t>-</w:t>
            </w:r>
            <w:r>
              <w:rPr>
                <w:rFonts w:ascii="Times New Roman"/>
                <w:color w:val="000000"/>
                <w:sz w:val="20"/>
                <w:szCs w:val="20"/>
              </w:rPr>
              <w:t>2027</w:t>
            </w:r>
          </w:p>
        </w:tc>
        <w:tc>
          <w:tcPr>
            <w:tcW w:w="3206" w:type="dxa"/>
            <w:tcBorders>
              <w:top w:val="nil"/>
              <w:left w:val="nil"/>
              <w:bottom w:val="single" w:color="auto" w:sz="4" w:space="0"/>
              <w:right w:val="single" w:color="auto" w:sz="4" w:space="0"/>
            </w:tcBorders>
            <w:shd w:val="clear" w:color="000000" w:fill="FFFFFF"/>
            <w:vAlign w:val="center"/>
          </w:tcPr>
          <w:p>
            <w:pPr>
              <w:spacing w:line="0" w:lineRule="atLeast"/>
              <w:rPr>
                <w:rFonts w:ascii="宋体"/>
                <w:color w:val="000000"/>
                <w:sz w:val="20"/>
                <w:szCs w:val="20"/>
              </w:rPr>
            </w:pPr>
            <w:r>
              <w:rPr>
                <w:rFonts w:ascii="宋体"/>
                <w:color w:val="000000"/>
                <w:sz w:val="20"/>
                <w:szCs w:val="20"/>
              </w:rPr>
              <w:t>商住及商业。占地</w:t>
            </w:r>
            <w:r>
              <w:rPr>
                <w:rFonts w:ascii="Times New Roman"/>
                <w:color w:val="000000"/>
                <w:sz w:val="20"/>
                <w:szCs w:val="20"/>
              </w:rPr>
              <w:t>217</w:t>
            </w:r>
            <w:r>
              <w:rPr>
                <w:rFonts w:ascii="宋体"/>
                <w:color w:val="000000"/>
                <w:sz w:val="20"/>
                <w:szCs w:val="20"/>
              </w:rPr>
              <w:t>亩，规划总建筑面积</w:t>
            </w:r>
            <w:r>
              <w:rPr>
                <w:rFonts w:ascii="Times New Roman"/>
                <w:color w:val="000000"/>
                <w:sz w:val="20"/>
                <w:szCs w:val="20"/>
              </w:rPr>
              <w:t>112</w:t>
            </w:r>
            <w:r>
              <w:rPr>
                <w:rFonts w:ascii="宋体"/>
                <w:color w:val="000000"/>
                <w:sz w:val="20"/>
                <w:szCs w:val="20"/>
              </w:rPr>
              <w:t>.</w:t>
            </w:r>
            <w:r>
              <w:rPr>
                <w:rFonts w:ascii="Times New Roman"/>
                <w:color w:val="000000"/>
                <w:sz w:val="20"/>
                <w:szCs w:val="20"/>
              </w:rPr>
              <w:t>8</w:t>
            </w:r>
            <w:r>
              <w:rPr>
                <w:rFonts w:ascii="宋体"/>
                <w:color w:val="000000"/>
                <w:sz w:val="20"/>
                <w:szCs w:val="20"/>
              </w:rPr>
              <w:t>万平方米。</w:t>
            </w:r>
          </w:p>
        </w:tc>
        <w:tc>
          <w:tcPr>
            <w:tcW w:w="840"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Times New Roman"/>
                <w:color w:val="000000"/>
                <w:sz w:val="20"/>
                <w:szCs w:val="20"/>
              </w:rPr>
              <w:t>850000</w:t>
            </w:r>
          </w:p>
        </w:tc>
        <w:tc>
          <w:tcPr>
            <w:tcW w:w="756" w:type="dxa"/>
            <w:gridSpan w:val="2"/>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Times New Roman"/>
                <w:color w:val="000000"/>
                <w:sz w:val="20"/>
                <w:szCs w:val="20"/>
              </w:rPr>
              <w:t>320112</w:t>
            </w:r>
          </w:p>
        </w:tc>
        <w:tc>
          <w:tcPr>
            <w:tcW w:w="796"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Times New Roman"/>
                <w:color w:val="000000"/>
                <w:sz w:val="20"/>
                <w:szCs w:val="20"/>
              </w:rPr>
              <w:t>529888</w:t>
            </w:r>
          </w:p>
        </w:tc>
        <w:tc>
          <w:tcPr>
            <w:tcW w:w="813"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Times New Roman"/>
                <w:color w:val="000000"/>
                <w:sz w:val="20"/>
                <w:szCs w:val="20"/>
              </w:rPr>
              <w:t>176629</w:t>
            </w:r>
          </w:p>
        </w:tc>
        <w:tc>
          <w:tcPr>
            <w:tcW w:w="854"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Times New Roman"/>
                <w:color w:val="000000"/>
                <w:sz w:val="20"/>
                <w:szCs w:val="20"/>
              </w:rPr>
              <w:t>176629</w:t>
            </w:r>
          </w:p>
        </w:tc>
        <w:tc>
          <w:tcPr>
            <w:tcW w:w="756"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Times New Roman"/>
                <w:color w:val="000000"/>
                <w:sz w:val="20"/>
                <w:szCs w:val="20"/>
              </w:rPr>
              <w:t>176630</w:t>
            </w:r>
          </w:p>
        </w:tc>
        <w:tc>
          <w:tcPr>
            <w:tcW w:w="252"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p>
        </w:tc>
      </w:tr>
      <w:tr>
        <w:tblPrEx>
          <w:tblCellMar>
            <w:top w:w="0" w:type="dxa"/>
            <w:left w:w="57" w:type="dxa"/>
            <w:bottom w:w="0" w:type="dxa"/>
            <w:right w:w="57" w:type="dxa"/>
          </w:tblCellMar>
        </w:tblPrEx>
        <w:trPr>
          <w:trHeight w:val="681" w:hRule="atLeast"/>
        </w:trPr>
        <w:tc>
          <w:tcPr>
            <w:tcW w:w="683" w:type="dxa"/>
            <w:tcBorders>
              <w:top w:val="nil"/>
              <w:left w:val="single" w:color="auto" w:sz="4" w:space="0"/>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Times New Roman"/>
                <w:color w:val="000000"/>
                <w:sz w:val="20"/>
                <w:szCs w:val="20"/>
              </w:rPr>
              <w:t>10</w:t>
            </w:r>
          </w:p>
        </w:tc>
        <w:tc>
          <w:tcPr>
            <w:tcW w:w="1537" w:type="dxa"/>
            <w:tcBorders>
              <w:top w:val="nil"/>
              <w:left w:val="nil"/>
              <w:bottom w:val="single" w:color="auto" w:sz="4" w:space="0"/>
              <w:right w:val="single" w:color="auto" w:sz="4" w:space="0"/>
            </w:tcBorders>
            <w:shd w:val="clear" w:color="000000" w:fill="FFFFFF"/>
            <w:vAlign w:val="center"/>
          </w:tcPr>
          <w:p>
            <w:pPr>
              <w:spacing w:line="0" w:lineRule="atLeast"/>
              <w:rPr>
                <w:rFonts w:ascii="宋体"/>
                <w:color w:val="000000"/>
                <w:sz w:val="20"/>
                <w:szCs w:val="20"/>
              </w:rPr>
            </w:pPr>
            <w:r>
              <w:rPr>
                <w:rFonts w:ascii="宋体"/>
                <w:color w:val="000000"/>
                <w:sz w:val="20"/>
                <w:szCs w:val="20"/>
              </w:rPr>
              <w:t>七彩云南第壹城</w:t>
            </w:r>
          </w:p>
        </w:tc>
        <w:tc>
          <w:tcPr>
            <w:tcW w:w="938"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宋体"/>
                <w:color w:val="000000"/>
                <w:sz w:val="20"/>
                <w:szCs w:val="20"/>
              </w:rPr>
              <w:t>乌龙街道</w:t>
            </w:r>
          </w:p>
        </w:tc>
        <w:tc>
          <w:tcPr>
            <w:tcW w:w="924"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宋体"/>
                <w:color w:val="000000"/>
                <w:sz w:val="20"/>
                <w:szCs w:val="20"/>
              </w:rPr>
              <w:t>房地产</w:t>
            </w:r>
          </w:p>
        </w:tc>
        <w:tc>
          <w:tcPr>
            <w:tcW w:w="812"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宋体"/>
                <w:color w:val="000000"/>
                <w:sz w:val="20"/>
                <w:szCs w:val="20"/>
              </w:rPr>
              <w:t>续建</w:t>
            </w:r>
          </w:p>
        </w:tc>
        <w:tc>
          <w:tcPr>
            <w:tcW w:w="1049"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Times New Roman"/>
                <w:color w:val="000000"/>
                <w:sz w:val="20"/>
                <w:szCs w:val="20"/>
              </w:rPr>
              <w:t>2011</w:t>
            </w:r>
            <w:r>
              <w:rPr>
                <w:rFonts w:ascii="宋体"/>
                <w:color w:val="000000"/>
                <w:sz w:val="20"/>
                <w:szCs w:val="20"/>
              </w:rPr>
              <w:t>-</w:t>
            </w:r>
            <w:r>
              <w:rPr>
                <w:rFonts w:ascii="Times New Roman"/>
                <w:color w:val="000000"/>
                <w:sz w:val="20"/>
                <w:szCs w:val="20"/>
              </w:rPr>
              <w:t>2020</w:t>
            </w:r>
          </w:p>
        </w:tc>
        <w:tc>
          <w:tcPr>
            <w:tcW w:w="3206" w:type="dxa"/>
            <w:tcBorders>
              <w:top w:val="nil"/>
              <w:left w:val="nil"/>
              <w:bottom w:val="single" w:color="auto" w:sz="4" w:space="0"/>
              <w:right w:val="single" w:color="auto" w:sz="4" w:space="0"/>
            </w:tcBorders>
            <w:shd w:val="clear" w:color="000000" w:fill="FFFFFF"/>
            <w:vAlign w:val="center"/>
          </w:tcPr>
          <w:p>
            <w:pPr>
              <w:spacing w:line="0" w:lineRule="atLeast"/>
              <w:rPr>
                <w:rFonts w:ascii="宋体"/>
                <w:color w:val="000000"/>
                <w:sz w:val="20"/>
                <w:szCs w:val="20"/>
              </w:rPr>
            </w:pPr>
            <w:r>
              <w:rPr>
                <w:rFonts w:ascii="宋体"/>
                <w:color w:val="000000"/>
                <w:sz w:val="20"/>
                <w:szCs w:val="20"/>
              </w:rPr>
              <w:t>商业、住宅等，占地</w:t>
            </w:r>
            <w:r>
              <w:rPr>
                <w:rFonts w:ascii="Times New Roman"/>
                <w:color w:val="000000"/>
                <w:sz w:val="20"/>
                <w:szCs w:val="20"/>
              </w:rPr>
              <w:t>509</w:t>
            </w:r>
            <w:r>
              <w:rPr>
                <w:rFonts w:ascii="宋体"/>
                <w:color w:val="000000"/>
                <w:sz w:val="20"/>
                <w:szCs w:val="20"/>
              </w:rPr>
              <w:t>亩，总建面积</w:t>
            </w:r>
            <w:r>
              <w:rPr>
                <w:rFonts w:ascii="Times New Roman"/>
                <w:color w:val="000000"/>
                <w:sz w:val="20"/>
                <w:szCs w:val="20"/>
              </w:rPr>
              <w:t>1787772</w:t>
            </w:r>
            <w:r>
              <w:rPr>
                <w:rFonts w:ascii="宋体"/>
                <w:color w:val="000000"/>
                <w:sz w:val="20"/>
                <w:szCs w:val="20"/>
              </w:rPr>
              <w:t>.</w:t>
            </w:r>
            <w:r>
              <w:rPr>
                <w:rFonts w:ascii="Times New Roman"/>
                <w:color w:val="000000"/>
                <w:sz w:val="20"/>
                <w:szCs w:val="20"/>
              </w:rPr>
              <w:t>9</w:t>
            </w:r>
            <w:r>
              <w:rPr>
                <w:rFonts w:ascii="宋体"/>
                <w:color w:val="000000"/>
                <w:sz w:val="20"/>
                <w:szCs w:val="20"/>
              </w:rPr>
              <w:t>㎡</w:t>
            </w:r>
          </w:p>
        </w:tc>
        <w:tc>
          <w:tcPr>
            <w:tcW w:w="840"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Times New Roman"/>
                <w:color w:val="000000"/>
                <w:sz w:val="20"/>
                <w:szCs w:val="20"/>
              </w:rPr>
              <w:t>1000000</w:t>
            </w:r>
          </w:p>
        </w:tc>
        <w:tc>
          <w:tcPr>
            <w:tcW w:w="756" w:type="dxa"/>
            <w:gridSpan w:val="2"/>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Times New Roman"/>
                <w:color w:val="000000"/>
                <w:sz w:val="20"/>
                <w:szCs w:val="20"/>
              </w:rPr>
              <w:t>830264</w:t>
            </w:r>
          </w:p>
        </w:tc>
        <w:tc>
          <w:tcPr>
            <w:tcW w:w="796"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Times New Roman"/>
                <w:color w:val="000000"/>
                <w:sz w:val="20"/>
                <w:szCs w:val="20"/>
              </w:rPr>
              <w:t>169736</w:t>
            </w:r>
          </w:p>
        </w:tc>
        <w:tc>
          <w:tcPr>
            <w:tcW w:w="813"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Times New Roman"/>
                <w:color w:val="000000"/>
                <w:sz w:val="20"/>
                <w:szCs w:val="20"/>
              </w:rPr>
              <w:t>169736</w:t>
            </w:r>
          </w:p>
        </w:tc>
        <w:tc>
          <w:tcPr>
            <w:tcW w:w="854"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Times New Roman"/>
                <w:color w:val="000000"/>
                <w:sz w:val="20"/>
                <w:szCs w:val="20"/>
              </w:rPr>
              <w:t>0</w:t>
            </w:r>
          </w:p>
        </w:tc>
        <w:tc>
          <w:tcPr>
            <w:tcW w:w="756"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Times New Roman"/>
                <w:color w:val="000000"/>
                <w:sz w:val="20"/>
                <w:szCs w:val="20"/>
              </w:rPr>
              <w:t>0</w:t>
            </w:r>
          </w:p>
        </w:tc>
        <w:tc>
          <w:tcPr>
            <w:tcW w:w="252"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p>
        </w:tc>
      </w:tr>
      <w:tr>
        <w:tblPrEx>
          <w:tblCellMar>
            <w:top w:w="0" w:type="dxa"/>
            <w:left w:w="57" w:type="dxa"/>
            <w:bottom w:w="0" w:type="dxa"/>
            <w:right w:w="57" w:type="dxa"/>
          </w:tblCellMar>
        </w:tblPrEx>
        <w:trPr>
          <w:trHeight w:val="340" w:hRule="atLeast"/>
        </w:trPr>
        <w:tc>
          <w:tcPr>
            <w:tcW w:w="683" w:type="dxa"/>
            <w:tcBorders>
              <w:top w:val="nil"/>
              <w:left w:val="single" w:color="auto" w:sz="4" w:space="0"/>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Times New Roman"/>
                <w:color w:val="000000"/>
                <w:sz w:val="20"/>
                <w:szCs w:val="20"/>
              </w:rPr>
              <w:t>11</w:t>
            </w:r>
          </w:p>
        </w:tc>
        <w:tc>
          <w:tcPr>
            <w:tcW w:w="1537" w:type="dxa"/>
            <w:tcBorders>
              <w:top w:val="nil"/>
              <w:left w:val="nil"/>
              <w:bottom w:val="single" w:color="auto" w:sz="4" w:space="0"/>
              <w:right w:val="single" w:color="auto" w:sz="4" w:space="0"/>
            </w:tcBorders>
            <w:shd w:val="clear" w:color="000000" w:fill="FFFFFF"/>
            <w:vAlign w:val="center"/>
          </w:tcPr>
          <w:p>
            <w:pPr>
              <w:spacing w:line="0" w:lineRule="atLeast"/>
              <w:rPr>
                <w:rFonts w:ascii="宋体"/>
                <w:color w:val="000000"/>
                <w:sz w:val="20"/>
                <w:szCs w:val="20"/>
              </w:rPr>
            </w:pPr>
            <w:r>
              <w:rPr>
                <w:rFonts w:ascii="宋体"/>
                <w:color w:val="000000"/>
                <w:sz w:val="20"/>
                <w:szCs w:val="20"/>
              </w:rPr>
              <w:t>昆明中交城</w:t>
            </w:r>
          </w:p>
        </w:tc>
        <w:tc>
          <w:tcPr>
            <w:tcW w:w="938"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宋体"/>
                <w:color w:val="000000"/>
                <w:sz w:val="20"/>
                <w:szCs w:val="20"/>
              </w:rPr>
              <w:t>洛龙街道</w:t>
            </w:r>
          </w:p>
        </w:tc>
        <w:tc>
          <w:tcPr>
            <w:tcW w:w="924"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宋体"/>
                <w:color w:val="000000"/>
                <w:sz w:val="20"/>
                <w:szCs w:val="20"/>
              </w:rPr>
              <w:t>房地产</w:t>
            </w:r>
          </w:p>
        </w:tc>
        <w:tc>
          <w:tcPr>
            <w:tcW w:w="812"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宋体"/>
                <w:color w:val="000000"/>
                <w:sz w:val="20"/>
                <w:szCs w:val="20"/>
              </w:rPr>
              <w:t>续建</w:t>
            </w:r>
          </w:p>
        </w:tc>
        <w:tc>
          <w:tcPr>
            <w:tcW w:w="1049"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Times New Roman"/>
                <w:color w:val="000000"/>
                <w:sz w:val="20"/>
                <w:szCs w:val="20"/>
              </w:rPr>
              <w:t>2017</w:t>
            </w:r>
            <w:r>
              <w:rPr>
                <w:rFonts w:ascii="宋体"/>
                <w:color w:val="000000"/>
                <w:sz w:val="20"/>
                <w:szCs w:val="20"/>
              </w:rPr>
              <w:t>-</w:t>
            </w:r>
            <w:r>
              <w:rPr>
                <w:rFonts w:ascii="Times New Roman"/>
                <w:color w:val="000000"/>
                <w:sz w:val="20"/>
                <w:szCs w:val="20"/>
              </w:rPr>
              <w:t>2021</w:t>
            </w:r>
          </w:p>
        </w:tc>
        <w:tc>
          <w:tcPr>
            <w:tcW w:w="3206" w:type="dxa"/>
            <w:tcBorders>
              <w:top w:val="nil"/>
              <w:left w:val="nil"/>
              <w:bottom w:val="single" w:color="auto" w:sz="4" w:space="0"/>
              <w:right w:val="single" w:color="auto" w:sz="4" w:space="0"/>
            </w:tcBorders>
            <w:shd w:val="clear" w:color="000000" w:fill="FFFFFF"/>
            <w:vAlign w:val="center"/>
          </w:tcPr>
          <w:p>
            <w:pPr>
              <w:spacing w:line="0" w:lineRule="atLeast"/>
              <w:rPr>
                <w:rFonts w:ascii="宋体"/>
                <w:color w:val="000000"/>
                <w:sz w:val="20"/>
                <w:szCs w:val="20"/>
              </w:rPr>
            </w:pPr>
            <w:r>
              <w:rPr>
                <w:rFonts w:ascii="宋体"/>
                <w:color w:val="000000"/>
                <w:sz w:val="20"/>
                <w:szCs w:val="20"/>
              </w:rPr>
              <w:t>项目用地为</w:t>
            </w:r>
            <w:r>
              <w:rPr>
                <w:rFonts w:ascii="Times New Roman"/>
                <w:color w:val="000000"/>
                <w:sz w:val="20"/>
                <w:szCs w:val="20"/>
              </w:rPr>
              <w:t>168</w:t>
            </w:r>
            <w:r>
              <w:rPr>
                <w:rFonts w:ascii="宋体"/>
                <w:color w:val="000000"/>
                <w:sz w:val="20"/>
                <w:szCs w:val="20"/>
              </w:rPr>
              <w:t>.</w:t>
            </w:r>
            <w:r>
              <w:rPr>
                <w:rFonts w:ascii="Times New Roman"/>
                <w:color w:val="000000"/>
                <w:sz w:val="20"/>
                <w:szCs w:val="20"/>
              </w:rPr>
              <w:t>4125</w:t>
            </w:r>
            <w:r>
              <w:rPr>
                <w:rFonts w:ascii="宋体"/>
                <w:color w:val="000000"/>
                <w:sz w:val="20"/>
                <w:szCs w:val="20"/>
              </w:rPr>
              <w:t>亩，其中涉及洛龙街道王家营社区</w:t>
            </w:r>
            <w:r>
              <w:rPr>
                <w:rFonts w:ascii="Times New Roman"/>
                <w:color w:val="000000"/>
                <w:sz w:val="20"/>
                <w:szCs w:val="20"/>
              </w:rPr>
              <w:t>125</w:t>
            </w:r>
            <w:r>
              <w:rPr>
                <w:rFonts w:ascii="宋体"/>
                <w:color w:val="000000"/>
                <w:sz w:val="20"/>
                <w:szCs w:val="20"/>
              </w:rPr>
              <w:t>.</w:t>
            </w:r>
            <w:r>
              <w:rPr>
                <w:rFonts w:ascii="Times New Roman"/>
                <w:color w:val="000000"/>
                <w:sz w:val="20"/>
                <w:szCs w:val="20"/>
              </w:rPr>
              <w:t>559</w:t>
            </w:r>
            <w:r>
              <w:rPr>
                <w:rFonts w:ascii="宋体"/>
                <w:color w:val="000000"/>
                <w:sz w:val="20"/>
                <w:szCs w:val="20"/>
              </w:rPr>
              <w:t>亩，吴家营社区</w:t>
            </w:r>
            <w:r>
              <w:rPr>
                <w:rFonts w:ascii="Times New Roman"/>
                <w:color w:val="000000"/>
                <w:sz w:val="20"/>
                <w:szCs w:val="20"/>
              </w:rPr>
              <w:t>33</w:t>
            </w:r>
            <w:r>
              <w:rPr>
                <w:rFonts w:ascii="宋体"/>
                <w:color w:val="000000"/>
                <w:sz w:val="20"/>
                <w:szCs w:val="20"/>
              </w:rPr>
              <w:t>.</w:t>
            </w:r>
            <w:r>
              <w:rPr>
                <w:rFonts w:ascii="Times New Roman"/>
                <w:color w:val="000000"/>
                <w:sz w:val="20"/>
                <w:szCs w:val="20"/>
              </w:rPr>
              <w:t>8865</w:t>
            </w:r>
            <w:r>
              <w:rPr>
                <w:rFonts w:ascii="宋体"/>
                <w:color w:val="000000"/>
                <w:sz w:val="20"/>
                <w:szCs w:val="20"/>
              </w:rPr>
              <w:t>亩，洛龙社区</w:t>
            </w:r>
            <w:r>
              <w:rPr>
                <w:rFonts w:ascii="Times New Roman"/>
                <w:color w:val="000000"/>
                <w:sz w:val="20"/>
                <w:szCs w:val="20"/>
              </w:rPr>
              <w:t>11</w:t>
            </w:r>
            <w:r>
              <w:rPr>
                <w:rFonts w:ascii="宋体"/>
                <w:color w:val="000000"/>
                <w:sz w:val="20"/>
                <w:szCs w:val="20"/>
              </w:rPr>
              <w:t>.</w:t>
            </w:r>
            <w:r>
              <w:rPr>
                <w:rFonts w:ascii="Times New Roman"/>
                <w:color w:val="000000"/>
                <w:sz w:val="20"/>
                <w:szCs w:val="20"/>
              </w:rPr>
              <w:t>967</w:t>
            </w:r>
            <w:r>
              <w:rPr>
                <w:rFonts w:ascii="宋体"/>
                <w:color w:val="000000"/>
                <w:sz w:val="20"/>
                <w:szCs w:val="20"/>
              </w:rPr>
              <w:t>亩。计划建设办公、培训中心及运营维护中心项目。</w:t>
            </w:r>
          </w:p>
        </w:tc>
        <w:tc>
          <w:tcPr>
            <w:tcW w:w="840"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Times New Roman"/>
                <w:color w:val="000000"/>
                <w:sz w:val="20"/>
                <w:szCs w:val="20"/>
              </w:rPr>
              <w:t>285000</w:t>
            </w:r>
          </w:p>
        </w:tc>
        <w:tc>
          <w:tcPr>
            <w:tcW w:w="756" w:type="dxa"/>
            <w:gridSpan w:val="2"/>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Times New Roman"/>
                <w:color w:val="000000"/>
                <w:sz w:val="20"/>
                <w:szCs w:val="20"/>
              </w:rPr>
              <w:t>225573</w:t>
            </w:r>
          </w:p>
        </w:tc>
        <w:tc>
          <w:tcPr>
            <w:tcW w:w="796"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Times New Roman"/>
                <w:color w:val="000000"/>
                <w:sz w:val="20"/>
                <w:szCs w:val="20"/>
              </w:rPr>
              <w:t>59427</w:t>
            </w:r>
          </w:p>
        </w:tc>
        <w:tc>
          <w:tcPr>
            <w:tcW w:w="813"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Times New Roman"/>
                <w:color w:val="000000"/>
                <w:sz w:val="20"/>
                <w:szCs w:val="20"/>
              </w:rPr>
              <w:t>50000</w:t>
            </w:r>
          </w:p>
        </w:tc>
        <w:tc>
          <w:tcPr>
            <w:tcW w:w="854"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Times New Roman"/>
                <w:color w:val="000000"/>
                <w:sz w:val="20"/>
                <w:szCs w:val="20"/>
              </w:rPr>
              <w:t>9427</w:t>
            </w:r>
          </w:p>
        </w:tc>
        <w:tc>
          <w:tcPr>
            <w:tcW w:w="756"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Times New Roman"/>
                <w:color w:val="000000"/>
                <w:sz w:val="20"/>
                <w:szCs w:val="20"/>
              </w:rPr>
              <w:t>0</w:t>
            </w:r>
          </w:p>
        </w:tc>
        <w:tc>
          <w:tcPr>
            <w:tcW w:w="252"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p>
        </w:tc>
      </w:tr>
      <w:tr>
        <w:tblPrEx>
          <w:tblCellMar>
            <w:top w:w="0" w:type="dxa"/>
            <w:left w:w="57" w:type="dxa"/>
            <w:bottom w:w="0" w:type="dxa"/>
            <w:right w:w="57" w:type="dxa"/>
          </w:tblCellMar>
        </w:tblPrEx>
        <w:trPr>
          <w:trHeight w:val="340" w:hRule="atLeast"/>
        </w:trPr>
        <w:tc>
          <w:tcPr>
            <w:tcW w:w="683" w:type="dxa"/>
            <w:tcBorders>
              <w:top w:val="nil"/>
              <w:left w:val="single" w:color="auto" w:sz="4" w:space="0"/>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Times New Roman"/>
                <w:color w:val="000000"/>
                <w:sz w:val="20"/>
                <w:szCs w:val="20"/>
              </w:rPr>
              <w:t>12</w:t>
            </w:r>
          </w:p>
        </w:tc>
        <w:tc>
          <w:tcPr>
            <w:tcW w:w="1537" w:type="dxa"/>
            <w:tcBorders>
              <w:top w:val="nil"/>
              <w:left w:val="nil"/>
              <w:bottom w:val="single" w:color="auto" w:sz="4" w:space="0"/>
              <w:right w:val="single" w:color="auto" w:sz="4" w:space="0"/>
            </w:tcBorders>
            <w:shd w:val="clear" w:color="000000" w:fill="FFFFFF"/>
            <w:vAlign w:val="center"/>
          </w:tcPr>
          <w:p>
            <w:pPr>
              <w:spacing w:line="0" w:lineRule="atLeast"/>
              <w:rPr>
                <w:rFonts w:ascii="宋体"/>
                <w:color w:val="000000"/>
                <w:sz w:val="20"/>
                <w:szCs w:val="20"/>
              </w:rPr>
            </w:pPr>
            <w:r>
              <w:rPr>
                <w:rFonts w:ascii="宋体"/>
                <w:color w:val="000000"/>
                <w:sz w:val="20"/>
                <w:szCs w:val="20"/>
              </w:rPr>
              <w:t>亚广文化旅游城（一期）</w:t>
            </w:r>
          </w:p>
        </w:tc>
        <w:tc>
          <w:tcPr>
            <w:tcW w:w="938"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宋体"/>
                <w:color w:val="000000"/>
                <w:sz w:val="20"/>
                <w:szCs w:val="20"/>
              </w:rPr>
              <w:t>洛龙街道</w:t>
            </w:r>
          </w:p>
        </w:tc>
        <w:tc>
          <w:tcPr>
            <w:tcW w:w="924"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宋体"/>
                <w:color w:val="000000"/>
                <w:sz w:val="20"/>
                <w:szCs w:val="20"/>
              </w:rPr>
              <w:t>房地产</w:t>
            </w:r>
          </w:p>
        </w:tc>
        <w:tc>
          <w:tcPr>
            <w:tcW w:w="812"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宋体"/>
                <w:color w:val="000000"/>
                <w:sz w:val="20"/>
                <w:szCs w:val="20"/>
              </w:rPr>
              <w:t>续建</w:t>
            </w:r>
          </w:p>
        </w:tc>
        <w:tc>
          <w:tcPr>
            <w:tcW w:w="1049"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Times New Roman"/>
                <w:color w:val="000000"/>
                <w:sz w:val="20"/>
                <w:szCs w:val="20"/>
              </w:rPr>
              <w:t>2017</w:t>
            </w:r>
            <w:r>
              <w:rPr>
                <w:rFonts w:ascii="宋体"/>
                <w:color w:val="000000"/>
                <w:sz w:val="20"/>
                <w:szCs w:val="20"/>
              </w:rPr>
              <w:t>-</w:t>
            </w:r>
            <w:r>
              <w:rPr>
                <w:rFonts w:ascii="Times New Roman"/>
                <w:color w:val="000000"/>
                <w:sz w:val="20"/>
                <w:szCs w:val="20"/>
              </w:rPr>
              <w:t>2020</w:t>
            </w:r>
          </w:p>
        </w:tc>
        <w:tc>
          <w:tcPr>
            <w:tcW w:w="3206" w:type="dxa"/>
            <w:tcBorders>
              <w:top w:val="nil"/>
              <w:left w:val="nil"/>
              <w:bottom w:val="single" w:color="auto" w:sz="4" w:space="0"/>
              <w:right w:val="single" w:color="auto" w:sz="4" w:space="0"/>
            </w:tcBorders>
            <w:shd w:val="clear" w:color="000000" w:fill="FFFFFF"/>
            <w:vAlign w:val="center"/>
          </w:tcPr>
          <w:p>
            <w:pPr>
              <w:spacing w:line="0" w:lineRule="atLeast"/>
              <w:rPr>
                <w:rFonts w:ascii="宋体"/>
                <w:color w:val="000000"/>
                <w:sz w:val="20"/>
                <w:szCs w:val="20"/>
              </w:rPr>
            </w:pPr>
            <w:r>
              <w:rPr>
                <w:rFonts w:ascii="宋体"/>
                <w:color w:val="000000"/>
                <w:sz w:val="20"/>
                <w:szCs w:val="20"/>
              </w:rPr>
              <w:t>商业、商务办公、公寓及配套设施等，总建筑面积</w:t>
            </w:r>
            <w:r>
              <w:rPr>
                <w:rFonts w:ascii="Times New Roman"/>
                <w:color w:val="000000"/>
                <w:sz w:val="20"/>
                <w:szCs w:val="20"/>
              </w:rPr>
              <w:t>29</w:t>
            </w:r>
            <w:r>
              <w:rPr>
                <w:rFonts w:ascii="宋体"/>
                <w:color w:val="000000"/>
                <w:sz w:val="20"/>
                <w:szCs w:val="20"/>
              </w:rPr>
              <w:t>万平方米。</w:t>
            </w:r>
          </w:p>
        </w:tc>
        <w:tc>
          <w:tcPr>
            <w:tcW w:w="840"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Times New Roman"/>
                <w:color w:val="000000"/>
                <w:sz w:val="20"/>
                <w:szCs w:val="20"/>
              </w:rPr>
              <w:t>158436</w:t>
            </w:r>
          </w:p>
        </w:tc>
        <w:tc>
          <w:tcPr>
            <w:tcW w:w="756" w:type="dxa"/>
            <w:gridSpan w:val="2"/>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Times New Roman"/>
                <w:color w:val="000000"/>
                <w:sz w:val="20"/>
                <w:szCs w:val="20"/>
              </w:rPr>
              <w:t>117838</w:t>
            </w:r>
          </w:p>
        </w:tc>
        <w:tc>
          <w:tcPr>
            <w:tcW w:w="796"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Times New Roman"/>
                <w:color w:val="000000"/>
                <w:sz w:val="20"/>
                <w:szCs w:val="20"/>
              </w:rPr>
              <w:t>40598</w:t>
            </w:r>
          </w:p>
        </w:tc>
        <w:tc>
          <w:tcPr>
            <w:tcW w:w="813"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Times New Roman"/>
                <w:color w:val="000000"/>
                <w:sz w:val="20"/>
                <w:szCs w:val="20"/>
              </w:rPr>
              <w:t>40598</w:t>
            </w:r>
          </w:p>
        </w:tc>
        <w:tc>
          <w:tcPr>
            <w:tcW w:w="854"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Times New Roman"/>
                <w:color w:val="000000"/>
                <w:sz w:val="20"/>
                <w:szCs w:val="20"/>
              </w:rPr>
              <w:t>0</w:t>
            </w:r>
          </w:p>
        </w:tc>
        <w:tc>
          <w:tcPr>
            <w:tcW w:w="756"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Times New Roman"/>
                <w:color w:val="000000"/>
                <w:sz w:val="20"/>
                <w:szCs w:val="20"/>
              </w:rPr>
              <w:t>0</w:t>
            </w:r>
          </w:p>
        </w:tc>
        <w:tc>
          <w:tcPr>
            <w:tcW w:w="252"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p>
        </w:tc>
      </w:tr>
      <w:tr>
        <w:tblPrEx>
          <w:tblCellMar>
            <w:top w:w="0" w:type="dxa"/>
            <w:left w:w="57" w:type="dxa"/>
            <w:bottom w:w="0" w:type="dxa"/>
            <w:right w:w="57" w:type="dxa"/>
          </w:tblCellMar>
        </w:tblPrEx>
        <w:trPr>
          <w:trHeight w:val="340" w:hRule="atLeast"/>
        </w:trPr>
        <w:tc>
          <w:tcPr>
            <w:tcW w:w="683" w:type="dxa"/>
            <w:tcBorders>
              <w:top w:val="nil"/>
              <w:left w:val="single" w:color="auto" w:sz="4" w:space="0"/>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Times New Roman"/>
                <w:color w:val="000000"/>
                <w:sz w:val="20"/>
                <w:szCs w:val="20"/>
              </w:rPr>
              <w:t>13</w:t>
            </w:r>
          </w:p>
        </w:tc>
        <w:tc>
          <w:tcPr>
            <w:tcW w:w="1537" w:type="dxa"/>
            <w:tcBorders>
              <w:top w:val="nil"/>
              <w:left w:val="nil"/>
              <w:bottom w:val="single" w:color="auto" w:sz="4" w:space="0"/>
              <w:right w:val="single" w:color="auto" w:sz="4" w:space="0"/>
            </w:tcBorders>
            <w:shd w:val="clear" w:color="000000" w:fill="FFFFFF"/>
            <w:vAlign w:val="center"/>
          </w:tcPr>
          <w:p>
            <w:pPr>
              <w:spacing w:line="0" w:lineRule="atLeast"/>
              <w:rPr>
                <w:rFonts w:ascii="宋体"/>
                <w:color w:val="000000"/>
                <w:sz w:val="20"/>
                <w:szCs w:val="20"/>
              </w:rPr>
            </w:pPr>
            <w:r>
              <w:rPr>
                <w:rFonts w:ascii="宋体"/>
                <w:color w:val="000000"/>
                <w:sz w:val="20"/>
                <w:szCs w:val="20"/>
              </w:rPr>
              <w:t>万博吾悦广场</w:t>
            </w:r>
          </w:p>
        </w:tc>
        <w:tc>
          <w:tcPr>
            <w:tcW w:w="938"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宋体"/>
                <w:color w:val="000000"/>
                <w:sz w:val="20"/>
                <w:szCs w:val="20"/>
              </w:rPr>
              <w:t>洛龙街道</w:t>
            </w:r>
          </w:p>
        </w:tc>
        <w:tc>
          <w:tcPr>
            <w:tcW w:w="924"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宋体"/>
                <w:color w:val="000000"/>
                <w:sz w:val="20"/>
                <w:szCs w:val="20"/>
              </w:rPr>
              <w:t>房地产</w:t>
            </w:r>
          </w:p>
        </w:tc>
        <w:tc>
          <w:tcPr>
            <w:tcW w:w="812"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宋体"/>
                <w:color w:val="000000"/>
                <w:sz w:val="20"/>
                <w:szCs w:val="20"/>
              </w:rPr>
              <w:t>续建</w:t>
            </w:r>
          </w:p>
        </w:tc>
        <w:tc>
          <w:tcPr>
            <w:tcW w:w="1049"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Times New Roman"/>
                <w:color w:val="000000"/>
                <w:sz w:val="20"/>
                <w:szCs w:val="20"/>
              </w:rPr>
              <w:t>2018</w:t>
            </w:r>
            <w:r>
              <w:rPr>
                <w:rFonts w:ascii="宋体"/>
                <w:color w:val="000000"/>
                <w:sz w:val="20"/>
                <w:szCs w:val="20"/>
              </w:rPr>
              <w:t>-</w:t>
            </w:r>
            <w:r>
              <w:rPr>
                <w:rFonts w:ascii="Times New Roman"/>
                <w:color w:val="000000"/>
                <w:sz w:val="20"/>
                <w:szCs w:val="20"/>
              </w:rPr>
              <w:t>2020</w:t>
            </w:r>
          </w:p>
        </w:tc>
        <w:tc>
          <w:tcPr>
            <w:tcW w:w="3206" w:type="dxa"/>
            <w:tcBorders>
              <w:top w:val="nil"/>
              <w:left w:val="nil"/>
              <w:bottom w:val="single" w:color="auto" w:sz="4" w:space="0"/>
              <w:right w:val="single" w:color="auto" w:sz="4" w:space="0"/>
            </w:tcBorders>
            <w:shd w:val="clear" w:color="000000" w:fill="FFFFFF"/>
            <w:vAlign w:val="center"/>
          </w:tcPr>
          <w:p>
            <w:pPr>
              <w:spacing w:line="0" w:lineRule="atLeast"/>
              <w:rPr>
                <w:rFonts w:ascii="宋体"/>
                <w:color w:val="000000"/>
                <w:sz w:val="20"/>
                <w:szCs w:val="20"/>
              </w:rPr>
            </w:pPr>
            <w:r>
              <w:rPr>
                <w:rFonts w:ascii="宋体"/>
                <w:color w:val="000000"/>
                <w:sz w:val="20"/>
                <w:szCs w:val="20"/>
              </w:rPr>
              <w:t>商业广场及商务金融、住宅，总建筑面积约</w:t>
            </w:r>
            <w:r>
              <w:rPr>
                <w:rFonts w:ascii="Times New Roman"/>
                <w:color w:val="000000"/>
                <w:sz w:val="20"/>
                <w:szCs w:val="20"/>
              </w:rPr>
              <w:t>462030</w:t>
            </w:r>
            <w:r>
              <w:rPr>
                <w:rFonts w:ascii="宋体"/>
                <w:color w:val="000000"/>
                <w:sz w:val="20"/>
                <w:szCs w:val="20"/>
              </w:rPr>
              <w:t>平方米。</w:t>
            </w:r>
          </w:p>
        </w:tc>
        <w:tc>
          <w:tcPr>
            <w:tcW w:w="840"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Times New Roman"/>
                <w:color w:val="000000"/>
                <w:sz w:val="20"/>
                <w:szCs w:val="20"/>
              </w:rPr>
              <w:t>285272</w:t>
            </w:r>
          </w:p>
        </w:tc>
        <w:tc>
          <w:tcPr>
            <w:tcW w:w="756" w:type="dxa"/>
            <w:gridSpan w:val="2"/>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Times New Roman"/>
                <w:color w:val="000000"/>
                <w:sz w:val="20"/>
                <w:szCs w:val="20"/>
              </w:rPr>
              <w:t>127246</w:t>
            </w:r>
          </w:p>
        </w:tc>
        <w:tc>
          <w:tcPr>
            <w:tcW w:w="796"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Times New Roman"/>
                <w:color w:val="000000"/>
                <w:sz w:val="20"/>
                <w:szCs w:val="20"/>
              </w:rPr>
              <w:t>158026</w:t>
            </w:r>
          </w:p>
        </w:tc>
        <w:tc>
          <w:tcPr>
            <w:tcW w:w="813"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Times New Roman"/>
                <w:color w:val="000000"/>
                <w:sz w:val="20"/>
                <w:szCs w:val="20"/>
              </w:rPr>
              <w:t>158026</w:t>
            </w:r>
          </w:p>
        </w:tc>
        <w:tc>
          <w:tcPr>
            <w:tcW w:w="854"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Times New Roman"/>
                <w:color w:val="000000"/>
                <w:sz w:val="20"/>
                <w:szCs w:val="20"/>
              </w:rPr>
              <w:t>0</w:t>
            </w:r>
          </w:p>
        </w:tc>
        <w:tc>
          <w:tcPr>
            <w:tcW w:w="756"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Times New Roman"/>
                <w:color w:val="000000"/>
                <w:sz w:val="20"/>
                <w:szCs w:val="20"/>
              </w:rPr>
              <w:t>0</w:t>
            </w:r>
          </w:p>
        </w:tc>
        <w:tc>
          <w:tcPr>
            <w:tcW w:w="252"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p>
        </w:tc>
      </w:tr>
      <w:tr>
        <w:tblPrEx>
          <w:tblCellMar>
            <w:top w:w="0" w:type="dxa"/>
            <w:left w:w="57" w:type="dxa"/>
            <w:bottom w:w="0" w:type="dxa"/>
            <w:right w:w="57" w:type="dxa"/>
          </w:tblCellMar>
        </w:tblPrEx>
        <w:trPr>
          <w:trHeight w:val="340" w:hRule="atLeast"/>
        </w:trPr>
        <w:tc>
          <w:tcPr>
            <w:tcW w:w="683" w:type="dxa"/>
            <w:tcBorders>
              <w:top w:val="nil"/>
              <w:left w:val="single" w:color="auto" w:sz="4" w:space="0"/>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Times New Roman"/>
                <w:color w:val="000000"/>
                <w:sz w:val="20"/>
                <w:szCs w:val="20"/>
              </w:rPr>
              <w:t>14</w:t>
            </w:r>
          </w:p>
        </w:tc>
        <w:tc>
          <w:tcPr>
            <w:tcW w:w="1537" w:type="dxa"/>
            <w:tcBorders>
              <w:top w:val="nil"/>
              <w:left w:val="nil"/>
              <w:bottom w:val="single" w:color="auto" w:sz="4" w:space="0"/>
              <w:right w:val="single" w:color="auto" w:sz="4" w:space="0"/>
            </w:tcBorders>
            <w:shd w:val="clear" w:color="000000" w:fill="FFFFFF"/>
            <w:vAlign w:val="center"/>
          </w:tcPr>
          <w:p>
            <w:pPr>
              <w:spacing w:line="0" w:lineRule="atLeast"/>
              <w:rPr>
                <w:rFonts w:ascii="宋体"/>
                <w:color w:val="000000"/>
                <w:sz w:val="20"/>
                <w:szCs w:val="20"/>
              </w:rPr>
            </w:pPr>
            <w:r>
              <w:rPr>
                <w:rFonts w:ascii="宋体"/>
                <w:color w:val="000000"/>
                <w:sz w:val="20"/>
                <w:szCs w:val="20"/>
              </w:rPr>
              <w:t>吾悦名郡花园</w:t>
            </w:r>
          </w:p>
        </w:tc>
        <w:tc>
          <w:tcPr>
            <w:tcW w:w="938"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宋体"/>
                <w:color w:val="000000"/>
                <w:sz w:val="20"/>
                <w:szCs w:val="20"/>
              </w:rPr>
              <w:t>洛龙街道</w:t>
            </w:r>
          </w:p>
        </w:tc>
        <w:tc>
          <w:tcPr>
            <w:tcW w:w="924"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宋体"/>
                <w:color w:val="000000"/>
                <w:sz w:val="20"/>
                <w:szCs w:val="20"/>
              </w:rPr>
              <w:t>房地产</w:t>
            </w:r>
          </w:p>
        </w:tc>
        <w:tc>
          <w:tcPr>
            <w:tcW w:w="812"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宋体"/>
                <w:color w:val="000000"/>
                <w:sz w:val="20"/>
                <w:szCs w:val="20"/>
              </w:rPr>
              <w:t>续建</w:t>
            </w:r>
          </w:p>
        </w:tc>
        <w:tc>
          <w:tcPr>
            <w:tcW w:w="1049"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Times New Roman"/>
                <w:color w:val="000000"/>
                <w:sz w:val="20"/>
                <w:szCs w:val="20"/>
              </w:rPr>
              <w:t>2018</w:t>
            </w:r>
            <w:r>
              <w:rPr>
                <w:rFonts w:ascii="宋体"/>
                <w:color w:val="000000"/>
                <w:sz w:val="20"/>
                <w:szCs w:val="20"/>
              </w:rPr>
              <w:t>-</w:t>
            </w:r>
            <w:r>
              <w:rPr>
                <w:rFonts w:ascii="Times New Roman"/>
                <w:color w:val="000000"/>
                <w:sz w:val="20"/>
                <w:szCs w:val="20"/>
              </w:rPr>
              <w:t>2021</w:t>
            </w:r>
          </w:p>
        </w:tc>
        <w:tc>
          <w:tcPr>
            <w:tcW w:w="3206" w:type="dxa"/>
            <w:tcBorders>
              <w:top w:val="nil"/>
              <w:left w:val="nil"/>
              <w:bottom w:val="single" w:color="auto" w:sz="4" w:space="0"/>
              <w:right w:val="single" w:color="auto" w:sz="4" w:space="0"/>
            </w:tcBorders>
            <w:shd w:val="clear" w:color="000000" w:fill="FFFFFF"/>
            <w:vAlign w:val="center"/>
          </w:tcPr>
          <w:p>
            <w:pPr>
              <w:spacing w:line="0" w:lineRule="atLeast"/>
              <w:rPr>
                <w:rFonts w:ascii="宋体"/>
                <w:color w:val="000000"/>
                <w:sz w:val="20"/>
                <w:szCs w:val="20"/>
              </w:rPr>
            </w:pPr>
            <w:r>
              <w:rPr>
                <w:rFonts w:ascii="宋体"/>
                <w:color w:val="000000"/>
                <w:sz w:val="20"/>
                <w:szCs w:val="20"/>
              </w:rPr>
              <w:t>住宅、商业及配套设施，总建筑面积约</w:t>
            </w:r>
            <w:r>
              <w:rPr>
                <w:rFonts w:ascii="Times New Roman"/>
                <w:color w:val="000000"/>
                <w:sz w:val="20"/>
                <w:szCs w:val="20"/>
              </w:rPr>
              <w:t>400367</w:t>
            </w:r>
            <w:r>
              <w:rPr>
                <w:rFonts w:ascii="宋体"/>
                <w:color w:val="000000"/>
                <w:sz w:val="20"/>
                <w:szCs w:val="20"/>
              </w:rPr>
              <w:t>平方米。</w:t>
            </w:r>
          </w:p>
        </w:tc>
        <w:tc>
          <w:tcPr>
            <w:tcW w:w="840"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Times New Roman"/>
                <w:color w:val="000000"/>
                <w:sz w:val="20"/>
                <w:szCs w:val="20"/>
              </w:rPr>
              <w:t>159257</w:t>
            </w:r>
          </w:p>
        </w:tc>
        <w:tc>
          <w:tcPr>
            <w:tcW w:w="756" w:type="dxa"/>
            <w:gridSpan w:val="2"/>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Times New Roman"/>
                <w:color w:val="000000"/>
                <w:sz w:val="20"/>
                <w:szCs w:val="20"/>
              </w:rPr>
              <w:t>97384</w:t>
            </w:r>
          </w:p>
        </w:tc>
        <w:tc>
          <w:tcPr>
            <w:tcW w:w="796"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Times New Roman"/>
                <w:color w:val="000000"/>
                <w:sz w:val="20"/>
                <w:szCs w:val="20"/>
              </w:rPr>
              <w:t>61873</w:t>
            </w:r>
          </w:p>
        </w:tc>
        <w:tc>
          <w:tcPr>
            <w:tcW w:w="813"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Times New Roman"/>
                <w:color w:val="000000"/>
                <w:sz w:val="20"/>
                <w:szCs w:val="20"/>
              </w:rPr>
              <w:t>61873</w:t>
            </w:r>
          </w:p>
        </w:tc>
        <w:tc>
          <w:tcPr>
            <w:tcW w:w="854"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Times New Roman"/>
                <w:color w:val="000000"/>
                <w:sz w:val="20"/>
                <w:szCs w:val="20"/>
              </w:rPr>
              <w:t>0</w:t>
            </w:r>
          </w:p>
        </w:tc>
        <w:tc>
          <w:tcPr>
            <w:tcW w:w="756"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Times New Roman"/>
                <w:color w:val="000000"/>
                <w:sz w:val="20"/>
                <w:szCs w:val="20"/>
              </w:rPr>
              <w:t>0</w:t>
            </w:r>
          </w:p>
        </w:tc>
        <w:tc>
          <w:tcPr>
            <w:tcW w:w="252"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p>
        </w:tc>
      </w:tr>
      <w:tr>
        <w:tblPrEx>
          <w:tblCellMar>
            <w:top w:w="0" w:type="dxa"/>
            <w:left w:w="57" w:type="dxa"/>
            <w:bottom w:w="0" w:type="dxa"/>
            <w:right w:w="57" w:type="dxa"/>
          </w:tblCellMar>
        </w:tblPrEx>
        <w:trPr>
          <w:trHeight w:val="340" w:hRule="atLeast"/>
        </w:trPr>
        <w:tc>
          <w:tcPr>
            <w:tcW w:w="683" w:type="dxa"/>
            <w:tcBorders>
              <w:top w:val="nil"/>
              <w:left w:val="single" w:color="auto" w:sz="4" w:space="0"/>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Times New Roman"/>
                <w:color w:val="000000"/>
                <w:sz w:val="20"/>
                <w:szCs w:val="20"/>
              </w:rPr>
              <w:t>15</w:t>
            </w:r>
          </w:p>
        </w:tc>
        <w:tc>
          <w:tcPr>
            <w:tcW w:w="1537" w:type="dxa"/>
            <w:tcBorders>
              <w:top w:val="nil"/>
              <w:left w:val="nil"/>
              <w:bottom w:val="single" w:color="auto" w:sz="4" w:space="0"/>
              <w:right w:val="single" w:color="auto" w:sz="4" w:space="0"/>
            </w:tcBorders>
            <w:shd w:val="clear" w:color="000000" w:fill="FFFFFF"/>
            <w:vAlign w:val="center"/>
          </w:tcPr>
          <w:p>
            <w:pPr>
              <w:spacing w:line="0" w:lineRule="atLeast"/>
              <w:rPr>
                <w:rFonts w:ascii="宋体"/>
                <w:color w:val="000000"/>
                <w:sz w:val="20"/>
                <w:szCs w:val="20"/>
              </w:rPr>
            </w:pPr>
            <w:r>
              <w:rPr>
                <w:rFonts w:ascii="宋体"/>
                <w:color w:val="000000"/>
                <w:sz w:val="20"/>
                <w:szCs w:val="20"/>
              </w:rPr>
              <w:t>昆铁锦绣家园小区</w:t>
            </w:r>
          </w:p>
        </w:tc>
        <w:tc>
          <w:tcPr>
            <w:tcW w:w="938"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宋体"/>
                <w:color w:val="000000"/>
                <w:sz w:val="20"/>
                <w:szCs w:val="20"/>
              </w:rPr>
              <w:t>洛龙街道</w:t>
            </w:r>
          </w:p>
        </w:tc>
        <w:tc>
          <w:tcPr>
            <w:tcW w:w="924"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宋体"/>
                <w:color w:val="000000"/>
                <w:sz w:val="20"/>
                <w:szCs w:val="20"/>
              </w:rPr>
              <w:t>房地产</w:t>
            </w:r>
          </w:p>
        </w:tc>
        <w:tc>
          <w:tcPr>
            <w:tcW w:w="812"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宋体"/>
                <w:color w:val="000000"/>
                <w:sz w:val="20"/>
                <w:szCs w:val="20"/>
              </w:rPr>
              <w:t>续建</w:t>
            </w:r>
          </w:p>
        </w:tc>
        <w:tc>
          <w:tcPr>
            <w:tcW w:w="1049"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Times New Roman"/>
                <w:color w:val="000000"/>
                <w:sz w:val="20"/>
                <w:szCs w:val="20"/>
              </w:rPr>
              <w:t>2017</w:t>
            </w:r>
            <w:r>
              <w:rPr>
                <w:rFonts w:ascii="宋体"/>
                <w:color w:val="000000"/>
                <w:sz w:val="20"/>
                <w:szCs w:val="20"/>
              </w:rPr>
              <w:t>-</w:t>
            </w:r>
            <w:r>
              <w:rPr>
                <w:rFonts w:ascii="Times New Roman"/>
                <w:color w:val="000000"/>
                <w:sz w:val="20"/>
                <w:szCs w:val="20"/>
              </w:rPr>
              <w:t>2020</w:t>
            </w:r>
          </w:p>
        </w:tc>
        <w:tc>
          <w:tcPr>
            <w:tcW w:w="3206" w:type="dxa"/>
            <w:tcBorders>
              <w:top w:val="nil"/>
              <w:left w:val="nil"/>
              <w:bottom w:val="single" w:color="auto" w:sz="4" w:space="0"/>
              <w:right w:val="single" w:color="auto" w:sz="4" w:space="0"/>
            </w:tcBorders>
            <w:shd w:val="clear" w:color="000000" w:fill="FFFFFF"/>
            <w:vAlign w:val="center"/>
          </w:tcPr>
          <w:p>
            <w:pPr>
              <w:spacing w:line="0" w:lineRule="atLeast"/>
              <w:rPr>
                <w:color w:val="000000"/>
              </w:rPr>
            </w:pPr>
            <w:r>
              <w:rPr>
                <w:rFonts w:ascii="宋体"/>
                <w:color w:val="000000"/>
                <w:sz w:val="20"/>
                <w:szCs w:val="20"/>
              </w:rPr>
              <w:t>项目建设内容为商品住宅、商业、幼儿园、农贸市场、社区配套用房</w:t>
            </w:r>
          </w:p>
          <w:p>
            <w:pPr>
              <w:spacing w:line="0" w:lineRule="atLeast"/>
              <w:rPr>
                <w:rFonts w:ascii="宋体"/>
                <w:color w:val="000000"/>
                <w:sz w:val="20"/>
                <w:szCs w:val="20"/>
              </w:rPr>
            </w:pPr>
            <w:r>
              <w:rPr>
                <w:rFonts w:ascii="宋体"/>
                <w:color w:val="000000"/>
                <w:sz w:val="20"/>
                <w:szCs w:val="20"/>
              </w:rPr>
              <w:t>等，总建筑面积</w:t>
            </w:r>
            <w:r>
              <w:rPr>
                <w:rFonts w:ascii="Times New Roman"/>
                <w:color w:val="000000"/>
                <w:sz w:val="20"/>
                <w:szCs w:val="20"/>
              </w:rPr>
              <w:t>48</w:t>
            </w:r>
            <w:r>
              <w:rPr>
                <w:rFonts w:ascii="宋体"/>
                <w:color w:val="000000"/>
                <w:sz w:val="20"/>
                <w:szCs w:val="20"/>
              </w:rPr>
              <w:t>.</w:t>
            </w:r>
            <w:r>
              <w:rPr>
                <w:rFonts w:ascii="Times New Roman"/>
                <w:color w:val="000000"/>
                <w:sz w:val="20"/>
                <w:szCs w:val="20"/>
              </w:rPr>
              <w:t>7</w:t>
            </w:r>
            <w:r>
              <w:rPr>
                <w:rFonts w:ascii="宋体"/>
                <w:color w:val="000000"/>
                <w:sz w:val="20"/>
                <w:szCs w:val="20"/>
              </w:rPr>
              <w:t>万平米。</w:t>
            </w:r>
          </w:p>
        </w:tc>
        <w:tc>
          <w:tcPr>
            <w:tcW w:w="840"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Times New Roman"/>
                <w:color w:val="000000"/>
                <w:sz w:val="20"/>
                <w:szCs w:val="20"/>
              </w:rPr>
              <w:t>156480</w:t>
            </w:r>
          </w:p>
        </w:tc>
        <w:tc>
          <w:tcPr>
            <w:tcW w:w="756" w:type="dxa"/>
            <w:gridSpan w:val="2"/>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Times New Roman"/>
                <w:color w:val="000000"/>
                <w:sz w:val="20"/>
                <w:szCs w:val="20"/>
              </w:rPr>
              <w:t>96321</w:t>
            </w:r>
          </w:p>
        </w:tc>
        <w:tc>
          <w:tcPr>
            <w:tcW w:w="796"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Times New Roman"/>
                <w:color w:val="000000"/>
                <w:sz w:val="20"/>
                <w:szCs w:val="20"/>
              </w:rPr>
              <w:t>60159</w:t>
            </w:r>
          </w:p>
        </w:tc>
        <w:tc>
          <w:tcPr>
            <w:tcW w:w="813"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Times New Roman"/>
                <w:color w:val="000000"/>
                <w:sz w:val="20"/>
                <w:szCs w:val="20"/>
              </w:rPr>
              <w:t>60159</w:t>
            </w:r>
          </w:p>
        </w:tc>
        <w:tc>
          <w:tcPr>
            <w:tcW w:w="854"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Times New Roman"/>
                <w:color w:val="000000"/>
                <w:sz w:val="20"/>
                <w:szCs w:val="20"/>
              </w:rPr>
              <w:t>0</w:t>
            </w:r>
          </w:p>
        </w:tc>
        <w:tc>
          <w:tcPr>
            <w:tcW w:w="756"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Times New Roman"/>
                <w:color w:val="000000"/>
                <w:sz w:val="20"/>
                <w:szCs w:val="20"/>
              </w:rPr>
              <w:t>0</w:t>
            </w:r>
          </w:p>
        </w:tc>
        <w:tc>
          <w:tcPr>
            <w:tcW w:w="252"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p>
        </w:tc>
      </w:tr>
      <w:tr>
        <w:tblPrEx>
          <w:tblCellMar>
            <w:top w:w="0" w:type="dxa"/>
            <w:left w:w="57" w:type="dxa"/>
            <w:bottom w:w="0" w:type="dxa"/>
            <w:right w:w="57" w:type="dxa"/>
          </w:tblCellMar>
        </w:tblPrEx>
        <w:trPr>
          <w:trHeight w:val="598" w:hRule="atLeast"/>
        </w:trPr>
        <w:tc>
          <w:tcPr>
            <w:tcW w:w="683" w:type="dxa"/>
            <w:tcBorders>
              <w:top w:val="nil"/>
              <w:left w:val="single" w:color="auto" w:sz="4" w:space="0"/>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Times New Roman"/>
                <w:color w:val="000000"/>
                <w:sz w:val="20"/>
                <w:szCs w:val="20"/>
              </w:rPr>
              <w:t>16</w:t>
            </w:r>
          </w:p>
        </w:tc>
        <w:tc>
          <w:tcPr>
            <w:tcW w:w="1537" w:type="dxa"/>
            <w:tcBorders>
              <w:top w:val="nil"/>
              <w:left w:val="nil"/>
              <w:bottom w:val="single" w:color="auto" w:sz="4" w:space="0"/>
              <w:right w:val="single" w:color="auto" w:sz="4" w:space="0"/>
            </w:tcBorders>
            <w:shd w:val="clear" w:color="000000" w:fill="FFFFFF"/>
            <w:vAlign w:val="center"/>
          </w:tcPr>
          <w:p>
            <w:pPr>
              <w:spacing w:line="0" w:lineRule="atLeast"/>
              <w:rPr>
                <w:rFonts w:ascii="宋体"/>
                <w:color w:val="000000"/>
                <w:sz w:val="20"/>
                <w:szCs w:val="20"/>
              </w:rPr>
            </w:pPr>
            <w:r>
              <w:rPr>
                <w:rFonts w:ascii="宋体"/>
                <w:color w:val="000000"/>
                <w:sz w:val="20"/>
                <w:szCs w:val="20"/>
              </w:rPr>
              <w:t>新南站西广场</w:t>
            </w:r>
          </w:p>
        </w:tc>
        <w:tc>
          <w:tcPr>
            <w:tcW w:w="938"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宋体"/>
                <w:color w:val="000000"/>
                <w:sz w:val="20"/>
                <w:szCs w:val="20"/>
              </w:rPr>
              <w:t>洛龙街道</w:t>
            </w:r>
          </w:p>
        </w:tc>
        <w:tc>
          <w:tcPr>
            <w:tcW w:w="924"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宋体"/>
                <w:color w:val="000000"/>
                <w:sz w:val="20"/>
                <w:szCs w:val="20"/>
              </w:rPr>
              <w:t>房地产</w:t>
            </w:r>
          </w:p>
        </w:tc>
        <w:tc>
          <w:tcPr>
            <w:tcW w:w="812"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宋体"/>
                <w:color w:val="000000"/>
                <w:sz w:val="20"/>
                <w:szCs w:val="20"/>
              </w:rPr>
              <w:t>续建</w:t>
            </w:r>
          </w:p>
        </w:tc>
        <w:tc>
          <w:tcPr>
            <w:tcW w:w="1049"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Times New Roman"/>
                <w:color w:val="000000"/>
                <w:sz w:val="20"/>
                <w:szCs w:val="20"/>
              </w:rPr>
              <w:t>2015</w:t>
            </w:r>
            <w:r>
              <w:rPr>
                <w:rFonts w:ascii="宋体"/>
                <w:color w:val="000000"/>
                <w:sz w:val="20"/>
                <w:szCs w:val="20"/>
              </w:rPr>
              <w:t>-</w:t>
            </w:r>
            <w:r>
              <w:rPr>
                <w:rFonts w:ascii="Times New Roman"/>
                <w:color w:val="000000"/>
                <w:sz w:val="20"/>
                <w:szCs w:val="20"/>
              </w:rPr>
              <w:t>2025</w:t>
            </w:r>
          </w:p>
        </w:tc>
        <w:tc>
          <w:tcPr>
            <w:tcW w:w="3206" w:type="dxa"/>
            <w:tcBorders>
              <w:top w:val="nil"/>
              <w:left w:val="nil"/>
              <w:bottom w:val="single" w:color="auto" w:sz="4" w:space="0"/>
              <w:right w:val="single" w:color="auto" w:sz="4" w:space="0"/>
            </w:tcBorders>
            <w:shd w:val="clear" w:color="000000" w:fill="FFFFFF"/>
            <w:vAlign w:val="center"/>
          </w:tcPr>
          <w:p>
            <w:pPr>
              <w:spacing w:line="0" w:lineRule="atLeast"/>
              <w:rPr>
                <w:rFonts w:ascii="宋体"/>
                <w:color w:val="000000"/>
                <w:sz w:val="20"/>
                <w:szCs w:val="20"/>
              </w:rPr>
            </w:pPr>
            <w:r>
              <w:rPr>
                <w:rFonts w:ascii="宋体"/>
                <w:color w:val="000000"/>
                <w:sz w:val="20"/>
                <w:szCs w:val="20"/>
              </w:rPr>
              <w:t>两栋裙楼覆盖</w:t>
            </w:r>
            <w:r>
              <w:rPr>
                <w:rFonts w:ascii="Times New Roman"/>
                <w:color w:val="000000"/>
                <w:sz w:val="20"/>
                <w:szCs w:val="20"/>
              </w:rPr>
              <w:t>4</w:t>
            </w:r>
            <w:r>
              <w:rPr>
                <w:rFonts w:ascii="宋体"/>
                <w:color w:val="000000"/>
                <w:sz w:val="20"/>
                <w:szCs w:val="20"/>
              </w:rPr>
              <w:t>栋裙楼，总建筑面积</w:t>
            </w:r>
            <w:r>
              <w:rPr>
                <w:rFonts w:ascii="Times New Roman"/>
                <w:color w:val="000000"/>
                <w:sz w:val="20"/>
                <w:szCs w:val="20"/>
              </w:rPr>
              <w:t>30</w:t>
            </w:r>
            <w:r>
              <w:rPr>
                <w:rFonts w:ascii="宋体"/>
                <w:color w:val="000000"/>
                <w:sz w:val="20"/>
                <w:szCs w:val="20"/>
              </w:rPr>
              <w:t>.</w:t>
            </w:r>
            <w:r>
              <w:rPr>
                <w:rFonts w:ascii="Times New Roman"/>
                <w:color w:val="000000"/>
                <w:sz w:val="20"/>
                <w:szCs w:val="20"/>
              </w:rPr>
              <w:t>74</w:t>
            </w:r>
            <w:r>
              <w:rPr>
                <w:rFonts w:ascii="宋体"/>
                <w:color w:val="000000"/>
                <w:sz w:val="20"/>
                <w:szCs w:val="20"/>
              </w:rPr>
              <w:t>万平方米。</w:t>
            </w:r>
          </w:p>
        </w:tc>
        <w:tc>
          <w:tcPr>
            <w:tcW w:w="840"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Times New Roman"/>
                <w:color w:val="000000"/>
                <w:sz w:val="20"/>
                <w:szCs w:val="20"/>
              </w:rPr>
              <w:t>331582</w:t>
            </w:r>
          </w:p>
        </w:tc>
        <w:tc>
          <w:tcPr>
            <w:tcW w:w="756" w:type="dxa"/>
            <w:gridSpan w:val="2"/>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Times New Roman"/>
                <w:color w:val="000000"/>
                <w:sz w:val="20"/>
                <w:szCs w:val="20"/>
              </w:rPr>
              <w:t>119016</w:t>
            </w:r>
          </w:p>
        </w:tc>
        <w:tc>
          <w:tcPr>
            <w:tcW w:w="796"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Times New Roman"/>
                <w:color w:val="000000"/>
                <w:sz w:val="20"/>
                <w:szCs w:val="20"/>
              </w:rPr>
              <w:t>212566</w:t>
            </w:r>
          </w:p>
        </w:tc>
        <w:tc>
          <w:tcPr>
            <w:tcW w:w="813"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Times New Roman"/>
                <w:color w:val="000000"/>
                <w:sz w:val="20"/>
                <w:szCs w:val="20"/>
              </w:rPr>
              <w:t>50000</w:t>
            </w:r>
          </w:p>
        </w:tc>
        <w:tc>
          <w:tcPr>
            <w:tcW w:w="854"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Times New Roman"/>
                <w:color w:val="000000"/>
                <w:sz w:val="20"/>
                <w:szCs w:val="20"/>
              </w:rPr>
              <w:t>162566</w:t>
            </w:r>
          </w:p>
        </w:tc>
        <w:tc>
          <w:tcPr>
            <w:tcW w:w="756"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Times New Roman"/>
                <w:color w:val="000000"/>
                <w:sz w:val="20"/>
                <w:szCs w:val="20"/>
              </w:rPr>
              <w:t>0</w:t>
            </w:r>
          </w:p>
        </w:tc>
        <w:tc>
          <w:tcPr>
            <w:tcW w:w="252"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p>
        </w:tc>
      </w:tr>
      <w:tr>
        <w:tblPrEx>
          <w:tblCellMar>
            <w:top w:w="0" w:type="dxa"/>
            <w:left w:w="57" w:type="dxa"/>
            <w:bottom w:w="0" w:type="dxa"/>
            <w:right w:w="57" w:type="dxa"/>
          </w:tblCellMar>
        </w:tblPrEx>
        <w:trPr>
          <w:trHeight w:val="340" w:hRule="atLeast"/>
        </w:trPr>
        <w:tc>
          <w:tcPr>
            <w:tcW w:w="683" w:type="dxa"/>
            <w:tcBorders>
              <w:top w:val="nil"/>
              <w:left w:val="single" w:color="auto" w:sz="4" w:space="0"/>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Times New Roman"/>
                <w:color w:val="000000"/>
                <w:sz w:val="20"/>
                <w:szCs w:val="20"/>
              </w:rPr>
              <w:t>17</w:t>
            </w:r>
          </w:p>
        </w:tc>
        <w:tc>
          <w:tcPr>
            <w:tcW w:w="1537" w:type="dxa"/>
            <w:tcBorders>
              <w:top w:val="nil"/>
              <w:left w:val="nil"/>
              <w:bottom w:val="single" w:color="auto" w:sz="4" w:space="0"/>
              <w:right w:val="single" w:color="auto" w:sz="4" w:space="0"/>
            </w:tcBorders>
            <w:shd w:val="clear" w:color="000000" w:fill="FFFFFF"/>
            <w:vAlign w:val="center"/>
          </w:tcPr>
          <w:p>
            <w:pPr>
              <w:spacing w:line="0" w:lineRule="atLeast"/>
              <w:rPr>
                <w:rFonts w:ascii="宋体"/>
                <w:color w:val="000000"/>
                <w:sz w:val="20"/>
                <w:szCs w:val="20"/>
              </w:rPr>
            </w:pPr>
            <w:r>
              <w:rPr>
                <w:rFonts w:ascii="宋体"/>
                <w:color w:val="000000"/>
                <w:sz w:val="20"/>
                <w:szCs w:val="20"/>
              </w:rPr>
              <w:t>颐明园西区</w:t>
            </w:r>
          </w:p>
        </w:tc>
        <w:tc>
          <w:tcPr>
            <w:tcW w:w="938"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宋体"/>
                <w:color w:val="000000"/>
                <w:sz w:val="20"/>
                <w:szCs w:val="20"/>
              </w:rPr>
              <w:t>雨花街道</w:t>
            </w:r>
          </w:p>
        </w:tc>
        <w:tc>
          <w:tcPr>
            <w:tcW w:w="924"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宋体"/>
                <w:color w:val="000000"/>
                <w:sz w:val="20"/>
                <w:szCs w:val="20"/>
              </w:rPr>
              <w:t>房地产</w:t>
            </w:r>
          </w:p>
        </w:tc>
        <w:tc>
          <w:tcPr>
            <w:tcW w:w="812"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宋体"/>
                <w:color w:val="000000"/>
                <w:sz w:val="20"/>
                <w:szCs w:val="20"/>
              </w:rPr>
              <w:t>续建</w:t>
            </w:r>
          </w:p>
        </w:tc>
        <w:tc>
          <w:tcPr>
            <w:tcW w:w="1049"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Times New Roman"/>
                <w:color w:val="000000"/>
                <w:sz w:val="20"/>
                <w:szCs w:val="20"/>
              </w:rPr>
              <w:t>2013</w:t>
            </w:r>
            <w:r>
              <w:rPr>
                <w:rFonts w:ascii="宋体"/>
                <w:color w:val="000000"/>
                <w:sz w:val="20"/>
                <w:szCs w:val="20"/>
              </w:rPr>
              <w:t>-</w:t>
            </w:r>
            <w:r>
              <w:rPr>
                <w:rFonts w:ascii="Times New Roman"/>
                <w:color w:val="000000"/>
                <w:sz w:val="20"/>
                <w:szCs w:val="20"/>
              </w:rPr>
              <w:t>2025</w:t>
            </w:r>
          </w:p>
        </w:tc>
        <w:tc>
          <w:tcPr>
            <w:tcW w:w="3206" w:type="dxa"/>
            <w:tcBorders>
              <w:top w:val="nil"/>
              <w:left w:val="nil"/>
              <w:bottom w:val="single" w:color="auto" w:sz="4" w:space="0"/>
              <w:right w:val="single" w:color="auto" w:sz="4" w:space="0"/>
            </w:tcBorders>
            <w:shd w:val="clear" w:color="000000" w:fill="FFFFFF"/>
            <w:vAlign w:val="center"/>
          </w:tcPr>
          <w:p>
            <w:pPr>
              <w:spacing w:line="0" w:lineRule="atLeast"/>
              <w:rPr>
                <w:rFonts w:ascii="宋体"/>
                <w:color w:val="000000"/>
                <w:sz w:val="20"/>
                <w:szCs w:val="20"/>
              </w:rPr>
            </w:pPr>
            <w:r>
              <w:rPr>
                <w:rFonts w:ascii="宋体"/>
                <w:color w:val="000000"/>
                <w:sz w:val="20"/>
                <w:szCs w:val="20"/>
              </w:rPr>
              <w:t>总建筑面积</w:t>
            </w:r>
            <w:r>
              <w:rPr>
                <w:rFonts w:ascii="Times New Roman"/>
                <w:color w:val="000000"/>
                <w:sz w:val="20"/>
                <w:szCs w:val="20"/>
              </w:rPr>
              <w:t>150</w:t>
            </w:r>
            <w:r>
              <w:rPr>
                <w:rFonts w:ascii="宋体"/>
                <w:color w:val="000000"/>
                <w:sz w:val="20"/>
                <w:szCs w:val="20"/>
              </w:rPr>
              <w:t>万平米。</w:t>
            </w:r>
          </w:p>
        </w:tc>
        <w:tc>
          <w:tcPr>
            <w:tcW w:w="840"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Times New Roman"/>
                <w:color w:val="000000"/>
                <w:sz w:val="20"/>
                <w:szCs w:val="20"/>
              </w:rPr>
              <w:t>634900</w:t>
            </w:r>
          </w:p>
        </w:tc>
        <w:tc>
          <w:tcPr>
            <w:tcW w:w="756" w:type="dxa"/>
            <w:gridSpan w:val="2"/>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Times New Roman"/>
                <w:color w:val="000000"/>
                <w:sz w:val="20"/>
                <w:szCs w:val="20"/>
              </w:rPr>
              <w:t>277917</w:t>
            </w:r>
          </w:p>
        </w:tc>
        <w:tc>
          <w:tcPr>
            <w:tcW w:w="796"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Times New Roman"/>
                <w:color w:val="000000"/>
                <w:sz w:val="20"/>
                <w:szCs w:val="20"/>
              </w:rPr>
              <w:t>356983</w:t>
            </w:r>
          </w:p>
        </w:tc>
        <w:tc>
          <w:tcPr>
            <w:tcW w:w="813"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Times New Roman"/>
                <w:color w:val="000000"/>
                <w:sz w:val="20"/>
                <w:szCs w:val="20"/>
              </w:rPr>
              <w:t>200000</w:t>
            </w:r>
          </w:p>
        </w:tc>
        <w:tc>
          <w:tcPr>
            <w:tcW w:w="854"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Times New Roman"/>
                <w:color w:val="000000"/>
                <w:sz w:val="20"/>
                <w:szCs w:val="20"/>
              </w:rPr>
              <w:t>156983</w:t>
            </w:r>
          </w:p>
        </w:tc>
        <w:tc>
          <w:tcPr>
            <w:tcW w:w="756"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r>
              <w:rPr>
                <w:rFonts w:ascii="Times New Roman"/>
                <w:color w:val="000000"/>
                <w:sz w:val="20"/>
                <w:szCs w:val="20"/>
              </w:rPr>
              <w:t>0</w:t>
            </w:r>
          </w:p>
        </w:tc>
        <w:tc>
          <w:tcPr>
            <w:tcW w:w="252"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color w:val="000000"/>
                <w:sz w:val="20"/>
                <w:szCs w:val="20"/>
              </w:rPr>
            </w:pPr>
          </w:p>
        </w:tc>
      </w:tr>
      <w:tr>
        <w:tblPrEx>
          <w:tblCellMar>
            <w:top w:w="0" w:type="dxa"/>
            <w:left w:w="57" w:type="dxa"/>
            <w:bottom w:w="0" w:type="dxa"/>
            <w:right w:w="57" w:type="dxa"/>
          </w:tblCellMar>
        </w:tblPrEx>
        <w:trPr>
          <w:trHeight w:val="511" w:hRule="atLeast"/>
        </w:trPr>
        <w:tc>
          <w:tcPr>
            <w:tcW w:w="683" w:type="dxa"/>
            <w:tcBorders>
              <w:top w:val="nil"/>
              <w:left w:val="single" w:color="auto" w:sz="4" w:space="0"/>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18</w:t>
            </w:r>
          </w:p>
        </w:tc>
        <w:tc>
          <w:tcPr>
            <w:tcW w:w="1537" w:type="dxa"/>
            <w:tcBorders>
              <w:top w:val="nil"/>
              <w:left w:val="nil"/>
              <w:bottom w:val="single" w:color="auto" w:sz="4" w:space="0"/>
              <w:right w:val="single" w:color="auto" w:sz="4" w:space="0"/>
            </w:tcBorders>
            <w:shd w:val="clear" w:color="000000" w:fill="FFFFFF"/>
            <w:vAlign w:val="center"/>
          </w:tcPr>
          <w:p>
            <w:pPr>
              <w:spacing w:line="0" w:lineRule="atLeast"/>
              <w:rPr>
                <w:rFonts w:ascii="Calibri" w:hAnsi="宋体" w:eastAsia="宋体" w:cs="宋体"/>
                <w:color w:val="000000"/>
                <w:sz w:val="21"/>
                <w:szCs w:val="21"/>
              </w:rPr>
            </w:pPr>
            <w:r>
              <w:rPr>
                <w:rFonts w:ascii="Calibri" w:hAnsi="宋体" w:eastAsia="宋体" w:cs="宋体"/>
                <w:color w:val="000000"/>
                <w:sz w:val="21"/>
                <w:szCs w:val="21"/>
              </w:rPr>
              <w:t>雨花国际商务中心一期</w:t>
            </w:r>
          </w:p>
        </w:tc>
        <w:tc>
          <w:tcPr>
            <w:tcW w:w="938"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雨花街道</w:t>
            </w:r>
          </w:p>
        </w:tc>
        <w:tc>
          <w:tcPr>
            <w:tcW w:w="924"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房地产</w:t>
            </w:r>
          </w:p>
        </w:tc>
        <w:tc>
          <w:tcPr>
            <w:tcW w:w="812"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续建</w:t>
            </w:r>
          </w:p>
        </w:tc>
        <w:tc>
          <w:tcPr>
            <w:tcW w:w="1049"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2019-2025</w:t>
            </w:r>
          </w:p>
        </w:tc>
        <w:tc>
          <w:tcPr>
            <w:tcW w:w="3206" w:type="dxa"/>
            <w:tcBorders>
              <w:top w:val="nil"/>
              <w:left w:val="nil"/>
              <w:bottom w:val="single" w:color="auto" w:sz="4" w:space="0"/>
              <w:right w:val="single" w:color="auto" w:sz="4" w:space="0"/>
            </w:tcBorders>
            <w:shd w:val="clear" w:color="000000" w:fill="FFFFFF"/>
            <w:vAlign w:val="center"/>
          </w:tcPr>
          <w:p>
            <w:pPr>
              <w:spacing w:line="0" w:lineRule="atLeast"/>
              <w:rPr>
                <w:rFonts w:ascii="Calibri" w:hAnsi="宋体" w:eastAsia="宋体" w:cs="宋体"/>
                <w:color w:val="000000"/>
                <w:sz w:val="21"/>
                <w:szCs w:val="21"/>
              </w:rPr>
            </w:pPr>
            <w:r>
              <w:rPr>
                <w:rFonts w:ascii="Calibri" w:hAnsi="宋体" w:eastAsia="宋体" w:cs="宋体"/>
                <w:color w:val="000000"/>
                <w:sz w:val="21"/>
                <w:szCs w:val="21"/>
              </w:rPr>
              <w:t>项目规划建筑面积895431平米。</w:t>
            </w:r>
          </w:p>
        </w:tc>
        <w:tc>
          <w:tcPr>
            <w:tcW w:w="840"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325124</w:t>
            </w:r>
          </w:p>
        </w:tc>
        <w:tc>
          <w:tcPr>
            <w:tcW w:w="756" w:type="dxa"/>
            <w:gridSpan w:val="2"/>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169379</w:t>
            </w:r>
          </w:p>
        </w:tc>
        <w:tc>
          <w:tcPr>
            <w:tcW w:w="796"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155745</w:t>
            </w:r>
          </w:p>
        </w:tc>
        <w:tc>
          <w:tcPr>
            <w:tcW w:w="813"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100000</w:t>
            </w:r>
          </w:p>
        </w:tc>
        <w:tc>
          <w:tcPr>
            <w:tcW w:w="854"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55745</w:t>
            </w:r>
          </w:p>
        </w:tc>
        <w:tc>
          <w:tcPr>
            <w:tcW w:w="756"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0</w:t>
            </w:r>
          </w:p>
        </w:tc>
        <w:tc>
          <w:tcPr>
            <w:tcW w:w="252"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p>
        </w:tc>
      </w:tr>
      <w:tr>
        <w:tblPrEx>
          <w:tblCellMar>
            <w:top w:w="0" w:type="dxa"/>
            <w:left w:w="57" w:type="dxa"/>
            <w:bottom w:w="0" w:type="dxa"/>
            <w:right w:w="57" w:type="dxa"/>
          </w:tblCellMar>
        </w:tblPrEx>
        <w:trPr>
          <w:trHeight w:val="1142" w:hRule="atLeast"/>
        </w:trPr>
        <w:tc>
          <w:tcPr>
            <w:tcW w:w="683" w:type="dxa"/>
            <w:tcBorders>
              <w:top w:val="nil"/>
              <w:left w:val="single" w:color="auto" w:sz="4" w:space="0"/>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19</w:t>
            </w:r>
          </w:p>
        </w:tc>
        <w:tc>
          <w:tcPr>
            <w:tcW w:w="1537" w:type="dxa"/>
            <w:tcBorders>
              <w:top w:val="nil"/>
              <w:left w:val="nil"/>
              <w:bottom w:val="single" w:color="auto" w:sz="4" w:space="0"/>
              <w:right w:val="single" w:color="auto" w:sz="4" w:space="0"/>
            </w:tcBorders>
            <w:shd w:val="clear" w:color="000000" w:fill="FFFFFF"/>
            <w:vAlign w:val="center"/>
          </w:tcPr>
          <w:p>
            <w:pPr>
              <w:spacing w:line="0" w:lineRule="atLeast"/>
              <w:rPr>
                <w:rFonts w:ascii="Calibri" w:hAnsi="宋体" w:eastAsia="宋体" w:cs="宋体"/>
                <w:color w:val="000000"/>
                <w:sz w:val="21"/>
                <w:szCs w:val="21"/>
              </w:rPr>
            </w:pPr>
            <w:r>
              <w:rPr>
                <w:rFonts w:ascii="Calibri" w:hAnsi="宋体" w:eastAsia="宋体" w:cs="宋体"/>
                <w:color w:val="000000"/>
                <w:sz w:val="21"/>
                <w:szCs w:val="21"/>
              </w:rPr>
              <w:t>广电苑住宅小区二期项目(1号、6号地块）</w:t>
            </w:r>
          </w:p>
        </w:tc>
        <w:tc>
          <w:tcPr>
            <w:tcW w:w="938"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雨花街道</w:t>
            </w:r>
          </w:p>
        </w:tc>
        <w:tc>
          <w:tcPr>
            <w:tcW w:w="924"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房地产</w:t>
            </w:r>
          </w:p>
        </w:tc>
        <w:tc>
          <w:tcPr>
            <w:tcW w:w="812"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续建</w:t>
            </w:r>
          </w:p>
        </w:tc>
        <w:tc>
          <w:tcPr>
            <w:tcW w:w="1049"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2018-2023</w:t>
            </w:r>
          </w:p>
        </w:tc>
        <w:tc>
          <w:tcPr>
            <w:tcW w:w="3206" w:type="dxa"/>
            <w:tcBorders>
              <w:top w:val="nil"/>
              <w:left w:val="nil"/>
              <w:bottom w:val="single" w:color="auto" w:sz="4" w:space="0"/>
              <w:right w:val="single" w:color="auto" w:sz="4" w:space="0"/>
            </w:tcBorders>
            <w:shd w:val="clear" w:color="000000" w:fill="FFFFFF"/>
            <w:vAlign w:val="center"/>
          </w:tcPr>
          <w:p>
            <w:pPr>
              <w:spacing w:line="0" w:lineRule="atLeast"/>
              <w:rPr>
                <w:rFonts w:ascii="Calibri" w:hAnsi="宋体" w:eastAsia="宋体" w:cs="宋体"/>
                <w:color w:val="000000"/>
                <w:sz w:val="21"/>
                <w:szCs w:val="21"/>
              </w:rPr>
            </w:pPr>
            <w:r>
              <w:rPr>
                <w:rFonts w:ascii="Calibri" w:hAnsi="宋体" w:eastAsia="宋体" w:cs="宋体"/>
                <w:color w:val="000000"/>
                <w:sz w:val="21"/>
                <w:szCs w:val="21"/>
              </w:rPr>
              <w:t>广电苑二期（1、6号地块）项目，总建筑面积838624.78平方米,项目建设21栋楼及30个班小学一所、20个班幼儿园一所。</w:t>
            </w:r>
          </w:p>
        </w:tc>
        <w:tc>
          <w:tcPr>
            <w:tcW w:w="840"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299286</w:t>
            </w:r>
          </w:p>
        </w:tc>
        <w:tc>
          <w:tcPr>
            <w:tcW w:w="756" w:type="dxa"/>
            <w:gridSpan w:val="2"/>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113894</w:t>
            </w:r>
          </w:p>
        </w:tc>
        <w:tc>
          <w:tcPr>
            <w:tcW w:w="796"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185392</w:t>
            </w:r>
          </w:p>
        </w:tc>
        <w:tc>
          <w:tcPr>
            <w:tcW w:w="813"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100000</w:t>
            </w:r>
          </w:p>
        </w:tc>
        <w:tc>
          <w:tcPr>
            <w:tcW w:w="854"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85392</w:t>
            </w:r>
          </w:p>
        </w:tc>
        <w:tc>
          <w:tcPr>
            <w:tcW w:w="756"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0</w:t>
            </w:r>
          </w:p>
        </w:tc>
        <w:tc>
          <w:tcPr>
            <w:tcW w:w="252"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p>
        </w:tc>
      </w:tr>
      <w:tr>
        <w:tblPrEx>
          <w:tblCellMar>
            <w:top w:w="0" w:type="dxa"/>
            <w:left w:w="57" w:type="dxa"/>
            <w:bottom w:w="0" w:type="dxa"/>
            <w:right w:w="57" w:type="dxa"/>
          </w:tblCellMar>
        </w:tblPrEx>
        <w:trPr>
          <w:trHeight w:val="1142" w:hRule="atLeast"/>
        </w:trPr>
        <w:tc>
          <w:tcPr>
            <w:tcW w:w="683" w:type="dxa"/>
            <w:tcBorders>
              <w:top w:val="nil"/>
              <w:left w:val="single" w:color="auto" w:sz="4" w:space="0"/>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20</w:t>
            </w:r>
          </w:p>
        </w:tc>
        <w:tc>
          <w:tcPr>
            <w:tcW w:w="1537" w:type="dxa"/>
            <w:tcBorders>
              <w:top w:val="nil"/>
              <w:left w:val="nil"/>
              <w:bottom w:val="single" w:color="auto" w:sz="4" w:space="0"/>
              <w:right w:val="single" w:color="auto" w:sz="4" w:space="0"/>
            </w:tcBorders>
            <w:shd w:val="clear" w:color="000000" w:fill="FFFFFF"/>
            <w:vAlign w:val="center"/>
          </w:tcPr>
          <w:p>
            <w:pPr>
              <w:spacing w:line="0" w:lineRule="atLeast"/>
              <w:rPr>
                <w:rFonts w:ascii="Calibri" w:hAnsi="宋体" w:eastAsia="宋体" w:cs="宋体"/>
                <w:color w:val="000000"/>
                <w:sz w:val="21"/>
                <w:szCs w:val="21"/>
              </w:rPr>
            </w:pPr>
            <w:r>
              <w:rPr>
                <w:rFonts w:ascii="Calibri" w:hAnsi="宋体" w:eastAsia="宋体" w:cs="宋体"/>
                <w:color w:val="000000"/>
                <w:sz w:val="21"/>
                <w:szCs w:val="21"/>
              </w:rPr>
              <w:t>绿地东海岸（龙斗一号）二期34、37号地块</w:t>
            </w:r>
          </w:p>
        </w:tc>
        <w:tc>
          <w:tcPr>
            <w:tcW w:w="938"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龙城街道</w:t>
            </w:r>
          </w:p>
        </w:tc>
        <w:tc>
          <w:tcPr>
            <w:tcW w:w="924"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房地产</w:t>
            </w:r>
          </w:p>
        </w:tc>
        <w:tc>
          <w:tcPr>
            <w:tcW w:w="812"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续建</w:t>
            </w:r>
          </w:p>
        </w:tc>
        <w:tc>
          <w:tcPr>
            <w:tcW w:w="1049"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2019-2022</w:t>
            </w:r>
          </w:p>
        </w:tc>
        <w:tc>
          <w:tcPr>
            <w:tcW w:w="3206" w:type="dxa"/>
            <w:tcBorders>
              <w:top w:val="nil"/>
              <w:left w:val="nil"/>
              <w:bottom w:val="single" w:color="auto" w:sz="4" w:space="0"/>
              <w:right w:val="single" w:color="auto" w:sz="4" w:space="0"/>
            </w:tcBorders>
            <w:shd w:val="clear" w:color="000000" w:fill="FFFFFF"/>
            <w:vAlign w:val="center"/>
          </w:tcPr>
          <w:p>
            <w:pPr>
              <w:spacing w:line="0" w:lineRule="atLeast"/>
              <w:rPr>
                <w:rFonts w:ascii="Calibri" w:hAnsi="宋体" w:eastAsia="宋体" w:cs="宋体"/>
                <w:color w:val="000000"/>
                <w:sz w:val="21"/>
                <w:szCs w:val="21"/>
              </w:rPr>
            </w:pPr>
            <w:r>
              <w:rPr>
                <w:rFonts w:ascii="Calibri" w:hAnsi="宋体" w:eastAsia="宋体" w:cs="宋体"/>
                <w:color w:val="000000"/>
                <w:sz w:val="21"/>
                <w:szCs w:val="21"/>
              </w:rPr>
              <w:t>34号地块规划为商业开发住宅，37号地块规划建设安置房（龙街社区及古城社区安置房。</w:t>
            </w:r>
          </w:p>
        </w:tc>
        <w:tc>
          <w:tcPr>
            <w:tcW w:w="840"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155000</w:t>
            </w:r>
          </w:p>
        </w:tc>
        <w:tc>
          <w:tcPr>
            <w:tcW w:w="756" w:type="dxa"/>
            <w:gridSpan w:val="2"/>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0</w:t>
            </w:r>
          </w:p>
        </w:tc>
        <w:tc>
          <w:tcPr>
            <w:tcW w:w="796"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155000</w:t>
            </w:r>
          </w:p>
        </w:tc>
        <w:tc>
          <w:tcPr>
            <w:tcW w:w="813"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50000</w:t>
            </w:r>
          </w:p>
        </w:tc>
        <w:tc>
          <w:tcPr>
            <w:tcW w:w="854"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105000</w:t>
            </w:r>
          </w:p>
        </w:tc>
        <w:tc>
          <w:tcPr>
            <w:tcW w:w="756"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p>
        </w:tc>
        <w:tc>
          <w:tcPr>
            <w:tcW w:w="252"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p>
        </w:tc>
      </w:tr>
      <w:tr>
        <w:tblPrEx>
          <w:tblCellMar>
            <w:top w:w="0" w:type="dxa"/>
            <w:left w:w="57" w:type="dxa"/>
            <w:bottom w:w="0" w:type="dxa"/>
            <w:right w:w="57" w:type="dxa"/>
          </w:tblCellMar>
        </w:tblPrEx>
        <w:trPr>
          <w:trHeight w:val="1142" w:hRule="atLeast"/>
        </w:trPr>
        <w:tc>
          <w:tcPr>
            <w:tcW w:w="683" w:type="dxa"/>
            <w:tcBorders>
              <w:top w:val="nil"/>
              <w:left w:val="single" w:color="auto" w:sz="4" w:space="0"/>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21</w:t>
            </w:r>
          </w:p>
        </w:tc>
        <w:tc>
          <w:tcPr>
            <w:tcW w:w="1537" w:type="dxa"/>
            <w:tcBorders>
              <w:top w:val="nil"/>
              <w:left w:val="nil"/>
              <w:bottom w:val="single" w:color="auto" w:sz="4" w:space="0"/>
              <w:right w:val="single" w:color="auto" w:sz="4" w:space="0"/>
            </w:tcBorders>
            <w:shd w:val="clear" w:color="000000" w:fill="FFFFFF"/>
            <w:vAlign w:val="center"/>
          </w:tcPr>
          <w:p>
            <w:pPr>
              <w:spacing w:line="0" w:lineRule="atLeast"/>
              <w:rPr>
                <w:rFonts w:ascii="Calibri" w:hAnsi="宋体" w:eastAsia="宋体" w:cs="宋体"/>
                <w:color w:val="000000"/>
                <w:sz w:val="21"/>
                <w:szCs w:val="21"/>
              </w:rPr>
            </w:pPr>
            <w:r>
              <w:rPr>
                <w:rFonts w:ascii="Calibri" w:hAnsi="宋体" w:eastAsia="宋体" w:cs="宋体"/>
                <w:color w:val="000000"/>
                <w:sz w:val="21"/>
                <w:szCs w:val="21"/>
              </w:rPr>
              <w:t>光明璟宸苑</w:t>
            </w:r>
          </w:p>
        </w:tc>
        <w:tc>
          <w:tcPr>
            <w:tcW w:w="938"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吴家营街道</w:t>
            </w:r>
          </w:p>
        </w:tc>
        <w:tc>
          <w:tcPr>
            <w:tcW w:w="924"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房地产</w:t>
            </w:r>
          </w:p>
        </w:tc>
        <w:tc>
          <w:tcPr>
            <w:tcW w:w="812"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续建</w:t>
            </w:r>
          </w:p>
        </w:tc>
        <w:tc>
          <w:tcPr>
            <w:tcW w:w="1049"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2019-2021</w:t>
            </w:r>
          </w:p>
        </w:tc>
        <w:tc>
          <w:tcPr>
            <w:tcW w:w="3206" w:type="dxa"/>
            <w:tcBorders>
              <w:top w:val="nil"/>
              <w:left w:val="nil"/>
              <w:bottom w:val="single" w:color="auto" w:sz="4" w:space="0"/>
              <w:right w:val="single" w:color="auto" w:sz="4" w:space="0"/>
            </w:tcBorders>
            <w:shd w:val="clear" w:color="000000" w:fill="FFFFFF"/>
            <w:vAlign w:val="center"/>
          </w:tcPr>
          <w:p>
            <w:pPr>
              <w:spacing w:line="0" w:lineRule="atLeast"/>
              <w:rPr>
                <w:rFonts w:ascii="Calibri" w:hAnsi="宋体" w:eastAsia="宋体" w:cs="宋体"/>
                <w:color w:val="000000"/>
                <w:sz w:val="21"/>
                <w:szCs w:val="21"/>
              </w:rPr>
            </w:pPr>
            <w:r>
              <w:rPr>
                <w:rFonts w:ascii="Calibri" w:hAnsi="宋体" w:eastAsia="宋体" w:cs="宋体"/>
                <w:color w:val="000000"/>
                <w:sz w:val="21"/>
                <w:szCs w:val="21"/>
              </w:rPr>
              <w:t>住宅、配套用房、社区服务用房、地下车位，总建筑面积561192平方米。</w:t>
            </w:r>
          </w:p>
        </w:tc>
        <w:tc>
          <w:tcPr>
            <w:tcW w:w="840"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318000</w:t>
            </w:r>
          </w:p>
        </w:tc>
        <w:tc>
          <w:tcPr>
            <w:tcW w:w="756" w:type="dxa"/>
            <w:gridSpan w:val="2"/>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0</w:t>
            </w:r>
          </w:p>
        </w:tc>
        <w:tc>
          <w:tcPr>
            <w:tcW w:w="796"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318000</w:t>
            </w:r>
          </w:p>
        </w:tc>
        <w:tc>
          <w:tcPr>
            <w:tcW w:w="813"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100000</w:t>
            </w:r>
          </w:p>
        </w:tc>
        <w:tc>
          <w:tcPr>
            <w:tcW w:w="854"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218000</w:t>
            </w:r>
          </w:p>
        </w:tc>
        <w:tc>
          <w:tcPr>
            <w:tcW w:w="756"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p>
        </w:tc>
        <w:tc>
          <w:tcPr>
            <w:tcW w:w="252"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p>
        </w:tc>
      </w:tr>
      <w:tr>
        <w:tblPrEx>
          <w:tblCellMar>
            <w:top w:w="0" w:type="dxa"/>
            <w:left w:w="57" w:type="dxa"/>
            <w:bottom w:w="0" w:type="dxa"/>
            <w:right w:w="57" w:type="dxa"/>
          </w:tblCellMar>
        </w:tblPrEx>
        <w:trPr>
          <w:trHeight w:val="1142" w:hRule="atLeast"/>
        </w:trPr>
        <w:tc>
          <w:tcPr>
            <w:tcW w:w="683" w:type="dxa"/>
            <w:tcBorders>
              <w:top w:val="nil"/>
              <w:left w:val="single" w:color="auto" w:sz="4" w:space="0"/>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22</w:t>
            </w:r>
          </w:p>
        </w:tc>
        <w:tc>
          <w:tcPr>
            <w:tcW w:w="1537" w:type="dxa"/>
            <w:tcBorders>
              <w:top w:val="nil"/>
              <w:left w:val="nil"/>
              <w:bottom w:val="single" w:color="auto" w:sz="4" w:space="0"/>
              <w:right w:val="single" w:color="auto" w:sz="4" w:space="0"/>
            </w:tcBorders>
            <w:shd w:val="clear" w:color="000000" w:fill="FFFFFF"/>
            <w:vAlign w:val="center"/>
          </w:tcPr>
          <w:p>
            <w:pPr>
              <w:spacing w:line="0" w:lineRule="atLeast"/>
              <w:rPr>
                <w:rFonts w:ascii="Calibri" w:hAnsi="宋体" w:eastAsia="宋体" w:cs="宋体"/>
                <w:color w:val="000000"/>
                <w:sz w:val="21"/>
                <w:szCs w:val="21"/>
              </w:rPr>
            </w:pPr>
            <w:r>
              <w:rPr>
                <w:rFonts w:ascii="Calibri" w:hAnsi="宋体" w:eastAsia="宋体" w:cs="宋体"/>
                <w:color w:val="000000"/>
                <w:sz w:val="21"/>
                <w:szCs w:val="21"/>
              </w:rPr>
              <w:t>广远翰融小区</w:t>
            </w:r>
          </w:p>
        </w:tc>
        <w:tc>
          <w:tcPr>
            <w:tcW w:w="938"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吴家营街道</w:t>
            </w:r>
          </w:p>
        </w:tc>
        <w:tc>
          <w:tcPr>
            <w:tcW w:w="924"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房地产</w:t>
            </w:r>
          </w:p>
        </w:tc>
        <w:tc>
          <w:tcPr>
            <w:tcW w:w="812"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续建</w:t>
            </w:r>
          </w:p>
        </w:tc>
        <w:tc>
          <w:tcPr>
            <w:tcW w:w="1049"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2019-2022</w:t>
            </w:r>
          </w:p>
        </w:tc>
        <w:tc>
          <w:tcPr>
            <w:tcW w:w="3206" w:type="dxa"/>
            <w:tcBorders>
              <w:top w:val="nil"/>
              <w:left w:val="nil"/>
              <w:bottom w:val="single" w:color="auto" w:sz="4" w:space="0"/>
              <w:right w:val="single" w:color="auto" w:sz="4" w:space="0"/>
            </w:tcBorders>
            <w:shd w:val="clear" w:color="000000" w:fill="FFFFFF"/>
            <w:vAlign w:val="center"/>
          </w:tcPr>
          <w:p>
            <w:pPr>
              <w:spacing w:line="0" w:lineRule="atLeast"/>
              <w:rPr>
                <w:rFonts w:ascii="Calibri" w:hAnsi="宋体" w:eastAsia="宋体" w:cs="宋体"/>
                <w:color w:val="000000"/>
                <w:sz w:val="21"/>
                <w:szCs w:val="21"/>
              </w:rPr>
            </w:pPr>
            <w:r>
              <w:rPr>
                <w:rFonts w:ascii="Calibri" w:hAnsi="宋体" w:eastAsia="宋体" w:cs="宋体"/>
                <w:color w:val="000000"/>
                <w:sz w:val="21"/>
                <w:szCs w:val="21"/>
              </w:rPr>
              <w:t>住宅及商业，总建筑面积约17万平方米。</w:t>
            </w:r>
          </w:p>
        </w:tc>
        <w:tc>
          <w:tcPr>
            <w:tcW w:w="840"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182000</w:t>
            </w:r>
          </w:p>
        </w:tc>
        <w:tc>
          <w:tcPr>
            <w:tcW w:w="756" w:type="dxa"/>
            <w:gridSpan w:val="2"/>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0</w:t>
            </w:r>
          </w:p>
        </w:tc>
        <w:tc>
          <w:tcPr>
            <w:tcW w:w="796"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182000</w:t>
            </w:r>
          </w:p>
        </w:tc>
        <w:tc>
          <w:tcPr>
            <w:tcW w:w="813"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50000</w:t>
            </w:r>
          </w:p>
        </w:tc>
        <w:tc>
          <w:tcPr>
            <w:tcW w:w="854"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132000</w:t>
            </w:r>
          </w:p>
        </w:tc>
        <w:tc>
          <w:tcPr>
            <w:tcW w:w="756"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p>
        </w:tc>
        <w:tc>
          <w:tcPr>
            <w:tcW w:w="252"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p>
        </w:tc>
      </w:tr>
      <w:tr>
        <w:tblPrEx>
          <w:tblCellMar>
            <w:top w:w="0" w:type="dxa"/>
            <w:left w:w="57" w:type="dxa"/>
            <w:bottom w:w="0" w:type="dxa"/>
            <w:right w:w="57" w:type="dxa"/>
          </w:tblCellMar>
        </w:tblPrEx>
        <w:trPr>
          <w:trHeight w:val="1142" w:hRule="atLeast"/>
        </w:trPr>
        <w:tc>
          <w:tcPr>
            <w:tcW w:w="683" w:type="dxa"/>
            <w:tcBorders>
              <w:top w:val="nil"/>
              <w:left w:val="single" w:color="auto" w:sz="4" w:space="0"/>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23</w:t>
            </w:r>
          </w:p>
        </w:tc>
        <w:tc>
          <w:tcPr>
            <w:tcW w:w="1537" w:type="dxa"/>
            <w:tcBorders>
              <w:top w:val="nil"/>
              <w:left w:val="nil"/>
              <w:bottom w:val="single" w:color="auto" w:sz="4" w:space="0"/>
              <w:right w:val="single" w:color="auto" w:sz="4" w:space="0"/>
            </w:tcBorders>
            <w:shd w:val="clear" w:color="000000" w:fill="FFFFFF"/>
            <w:vAlign w:val="center"/>
          </w:tcPr>
          <w:p>
            <w:pPr>
              <w:spacing w:line="0" w:lineRule="atLeast"/>
              <w:rPr>
                <w:rFonts w:ascii="Calibri" w:hAnsi="宋体" w:eastAsia="宋体" w:cs="宋体"/>
                <w:color w:val="000000"/>
                <w:sz w:val="21"/>
                <w:szCs w:val="21"/>
              </w:rPr>
            </w:pPr>
            <w:r>
              <w:rPr>
                <w:rFonts w:ascii="Calibri" w:hAnsi="宋体" w:eastAsia="宋体" w:cs="宋体"/>
                <w:color w:val="000000"/>
                <w:sz w:val="21"/>
                <w:szCs w:val="21"/>
              </w:rPr>
              <w:t>亚广文化旅游城（二期）</w:t>
            </w:r>
          </w:p>
        </w:tc>
        <w:tc>
          <w:tcPr>
            <w:tcW w:w="938"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洛龙街道</w:t>
            </w:r>
          </w:p>
        </w:tc>
        <w:tc>
          <w:tcPr>
            <w:tcW w:w="924"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房地产</w:t>
            </w:r>
          </w:p>
        </w:tc>
        <w:tc>
          <w:tcPr>
            <w:tcW w:w="812"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续建</w:t>
            </w:r>
          </w:p>
        </w:tc>
        <w:tc>
          <w:tcPr>
            <w:tcW w:w="1049"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2019-2022</w:t>
            </w:r>
          </w:p>
        </w:tc>
        <w:tc>
          <w:tcPr>
            <w:tcW w:w="3206" w:type="dxa"/>
            <w:tcBorders>
              <w:top w:val="nil"/>
              <w:left w:val="nil"/>
              <w:bottom w:val="single" w:color="auto" w:sz="4" w:space="0"/>
              <w:right w:val="single" w:color="auto" w:sz="4" w:space="0"/>
            </w:tcBorders>
            <w:shd w:val="clear" w:color="000000" w:fill="FFFFFF"/>
            <w:vAlign w:val="center"/>
          </w:tcPr>
          <w:p>
            <w:pPr>
              <w:spacing w:line="0" w:lineRule="atLeast"/>
              <w:rPr>
                <w:rFonts w:ascii="Calibri" w:hAnsi="宋体" w:eastAsia="宋体" w:cs="宋体"/>
                <w:color w:val="000000"/>
                <w:sz w:val="21"/>
                <w:szCs w:val="21"/>
              </w:rPr>
            </w:pPr>
            <w:r>
              <w:rPr>
                <w:rFonts w:ascii="Calibri" w:hAnsi="宋体" w:eastAsia="宋体" w:cs="宋体"/>
                <w:color w:val="000000"/>
                <w:sz w:val="21"/>
                <w:szCs w:val="21"/>
              </w:rPr>
              <w:t>该项目占地89.11亩，总建筑面积564921平方米，主要建设公寓、商业、酒店等。</w:t>
            </w:r>
          </w:p>
        </w:tc>
        <w:tc>
          <w:tcPr>
            <w:tcW w:w="840"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180000</w:t>
            </w:r>
          </w:p>
        </w:tc>
        <w:tc>
          <w:tcPr>
            <w:tcW w:w="756" w:type="dxa"/>
            <w:gridSpan w:val="2"/>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0</w:t>
            </w:r>
          </w:p>
        </w:tc>
        <w:tc>
          <w:tcPr>
            <w:tcW w:w="796"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180000</w:t>
            </w:r>
          </w:p>
        </w:tc>
        <w:tc>
          <w:tcPr>
            <w:tcW w:w="813"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120000</w:t>
            </w:r>
          </w:p>
        </w:tc>
        <w:tc>
          <w:tcPr>
            <w:tcW w:w="854"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60000</w:t>
            </w:r>
          </w:p>
        </w:tc>
        <w:tc>
          <w:tcPr>
            <w:tcW w:w="756"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p>
        </w:tc>
        <w:tc>
          <w:tcPr>
            <w:tcW w:w="252"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p>
        </w:tc>
      </w:tr>
      <w:tr>
        <w:tblPrEx>
          <w:tblCellMar>
            <w:top w:w="0" w:type="dxa"/>
            <w:left w:w="57" w:type="dxa"/>
            <w:bottom w:w="0" w:type="dxa"/>
            <w:right w:w="57" w:type="dxa"/>
          </w:tblCellMar>
        </w:tblPrEx>
        <w:trPr>
          <w:trHeight w:val="1142" w:hRule="atLeast"/>
        </w:trPr>
        <w:tc>
          <w:tcPr>
            <w:tcW w:w="683" w:type="dxa"/>
            <w:tcBorders>
              <w:top w:val="nil"/>
              <w:left w:val="single" w:color="auto" w:sz="4" w:space="0"/>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24</w:t>
            </w:r>
          </w:p>
        </w:tc>
        <w:tc>
          <w:tcPr>
            <w:tcW w:w="1537" w:type="dxa"/>
            <w:tcBorders>
              <w:top w:val="nil"/>
              <w:left w:val="nil"/>
              <w:bottom w:val="single" w:color="auto" w:sz="4" w:space="0"/>
              <w:right w:val="single" w:color="auto" w:sz="4" w:space="0"/>
            </w:tcBorders>
            <w:shd w:val="clear" w:color="000000" w:fill="FFFFFF"/>
            <w:vAlign w:val="center"/>
          </w:tcPr>
          <w:p>
            <w:pPr>
              <w:spacing w:line="0" w:lineRule="atLeast"/>
              <w:rPr>
                <w:rFonts w:ascii="Calibri" w:hAnsi="宋体" w:eastAsia="宋体" w:cs="宋体"/>
                <w:color w:val="000000"/>
                <w:sz w:val="21"/>
                <w:szCs w:val="21"/>
              </w:rPr>
            </w:pPr>
            <w:r>
              <w:rPr>
                <w:rFonts w:ascii="Calibri" w:hAnsi="宋体" w:eastAsia="宋体" w:cs="宋体"/>
                <w:color w:val="000000"/>
                <w:sz w:val="21"/>
                <w:szCs w:val="21"/>
              </w:rPr>
              <w:t>春融锦苑</w:t>
            </w:r>
          </w:p>
        </w:tc>
        <w:tc>
          <w:tcPr>
            <w:tcW w:w="938"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洛龙街道</w:t>
            </w:r>
          </w:p>
        </w:tc>
        <w:tc>
          <w:tcPr>
            <w:tcW w:w="924"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房地产</w:t>
            </w:r>
          </w:p>
        </w:tc>
        <w:tc>
          <w:tcPr>
            <w:tcW w:w="812"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续建</w:t>
            </w:r>
          </w:p>
        </w:tc>
        <w:tc>
          <w:tcPr>
            <w:tcW w:w="1049"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2019-2021</w:t>
            </w:r>
          </w:p>
        </w:tc>
        <w:tc>
          <w:tcPr>
            <w:tcW w:w="3206" w:type="dxa"/>
            <w:tcBorders>
              <w:top w:val="nil"/>
              <w:left w:val="nil"/>
              <w:bottom w:val="single" w:color="auto" w:sz="4" w:space="0"/>
              <w:right w:val="single" w:color="auto" w:sz="4" w:space="0"/>
            </w:tcBorders>
            <w:shd w:val="clear" w:color="000000" w:fill="FFFFFF"/>
            <w:vAlign w:val="center"/>
          </w:tcPr>
          <w:p>
            <w:pPr>
              <w:spacing w:line="0" w:lineRule="atLeast"/>
              <w:rPr>
                <w:rFonts w:ascii="Calibri" w:hAnsi="宋体" w:eastAsia="宋体" w:cs="宋体"/>
                <w:color w:val="000000"/>
                <w:sz w:val="21"/>
                <w:szCs w:val="21"/>
              </w:rPr>
            </w:pPr>
            <w:r>
              <w:rPr>
                <w:rFonts w:ascii="Calibri" w:hAnsi="宋体" w:eastAsia="宋体" w:cs="宋体"/>
                <w:color w:val="000000"/>
                <w:sz w:val="21"/>
                <w:szCs w:val="21"/>
              </w:rPr>
              <w:t>该项目用地面积约35亩，总建筑面积约4万平方米（其中商业面积约1万平方米，住宅面积约3万平方米）。</w:t>
            </w:r>
          </w:p>
        </w:tc>
        <w:tc>
          <w:tcPr>
            <w:tcW w:w="840"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53300</w:t>
            </w:r>
          </w:p>
        </w:tc>
        <w:tc>
          <w:tcPr>
            <w:tcW w:w="756" w:type="dxa"/>
            <w:gridSpan w:val="2"/>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0</w:t>
            </w:r>
          </w:p>
        </w:tc>
        <w:tc>
          <w:tcPr>
            <w:tcW w:w="796"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53300</w:t>
            </w:r>
          </w:p>
        </w:tc>
        <w:tc>
          <w:tcPr>
            <w:tcW w:w="813"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50000</w:t>
            </w:r>
          </w:p>
        </w:tc>
        <w:tc>
          <w:tcPr>
            <w:tcW w:w="854"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3300</w:t>
            </w:r>
          </w:p>
        </w:tc>
        <w:tc>
          <w:tcPr>
            <w:tcW w:w="756"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p>
        </w:tc>
        <w:tc>
          <w:tcPr>
            <w:tcW w:w="252"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p>
        </w:tc>
      </w:tr>
      <w:tr>
        <w:tblPrEx>
          <w:tblCellMar>
            <w:top w:w="0" w:type="dxa"/>
            <w:left w:w="57" w:type="dxa"/>
            <w:bottom w:w="0" w:type="dxa"/>
            <w:right w:w="57" w:type="dxa"/>
          </w:tblCellMar>
        </w:tblPrEx>
        <w:trPr>
          <w:trHeight w:val="1142" w:hRule="atLeast"/>
        </w:trPr>
        <w:tc>
          <w:tcPr>
            <w:tcW w:w="683" w:type="dxa"/>
            <w:tcBorders>
              <w:top w:val="nil"/>
              <w:left w:val="single" w:color="auto" w:sz="4" w:space="0"/>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25</w:t>
            </w:r>
          </w:p>
        </w:tc>
        <w:tc>
          <w:tcPr>
            <w:tcW w:w="1537" w:type="dxa"/>
            <w:tcBorders>
              <w:top w:val="nil"/>
              <w:left w:val="nil"/>
              <w:bottom w:val="single" w:color="auto" w:sz="4" w:space="0"/>
              <w:right w:val="single" w:color="auto" w:sz="4" w:space="0"/>
            </w:tcBorders>
            <w:shd w:val="clear" w:color="000000" w:fill="FFFFFF"/>
            <w:vAlign w:val="center"/>
          </w:tcPr>
          <w:p>
            <w:pPr>
              <w:spacing w:line="0" w:lineRule="atLeast"/>
              <w:rPr>
                <w:rFonts w:ascii="Calibri" w:hAnsi="宋体" w:eastAsia="宋体" w:cs="宋体"/>
                <w:color w:val="000000"/>
                <w:sz w:val="21"/>
                <w:szCs w:val="21"/>
              </w:rPr>
            </w:pPr>
            <w:r>
              <w:rPr>
                <w:rFonts w:ascii="Calibri" w:hAnsi="宋体" w:eastAsia="宋体" w:cs="宋体"/>
                <w:color w:val="000000"/>
                <w:sz w:val="21"/>
                <w:szCs w:val="21"/>
              </w:rPr>
              <w:t>平安不动产铭璟苑（A6）</w:t>
            </w:r>
          </w:p>
        </w:tc>
        <w:tc>
          <w:tcPr>
            <w:tcW w:w="938"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洛龙街道</w:t>
            </w:r>
          </w:p>
        </w:tc>
        <w:tc>
          <w:tcPr>
            <w:tcW w:w="924"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房地产</w:t>
            </w:r>
          </w:p>
        </w:tc>
        <w:tc>
          <w:tcPr>
            <w:tcW w:w="812"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续建</w:t>
            </w:r>
          </w:p>
        </w:tc>
        <w:tc>
          <w:tcPr>
            <w:tcW w:w="1049"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2019-2022</w:t>
            </w:r>
          </w:p>
        </w:tc>
        <w:tc>
          <w:tcPr>
            <w:tcW w:w="3206" w:type="dxa"/>
            <w:tcBorders>
              <w:top w:val="nil"/>
              <w:left w:val="nil"/>
              <w:bottom w:val="single" w:color="auto" w:sz="4" w:space="0"/>
              <w:right w:val="single" w:color="auto" w:sz="4" w:space="0"/>
            </w:tcBorders>
            <w:shd w:val="clear" w:color="000000" w:fill="FFFFFF"/>
            <w:vAlign w:val="center"/>
          </w:tcPr>
          <w:p>
            <w:pPr>
              <w:spacing w:line="0" w:lineRule="atLeast"/>
              <w:rPr>
                <w:rFonts w:ascii="Calibri" w:hAnsi="宋体" w:eastAsia="宋体" w:cs="宋体"/>
                <w:color w:val="000000"/>
                <w:sz w:val="21"/>
                <w:szCs w:val="21"/>
              </w:rPr>
            </w:pPr>
            <w:r>
              <w:rPr>
                <w:rFonts w:ascii="Calibri" w:hAnsi="宋体" w:eastAsia="宋体" w:cs="宋体"/>
                <w:color w:val="000000"/>
                <w:sz w:val="21"/>
                <w:szCs w:val="21"/>
              </w:rPr>
              <w:t>主要建设内容为15幢住宅及底层配套建筑和1幢幼儿园组成，总建筑面积310396平方米。</w:t>
            </w:r>
          </w:p>
        </w:tc>
        <w:tc>
          <w:tcPr>
            <w:tcW w:w="840"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250536</w:t>
            </w:r>
          </w:p>
        </w:tc>
        <w:tc>
          <w:tcPr>
            <w:tcW w:w="756" w:type="dxa"/>
            <w:gridSpan w:val="2"/>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0</w:t>
            </w:r>
          </w:p>
        </w:tc>
        <w:tc>
          <w:tcPr>
            <w:tcW w:w="796"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250536</w:t>
            </w:r>
          </w:p>
        </w:tc>
        <w:tc>
          <w:tcPr>
            <w:tcW w:w="813"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150000</w:t>
            </w:r>
          </w:p>
        </w:tc>
        <w:tc>
          <w:tcPr>
            <w:tcW w:w="854"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100536</w:t>
            </w:r>
          </w:p>
        </w:tc>
        <w:tc>
          <w:tcPr>
            <w:tcW w:w="756"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p>
        </w:tc>
        <w:tc>
          <w:tcPr>
            <w:tcW w:w="252"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p>
        </w:tc>
      </w:tr>
      <w:tr>
        <w:tblPrEx>
          <w:tblCellMar>
            <w:top w:w="0" w:type="dxa"/>
            <w:left w:w="57" w:type="dxa"/>
            <w:bottom w:w="0" w:type="dxa"/>
            <w:right w:w="57" w:type="dxa"/>
          </w:tblCellMar>
        </w:tblPrEx>
        <w:trPr>
          <w:trHeight w:val="1142" w:hRule="atLeast"/>
        </w:trPr>
        <w:tc>
          <w:tcPr>
            <w:tcW w:w="683" w:type="dxa"/>
            <w:tcBorders>
              <w:top w:val="nil"/>
              <w:left w:val="single" w:color="auto" w:sz="4" w:space="0"/>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26</w:t>
            </w:r>
          </w:p>
        </w:tc>
        <w:tc>
          <w:tcPr>
            <w:tcW w:w="1537" w:type="dxa"/>
            <w:tcBorders>
              <w:top w:val="nil"/>
              <w:left w:val="nil"/>
              <w:bottom w:val="single" w:color="auto" w:sz="4" w:space="0"/>
              <w:right w:val="single" w:color="auto" w:sz="4" w:space="0"/>
            </w:tcBorders>
            <w:shd w:val="clear" w:color="000000" w:fill="FFFFFF"/>
            <w:vAlign w:val="center"/>
          </w:tcPr>
          <w:p>
            <w:pPr>
              <w:spacing w:line="0" w:lineRule="atLeast"/>
              <w:rPr>
                <w:rFonts w:ascii="Calibri" w:hAnsi="宋体" w:eastAsia="宋体" w:cs="宋体"/>
                <w:color w:val="000000"/>
                <w:sz w:val="21"/>
                <w:szCs w:val="21"/>
              </w:rPr>
            </w:pPr>
            <w:r>
              <w:rPr>
                <w:rFonts w:ascii="Calibri" w:hAnsi="宋体" w:eastAsia="宋体" w:cs="宋体"/>
                <w:color w:val="000000"/>
                <w:sz w:val="21"/>
                <w:szCs w:val="21"/>
              </w:rPr>
              <w:t>平安不动产苑擎云苑（A9）</w:t>
            </w:r>
          </w:p>
        </w:tc>
        <w:tc>
          <w:tcPr>
            <w:tcW w:w="938"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洛龙街道</w:t>
            </w:r>
          </w:p>
        </w:tc>
        <w:tc>
          <w:tcPr>
            <w:tcW w:w="924"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房地产</w:t>
            </w:r>
          </w:p>
        </w:tc>
        <w:tc>
          <w:tcPr>
            <w:tcW w:w="812"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续建</w:t>
            </w:r>
          </w:p>
        </w:tc>
        <w:tc>
          <w:tcPr>
            <w:tcW w:w="1049"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2019-2020</w:t>
            </w:r>
          </w:p>
        </w:tc>
        <w:tc>
          <w:tcPr>
            <w:tcW w:w="3206" w:type="dxa"/>
            <w:tcBorders>
              <w:top w:val="nil"/>
              <w:left w:val="nil"/>
              <w:bottom w:val="single" w:color="auto" w:sz="4" w:space="0"/>
              <w:right w:val="single" w:color="auto" w:sz="4" w:space="0"/>
            </w:tcBorders>
            <w:shd w:val="clear" w:color="000000" w:fill="FFFFFF"/>
            <w:vAlign w:val="center"/>
          </w:tcPr>
          <w:p>
            <w:pPr>
              <w:spacing w:line="0" w:lineRule="atLeast"/>
              <w:rPr>
                <w:rFonts w:ascii="Calibri" w:hAnsi="宋体" w:eastAsia="宋体" w:cs="宋体"/>
                <w:color w:val="000000"/>
                <w:sz w:val="21"/>
                <w:szCs w:val="21"/>
              </w:rPr>
            </w:pPr>
            <w:r>
              <w:rPr>
                <w:rFonts w:ascii="Calibri" w:hAnsi="宋体" w:eastAsia="宋体" w:cs="宋体"/>
                <w:color w:val="000000"/>
                <w:sz w:val="21"/>
                <w:szCs w:val="21"/>
              </w:rPr>
              <w:t>主要建设内容为11栋8层建筑、19栋3层合院，1栋3层幼儿园。总建筑面积97145.92平方米。</w:t>
            </w:r>
          </w:p>
        </w:tc>
        <w:tc>
          <w:tcPr>
            <w:tcW w:w="840"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124271</w:t>
            </w:r>
          </w:p>
        </w:tc>
        <w:tc>
          <w:tcPr>
            <w:tcW w:w="756" w:type="dxa"/>
            <w:gridSpan w:val="2"/>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0</w:t>
            </w:r>
          </w:p>
        </w:tc>
        <w:tc>
          <w:tcPr>
            <w:tcW w:w="796"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124271</w:t>
            </w:r>
          </w:p>
        </w:tc>
        <w:tc>
          <w:tcPr>
            <w:tcW w:w="813"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124271</w:t>
            </w:r>
          </w:p>
        </w:tc>
        <w:tc>
          <w:tcPr>
            <w:tcW w:w="854"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0</w:t>
            </w:r>
          </w:p>
        </w:tc>
        <w:tc>
          <w:tcPr>
            <w:tcW w:w="756"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p>
        </w:tc>
        <w:tc>
          <w:tcPr>
            <w:tcW w:w="252"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p>
        </w:tc>
      </w:tr>
      <w:tr>
        <w:tblPrEx>
          <w:tblCellMar>
            <w:top w:w="0" w:type="dxa"/>
            <w:left w:w="57" w:type="dxa"/>
            <w:bottom w:w="0" w:type="dxa"/>
            <w:right w:w="57" w:type="dxa"/>
          </w:tblCellMar>
        </w:tblPrEx>
        <w:trPr>
          <w:trHeight w:val="1142" w:hRule="atLeast"/>
        </w:trPr>
        <w:tc>
          <w:tcPr>
            <w:tcW w:w="683" w:type="dxa"/>
            <w:tcBorders>
              <w:top w:val="nil"/>
              <w:left w:val="single" w:color="auto" w:sz="4" w:space="0"/>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27</w:t>
            </w:r>
          </w:p>
        </w:tc>
        <w:tc>
          <w:tcPr>
            <w:tcW w:w="1537" w:type="dxa"/>
            <w:tcBorders>
              <w:top w:val="nil"/>
              <w:left w:val="nil"/>
              <w:bottom w:val="single" w:color="auto" w:sz="4" w:space="0"/>
              <w:right w:val="single" w:color="auto" w:sz="4" w:space="0"/>
            </w:tcBorders>
            <w:shd w:val="clear" w:color="000000" w:fill="FFFFFF"/>
            <w:vAlign w:val="center"/>
          </w:tcPr>
          <w:p>
            <w:pPr>
              <w:spacing w:line="0" w:lineRule="atLeast"/>
              <w:rPr>
                <w:rFonts w:ascii="Calibri" w:hAnsi="宋体" w:eastAsia="宋体" w:cs="宋体"/>
                <w:color w:val="000000"/>
                <w:sz w:val="21"/>
                <w:szCs w:val="21"/>
              </w:rPr>
            </w:pPr>
            <w:r>
              <w:rPr>
                <w:rFonts w:ascii="Calibri" w:hAnsi="宋体" w:eastAsia="宋体" w:cs="宋体"/>
                <w:color w:val="000000"/>
                <w:sz w:val="21"/>
                <w:szCs w:val="21"/>
              </w:rPr>
              <w:t>平安不动产檀院（（A1）</w:t>
            </w:r>
          </w:p>
        </w:tc>
        <w:tc>
          <w:tcPr>
            <w:tcW w:w="938"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洛龙街道</w:t>
            </w:r>
          </w:p>
        </w:tc>
        <w:tc>
          <w:tcPr>
            <w:tcW w:w="924"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房地产</w:t>
            </w:r>
          </w:p>
        </w:tc>
        <w:tc>
          <w:tcPr>
            <w:tcW w:w="812"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续建</w:t>
            </w:r>
          </w:p>
        </w:tc>
        <w:tc>
          <w:tcPr>
            <w:tcW w:w="1049"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2019-2023</w:t>
            </w:r>
          </w:p>
        </w:tc>
        <w:tc>
          <w:tcPr>
            <w:tcW w:w="3206" w:type="dxa"/>
            <w:tcBorders>
              <w:top w:val="nil"/>
              <w:left w:val="nil"/>
              <w:bottom w:val="single" w:color="auto" w:sz="4" w:space="0"/>
              <w:right w:val="single" w:color="auto" w:sz="4" w:space="0"/>
            </w:tcBorders>
            <w:shd w:val="clear" w:color="000000" w:fill="FFFFFF"/>
            <w:vAlign w:val="center"/>
          </w:tcPr>
          <w:p>
            <w:pPr>
              <w:spacing w:line="0" w:lineRule="atLeast"/>
              <w:rPr>
                <w:rFonts w:ascii="Calibri" w:hAnsi="宋体" w:eastAsia="宋体" w:cs="宋体"/>
                <w:color w:val="000000"/>
                <w:sz w:val="21"/>
                <w:szCs w:val="21"/>
              </w:rPr>
            </w:pPr>
            <w:r>
              <w:rPr>
                <w:rFonts w:ascii="Calibri" w:hAnsi="宋体" w:eastAsia="宋体" w:cs="宋体"/>
                <w:color w:val="000000"/>
                <w:sz w:val="21"/>
                <w:szCs w:val="21"/>
              </w:rPr>
              <w:t>商业住宅及公共服务设施，总建筑面积200023平方米。</w:t>
            </w:r>
          </w:p>
        </w:tc>
        <w:tc>
          <w:tcPr>
            <w:tcW w:w="840"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164483</w:t>
            </w:r>
          </w:p>
        </w:tc>
        <w:tc>
          <w:tcPr>
            <w:tcW w:w="756" w:type="dxa"/>
            <w:gridSpan w:val="2"/>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0</w:t>
            </w:r>
          </w:p>
        </w:tc>
        <w:tc>
          <w:tcPr>
            <w:tcW w:w="796"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164483</w:t>
            </w:r>
          </w:p>
        </w:tc>
        <w:tc>
          <w:tcPr>
            <w:tcW w:w="813"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100000</w:t>
            </w:r>
          </w:p>
        </w:tc>
        <w:tc>
          <w:tcPr>
            <w:tcW w:w="854"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64483</w:t>
            </w:r>
          </w:p>
        </w:tc>
        <w:tc>
          <w:tcPr>
            <w:tcW w:w="756"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p>
        </w:tc>
        <w:tc>
          <w:tcPr>
            <w:tcW w:w="252"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p>
        </w:tc>
      </w:tr>
      <w:tr>
        <w:tblPrEx>
          <w:tblCellMar>
            <w:top w:w="0" w:type="dxa"/>
            <w:left w:w="57" w:type="dxa"/>
            <w:bottom w:w="0" w:type="dxa"/>
            <w:right w:w="57" w:type="dxa"/>
          </w:tblCellMar>
        </w:tblPrEx>
        <w:trPr>
          <w:trHeight w:val="1142" w:hRule="atLeast"/>
        </w:trPr>
        <w:tc>
          <w:tcPr>
            <w:tcW w:w="683" w:type="dxa"/>
            <w:tcBorders>
              <w:top w:val="nil"/>
              <w:left w:val="single" w:color="auto" w:sz="4" w:space="0"/>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28</w:t>
            </w:r>
          </w:p>
        </w:tc>
        <w:tc>
          <w:tcPr>
            <w:tcW w:w="1537" w:type="dxa"/>
            <w:tcBorders>
              <w:top w:val="nil"/>
              <w:left w:val="nil"/>
              <w:bottom w:val="single" w:color="auto" w:sz="4" w:space="0"/>
              <w:right w:val="single" w:color="auto" w:sz="4" w:space="0"/>
            </w:tcBorders>
            <w:shd w:val="clear" w:color="000000" w:fill="FFFFFF"/>
            <w:vAlign w:val="center"/>
          </w:tcPr>
          <w:p>
            <w:pPr>
              <w:spacing w:line="0" w:lineRule="atLeast"/>
              <w:rPr>
                <w:rFonts w:ascii="Calibri" w:hAnsi="宋体" w:eastAsia="宋体" w:cs="宋体"/>
                <w:color w:val="000000"/>
                <w:sz w:val="21"/>
                <w:szCs w:val="21"/>
              </w:rPr>
            </w:pPr>
            <w:r>
              <w:rPr>
                <w:rFonts w:ascii="Calibri" w:hAnsi="宋体" w:eastAsia="宋体" w:cs="宋体"/>
                <w:color w:val="000000"/>
                <w:sz w:val="21"/>
                <w:szCs w:val="21"/>
              </w:rPr>
              <w:t>平安不动产棠园（A2）</w:t>
            </w:r>
          </w:p>
        </w:tc>
        <w:tc>
          <w:tcPr>
            <w:tcW w:w="938"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洛龙街道</w:t>
            </w:r>
          </w:p>
        </w:tc>
        <w:tc>
          <w:tcPr>
            <w:tcW w:w="924"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房地产</w:t>
            </w:r>
          </w:p>
        </w:tc>
        <w:tc>
          <w:tcPr>
            <w:tcW w:w="812"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续建</w:t>
            </w:r>
          </w:p>
        </w:tc>
        <w:tc>
          <w:tcPr>
            <w:tcW w:w="1049"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2019-2021</w:t>
            </w:r>
          </w:p>
        </w:tc>
        <w:tc>
          <w:tcPr>
            <w:tcW w:w="3206" w:type="dxa"/>
            <w:tcBorders>
              <w:top w:val="nil"/>
              <w:left w:val="nil"/>
              <w:bottom w:val="single" w:color="auto" w:sz="4" w:space="0"/>
              <w:right w:val="single" w:color="auto" w:sz="4" w:space="0"/>
            </w:tcBorders>
            <w:shd w:val="clear" w:color="000000" w:fill="FFFFFF"/>
            <w:vAlign w:val="center"/>
          </w:tcPr>
          <w:p>
            <w:pPr>
              <w:spacing w:line="0" w:lineRule="atLeast"/>
              <w:rPr>
                <w:rFonts w:ascii="Calibri" w:hAnsi="宋体" w:eastAsia="宋体" w:cs="宋体"/>
                <w:color w:val="000000"/>
                <w:sz w:val="21"/>
                <w:szCs w:val="21"/>
              </w:rPr>
            </w:pPr>
            <w:r>
              <w:rPr>
                <w:rFonts w:ascii="Calibri" w:hAnsi="宋体" w:eastAsia="宋体" w:cs="宋体"/>
                <w:color w:val="000000"/>
                <w:sz w:val="21"/>
                <w:szCs w:val="21"/>
              </w:rPr>
              <w:t>商业住宅及公共服务设施，总建筑面积86544平方米。</w:t>
            </w:r>
          </w:p>
        </w:tc>
        <w:tc>
          <w:tcPr>
            <w:tcW w:w="840"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71185</w:t>
            </w:r>
          </w:p>
        </w:tc>
        <w:tc>
          <w:tcPr>
            <w:tcW w:w="756" w:type="dxa"/>
            <w:gridSpan w:val="2"/>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0</w:t>
            </w:r>
          </w:p>
        </w:tc>
        <w:tc>
          <w:tcPr>
            <w:tcW w:w="796"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71185</w:t>
            </w:r>
          </w:p>
        </w:tc>
        <w:tc>
          <w:tcPr>
            <w:tcW w:w="813"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50000</w:t>
            </w:r>
          </w:p>
        </w:tc>
        <w:tc>
          <w:tcPr>
            <w:tcW w:w="854"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21185</w:t>
            </w:r>
          </w:p>
        </w:tc>
        <w:tc>
          <w:tcPr>
            <w:tcW w:w="756"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p>
        </w:tc>
        <w:tc>
          <w:tcPr>
            <w:tcW w:w="252"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p>
        </w:tc>
      </w:tr>
      <w:tr>
        <w:tblPrEx>
          <w:tblCellMar>
            <w:top w:w="0" w:type="dxa"/>
            <w:left w:w="57" w:type="dxa"/>
            <w:bottom w:w="0" w:type="dxa"/>
            <w:right w:w="57" w:type="dxa"/>
          </w:tblCellMar>
        </w:tblPrEx>
        <w:trPr>
          <w:trHeight w:val="1142" w:hRule="atLeast"/>
        </w:trPr>
        <w:tc>
          <w:tcPr>
            <w:tcW w:w="683" w:type="dxa"/>
            <w:tcBorders>
              <w:top w:val="nil"/>
              <w:left w:val="single" w:color="auto" w:sz="4" w:space="0"/>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29</w:t>
            </w:r>
          </w:p>
        </w:tc>
        <w:tc>
          <w:tcPr>
            <w:tcW w:w="1537" w:type="dxa"/>
            <w:tcBorders>
              <w:top w:val="nil"/>
              <w:left w:val="nil"/>
              <w:bottom w:val="single" w:color="auto" w:sz="4" w:space="0"/>
              <w:right w:val="single" w:color="auto" w:sz="4" w:space="0"/>
            </w:tcBorders>
            <w:shd w:val="clear" w:color="000000" w:fill="FFFFFF"/>
            <w:vAlign w:val="center"/>
          </w:tcPr>
          <w:p>
            <w:pPr>
              <w:spacing w:line="0" w:lineRule="atLeast"/>
              <w:rPr>
                <w:rFonts w:ascii="Calibri" w:hAnsi="宋体" w:eastAsia="宋体" w:cs="宋体"/>
                <w:color w:val="000000"/>
                <w:sz w:val="21"/>
                <w:szCs w:val="21"/>
              </w:rPr>
            </w:pPr>
            <w:r>
              <w:rPr>
                <w:rFonts w:ascii="Calibri" w:hAnsi="宋体" w:eastAsia="宋体" w:cs="宋体"/>
                <w:color w:val="000000"/>
                <w:sz w:val="21"/>
                <w:szCs w:val="21"/>
              </w:rPr>
              <w:t>锦艺华都花园项目</w:t>
            </w:r>
          </w:p>
        </w:tc>
        <w:tc>
          <w:tcPr>
            <w:tcW w:w="938"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洛龙街道</w:t>
            </w:r>
          </w:p>
        </w:tc>
        <w:tc>
          <w:tcPr>
            <w:tcW w:w="924"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房地产</w:t>
            </w:r>
          </w:p>
        </w:tc>
        <w:tc>
          <w:tcPr>
            <w:tcW w:w="812"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续建</w:t>
            </w:r>
          </w:p>
        </w:tc>
        <w:tc>
          <w:tcPr>
            <w:tcW w:w="1049"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2019-2025</w:t>
            </w:r>
          </w:p>
        </w:tc>
        <w:tc>
          <w:tcPr>
            <w:tcW w:w="3206" w:type="dxa"/>
            <w:tcBorders>
              <w:top w:val="nil"/>
              <w:left w:val="nil"/>
              <w:bottom w:val="single" w:color="auto" w:sz="4" w:space="0"/>
              <w:right w:val="single" w:color="auto" w:sz="4" w:space="0"/>
            </w:tcBorders>
            <w:shd w:val="clear" w:color="000000" w:fill="FFFFFF"/>
            <w:vAlign w:val="center"/>
          </w:tcPr>
          <w:p>
            <w:pPr>
              <w:spacing w:line="0" w:lineRule="atLeast"/>
              <w:rPr>
                <w:rFonts w:ascii="Calibri" w:hAnsi="宋体" w:eastAsia="宋体" w:cs="宋体"/>
                <w:color w:val="000000"/>
                <w:sz w:val="21"/>
                <w:szCs w:val="21"/>
              </w:rPr>
            </w:pPr>
            <w:r>
              <w:rPr>
                <w:rFonts w:ascii="Calibri" w:hAnsi="宋体" w:eastAsia="宋体" w:cs="宋体"/>
                <w:color w:val="000000"/>
                <w:sz w:val="21"/>
                <w:szCs w:val="21"/>
              </w:rPr>
              <w:t>项目位于驼峰街以南、清河路以西、祥园街以北，占地195亩，建筑体量约56万平方米。拟打造一个服务于“一带一路”、中老泰经济走廊及中老磨憨—磨丁跨境经济合作区的互动中心及总部基地。</w:t>
            </w:r>
          </w:p>
        </w:tc>
        <w:tc>
          <w:tcPr>
            <w:tcW w:w="840"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350000</w:t>
            </w:r>
          </w:p>
        </w:tc>
        <w:tc>
          <w:tcPr>
            <w:tcW w:w="756" w:type="dxa"/>
            <w:gridSpan w:val="2"/>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0</w:t>
            </w:r>
          </w:p>
        </w:tc>
        <w:tc>
          <w:tcPr>
            <w:tcW w:w="796"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350000</w:t>
            </w:r>
          </w:p>
        </w:tc>
        <w:tc>
          <w:tcPr>
            <w:tcW w:w="813"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200000</w:t>
            </w:r>
          </w:p>
        </w:tc>
        <w:tc>
          <w:tcPr>
            <w:tcW w:w="854"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150000</w:t>
            </w:r>
          </w:p>
        </w:tc>
        <w:tc>
          <w:tcPr>
            <w:tcW w:w="756"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p>
        </w:tc>
        <w:tc>
          <w:tcPr>
            <w:tcW w:w="252"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p>
        </w:tc>
      </w:tr>
      <w:tr>
        <w:tblPrEx>
          <w:tblCellMar>
            <w:top w:w="0" w:type="dxa"/>
            <w:left w:w="57" w:type="dxa"/>
            <w:bottom w:w="0" w:type="dxa"/>
            <w:right w:w="57" w:type="dxa"/>
          </w:tblCellMar>
        </w:tblPrEx>
        <w:trPr>
          <w:trHeight w:val="1142" w:hRule="atLeast"/>
        </w:trPr>
        <w:tc>
          <w:tcPr>
            <w:tcW w:w="683" w:type="dxa"/>
            <w:tcBorders>
              <w:top w:val="nil"/>
              <w:left w:val="single" w:color="auto" w:sz="4" w:space="0"/>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30</w:t>
            </w:r>
          </w:p>
        </w:tc>
        <w:tc>
          <w:tcPr>
            <w:tcW w:w="1537" w:type="dxa"/>
            <w:tcBorders>
              <w:top w:val="nil"/>
              <w:left w:val="nil"/>
              <w:bottom w:val="single" w:color="auto" w:sz="4" w:space="0"/>
              <w:right w:val="single" w:color="auto" w:sz="4" w:space="0"/>
            </w:tcBorders>
            <w:shd w:val="clear" w:color="000000" w:fill="FFFFFF"/>
            <w:vAlign w:val="center"/>
          </w:tcPr>
          <w:p>
            <w:pPr>
              <w:spacing w:line="0" w:lineRule="atLeast"/>
              <w:rPr>
                <w:rFonts w:ascii="Calibri" w:hAnsi="宋体" w:eastAsia="宋体" w:cs="宋体"/>
                <w:color w:val="000000"/>
                <w:sz w:val="21"/>
                <w:szCs w:val="21"/>
              </w:rPr>
            </w:pPr>
            <w:r>
              <w:rPr>
                <w:rFonts w:ascii="Calibri" w:hAnsi="宋体" w:eastAsia="宋体" w:cs="宋体"/>
                <w:color w:val="000000"/>
                <w:sz w:val="21"/>
                <w:szCs w:val="21"/>
              </w:rPr>
              <w:t>昆明紫光芯云产业园高端科技人才配套项目</w:t>
            </w:r>
          </w:p>
        </w:tc>
        <w:tc>
          <w:tcPr>
            <w:tcW w:w="938"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洛龙街道</w:t>
            </w:r>
          </w:p>
        </w:tc>
        <w:tc>
          <w:tcPr>
            <w:tcW w:w="924"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房地产</w:t>
            </w:r>
          </w:p>
        </w:tc>
        <w:tc>
          <w:tcPr>
            <w:tcW w:w="812"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续建</w:t>
            </w:r>
          </w:p>
        </w:tc>
        <w:tc>
          <w:tcPr>
            <w:tcW w:w="1049"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2019-2023</w:t>
            </w:r>
          </w:p>
        </w:tc>
        <w:tc>
          <w:tcPr>
            <w:tcW w:w="3206" w:type="dxa"/>
            <w:tcBorders>
              <w:top w:val="nil"/>
              <w:left w:val="nil"/>
              <w:bottom w:val="single" w:color="auto" w:sz="4" w:space="0"/>
              <w:right w:val="single" w:color="auto" w:sz="4" w:space="0"/>
            </w:tcBorders>
            <w:shd w:val="clear" w:color="000000" w:fill="FFFFFF"/>
            <w:vAlign w:val="center"/>
          </w:tcPr>
          <w:p>
            <w:pPr>
              <w:spacing w:line="0" w:lineRule="atLeast"/>
              <w:rPr>
                <w:rFonts w:ascii="Calibri" w:hAnsi="宋体" w:eastAsia="宋体" w:cs="宋体"/>
                <w:color w:val="000000"/>
                <w:sz w:val="21"/>
                <w:szCs w:val="21"/>
              </w:rPr>
            </w:pPr>
            <w:r>
              <w:rPr>
                <w:rFonts w:ascii="Calibri" w:hAnsi="宋体" w:eastAsia="宋体" w:cs="宋体"/>
                <w:color w:val="000000"/>
                <w:sz w:val="21"/>
                <w:szCs w:val="21"/>
              </w:rPr>
              <w:t>总用地面积39744.54平方米，总建筑面积85061平方米，容积率4.38，建筑密度50%，规划为商业金融用地。</w:t>
            </w:r>
          </w:p>
        </w:tc>
        <w:tc>
          <w:tcPr>
            <w:tcW w:w="840"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100000</w:t>
            </w:r>
          </w:p>
        </w:tc>
        <w:tc>
          <w:tcPr>
            <w:tcW w:w="756" w:type="dxa"/>
            <w:gridSpan w:val="2"/>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0</w:t>
            </w:r>
          </w:p>
        </w:tc>
        <w:tc>
          <w:tcPr>
            <w:tcW w:w="796"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100000</w:t>
            </w:r>
          </w:p>
        </w:tc>
        <w:tc>
          <w:tcPr>
            <w:tcW w:w="813"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60000</w:t>
            </w:r>
          </w:p>
        </w:tc>
        <w:tc>
          <w:tcPr>
            <w:tcW w:w="854"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40000</w:t>
            </w:r>
          </w:p>
        </w:tc>
        <w:tc>
          <w:tcPr>
            <w:tcW w:w="756"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p>
        </w:tc>
        <w:tc>
          <w:tcPr>
            <w:tcW w:w="252"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p>
        </w:tc>
      </w:tr>
      <w:tr>
        <w:tblPrEx>
          <w:tblCellMar>
            <w:top w:w="0" w:type="dxa"/>
            <w:left w:w="57" w:type="dxa"/>
            <w:bottom w:w="0" w:type="dxa"/>
            <w:right w:w="57" w:type="dxa"/>
          </w:tblCellMar>
        </w:tblPrEx>
        <w:trPr>
          <w:trHeight w:val="1142" w:hRule="atLeast"/>
        </w:trPr>
        <w:tc>
          <w:tcPr>
            <w:tcW w:w="683" w:type="dxa"/>
            <w:tcBorders>
              <w:top w:val="nil"/>
              <w:left w:val="single" w:color="auto" w:sz="4" w:space="0"/>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31</w:t>
            </w:r>
          </w:p>
        </w:tc>
        <w:tc>
          <w:tcPr>
            <w:tcW w:w="1537" w:type="dxa"/>
            <w:tcBorders>
              <w:top w:val="nil"/>
              <w:left w:val="nil"/>
              <w:bottom w:val="single" w:color="auto" w:sz="4" w:space="0"/>
              <w:right w:val="single" w:color="auto" w:sz="4" w:space="0"/>
            </w:tcBorders>
            <w:shd w:val="clear" w:color="000000" w:fill="FFFFFF"/>
            <w:vAlign w:val="center"/>
          </w:tcPr>
          <w:p>
            <w:pPr>
              <w:spacing w:line="0" w:lineRule="atLeast"/>
              <w:rPr>
                <w:rFonts w:ascii="Calibri" w:hAnsi="宋体" w:eastAsia="宋体" w:cs="宋体"/>
                <w:color w:val="000000"/>
                <w:sz w:val="21"/>
                <w:szCs w:val="21"/>
              </w:rPr>
            </w:pPr>
            <w:r>
              <w:rPr>
                <w:rFonts w:ascii="Calibri" w:hAnsi="宋体" w:eastAsia="宋体" w:cs="宋体"/>
                <w:color w:val="000000"/>
                <w:sz w:val="21"/>
                <w:szCs w:val="21"/>
              </w:rPr>
              <w:t>新区综合楼土地供应项目</w:t>
            </w:r>
          </w:p>
        </w:tc>
        <w:tc>
          <w:tcPr>
            <w:tcW w:w="938"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龙城街道</w:t>
            </w:r>
          </w:p>
        </w:tc>
        <w:tc>
          <w:tcPr>
            <w:tcW w:w="924"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房地产</w:t>
            </w:r>
          </w:p>
        </w:tc>
        <w:tc>
          <w:tcPr>
            <w:tcW w:w="812"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续建</w:t>
            </w:r>
          </w:p>
        </w:tc>
        <w:tc>
          <w:tcPr>
            <w:tcW w:w="1049"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2019-2021</w:t>
            </w:r>
          </w:p>
        </w:tc>
        <w:tc>
          <w:tcPr>
            <w:tcW w:w="3206" w:type="dxa"/>
            <w:tcBorders>
              <w:top w:val="nil"/>
              <w:left w:val="nil"/>
              <w:bottom w:val="single" w:color="auto" w:sz="4" w:space="0"/>
              <w:right w:val="single" w:color="auto" w:sz="4" w:space="0"/>
            </w:tcBorders>
            <w:shd w:val="clear" w:color="000000" w:fill="FFFFFF"/>
            <w:vAlign w:val="center"/>
          </w:tcPr>
          <w:p>
            <w:pPr>
              <w:spacing w:line="0" w:lineRule="atLeast"/>
              <w:rPr>
                <w:rFonts w:ascii="Calibri" w:hAnsi="宋体" w:eastAsia="宋体" w:cs="宋体"/>
                <w:color w:val="000000"/>
                <w:sz w:val="21"/>
                <w:szCs w:val="21"/>
              </w:rPr>
            </w:pPr>
            <w:r>
              <w:rPr>
                <w:rFonts w:ascii="Calibri" w:hAnsi="宋体" w:eastAsia="宋体" w:cs="宋体"/>
                <w:color w:val="000000"/>
                <w:sz w:val="21"/>
                <w:szCs w:val="21"/>
              </w:rPr>
              <w:t>净用地面积55.59亩，用地性质为商业、商务地块，其中新区综合楼占地18.5亩，实际可开发用地面积37.09亩。容积率≤4，建筑密度≤40%，绿地率≥25%，建筑面积约10万平方米。</w:t>
            </w:r>
          </w:p>
        </w:tc>
        <w:tc>
          <w:tcPr>
            <w:tcW w:w="840"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50000</w:t>
            </w:r>
          </w:p>
        </w:tc>
        <w:tc>
          <w:tcPr>
            <w:tcW w:w="756" w:type="dxa"/>
            <w:gridSpan w:val="2"/>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0</w:t>
            </w:r>
          </w:p>
        </w:tc>
        <w:tc>
          <w:tcPr>
            <w:tcW w:w="796"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50000</w:t>
            </w:r>
          </w:p>
        </w:tc>
        <w:tc>
          <w:tcPr>
            <w:tcW w:w="813"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40000</w:t>
            </w:r>
          </w:p>
        </w:tc>
        <w:tc>
          <w:tcPr>
            <w:tcW w:w="854"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10000</w:t>
            </w:r>
          </w:p>
        </w:tc>
        <w:tc>
          <w:tcPr>
            <w:tcW w:w="756"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p>
        </w:tc>
        <w:tc>
          <w:tcPr>
            <w:tcW w:w="252"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p>
        </w:tc>
      </w:tr>
      <w:tr>
        <w:tblPrEx>
          <w:tblCellMar>
            <w:top w:w="0" w:type="dxa"/>
            <w:left w:w="57" w:type="dxa"/>
            <w:bottom w:w="0" w:type="dxa"/>
            <w:right w:w="57" w:type="dxa"/>
          </w:tblCellMar>
        </w:tblPrEx>
        <w:trPr>
          <w:trHeight w:val="1142" w:hRule="atLeast"/>
        </w:trPr>
        <w:tc>
          <w:tcPr>
            <w:tcW w:w="683" w:type="dxa"/>
            <w:tcBorders>
              <w:top w:val="nil"/>
              <w:left w:val="single" w:color="auto" w:sz="4" w:space="0"/>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32</w:t>
            </w:r>
          </w:p>
        </w:tc>
        <w:tc>
          <w:tcPr>
            <w:tcW w:w="1537" w:type="dxa"/>
            <w:tcBorders>
              <w:top w:val="nil"/>
              <w:left w:val="nil"/>
              <w:bottom w:val="single" w:color="auto" w:sz="4" w:space="0"/>
              <w:right w:val="single" w:color="auto" w:sz="4" w:space="0"/>
            </w:tcBorders>
            <w:shd w:val="clear" w:color="000000" w:fill="FFFFFF"/>
            <w:vAlign w:val="center"/>
          </w:tcPr>
          <w:p>
            <w:pPr>
              <w:spacing w:line="0" w:lineRule="atLeast"/>
              <w:rPr>
                <w:rFonts w:ascii="Calibri" w:hAnsi="宋体" w:eastAsia="宋体" w:cs="宋体"/>
                <w:color w:val="000000"/>
                <w:sz w:val="21"/>
                <w:szCs w:val="21"/>
              </w:rPr>
            </w:pPr>
            <w:r>
              <w:rPr>
                <w:rFonts w:ascii="Calibri" w:hAnsi="宋体" w:eastAsia="宋体" w:cs="宋体"/>
                <w:color w:val="000000"/>
                <w:sz w:val="21"/>
                <w:szCs w:val="21"/>
              </w:rPr>
              <w:t>呈贡钧皇格城市广场</w:t>
            </w:r>
          </w:p>
        </w:tc>
        <w:tc>
          <w:tcPr>
            <w:tcW w:w="938"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龙城街道</w:t>
            </w:r>
          </w:p>
        </w:tc>
        <w:tc>
          <w:tcPr>
            <w:tcW w:w="924"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房地产</w:t>
            </w:r>
          </w:p>
        </w:tc>
        <w:tc>
          <w:tcPr>
            <w:tcW w:w="812"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续建</w:t>
            </w:r>
          </w:p>
        </w:tc>
        <w:tc>
          <w:tcPr>
            <w:tcW w:w="1049"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2019-2022</w:t>
            </w:r>
          </w:p>
        </w:tc>
        <w:tc>
          <w:tcPr>
            <w:tcW w:w="3206" w:type="dxa"/>
            <w:tcBorders>
              <w:top w:val="nil"/>
              <w:left w:val="nil"/>
              <w:bottom w:val="single" w:color="auto" w:sz="4" w:space="0"/>
              <w:right w:val="single" w:color="auto" w:sz="4" w:space="0"/>
            </w:tcBorders>
            <w:shd w:val="clear" w:color="000000" w:fill="FFFFFF"/>
            <w:vAlign w:val="center"/>
          </w:tcPr>
          <w:p>
            <w:pPr>
              <w:spacing w:line="0" w:lineRule="atLeast"/>
              <w:rPr>
                <w:rFonts w:ascii="Calibri" w:hAnsi="宋体" w:eastAsia="宋体" w:cs="宋体"/>
                <w:color w:val="000000"/>
                <w:sz w:val="21"/>
                <w:szCs w:val="21"/>
              </w:rPr>
            </w:pPr>
            <w:r>
              <w:rPr>
                <w:rFonts w:ascii="Calibri" w:hAnsi="宋体" w:eastAsia="宋体" w:cs="宋体"/>
                <w:color w:val="000000"/>
                <w:sz w:val="21"/>
                <w:szCs w:val="21"/>
              </w:rPr>
              <w:t>净用地面积45.65亩，总建筑面积13.2万平米，拟建集商业办公、酒店、生鲜超市为一体的城市广场。地块规划性质为商业金融用地，容积率2.99，建筑密度0.20，绿地率25%，南高北低呈坡地状态，地块高差约25米左右。</w:t>
            </w:r>
          </w:p>
        </w:tc>
        <w:tc>
          <w:tcPr>
            <w:tcW w:w="840"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40000</w:t>
            </w:r>
          </w:p>
        </w:tc>
        <w:tc>
          <w:tcPr>
            <w:tcW w:w="756" w:type="dxa"/>
            <w:gridSpan w:val="2"/>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0</w:t>
            </w:r>
          </w:p>
        </w:tc>
        <w:tc>
          <w:tcPr>
            <w:tcW w:w="796"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40000</w:t>
            </w:r>
          </w:p>
        </w:tc>
        <w:tc>
          <w:tcPr>
            <w:tcW w:w="813"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20000</w:t>
            </w:r>
          </w:p>
        </w:tc>
        <w:tc>
          <w:tcPr>
            <w:tcW w:w="854"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20000</w:t>
            </w:r>
          </w:p>
        </w:tc>
        <w:tc>
          <w:tcPr>
            <w:tcW w:w="756"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p>
        </w:tc>
        <w:tc>
          <w:tcPr>
            <w:tcW w:w="252"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p>
        </w:tc>
      </w:tr>
      <w:tr>
        <w:tblPrEx>
          <w:tblCellMar>
            <w:top w:w="0" w:type="dxa"/>
            <w:left w:w="57" w:type="dxa"/>
            <w:bottom w:w="0" w:type="dxa"/>
            <w:right w:w="57" w:type="dxa"/>
          </w:tblCellMar>
        </w:tblPrEx>
        <w:trPr>
          <w:trHeight w:val="1142" w:hRule="atLeast"/>
        </w:trPr>
        <w:tc>
          <w:tcPr>
            <w:tcW w:w="683" w:type="dxa"/>
            <w:tcBorders>
              <w:top w:val="nil"/>
              <w:left w:val="single" w:color="auto" w:sz="4" w:space="0"/>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33</w:t>
            </w:r>
          </w:p>
        </w:tc>
        <w:tc>
          <w:tcPr>
            <w:tcW w:w="1537" w:type="dxa"/>
            <w:tcBorders>
              <w:top w:val="nil"/>
              <w:left w:val="nil"/>
              <w:bottom w:val="single" w:color="auto" w:sz="4" w:space="0"/>
              <w:right w:val="single" w:color="auto" w:sz="4" w:space="0"/>
            </w:tcBorders>
            <w:shd w:val="clear" w:color="000000" w:fill="FFFFFF"/>
            <w:vAlign w:val="center"/>
          </w:tcPr>
          <w:p>
            <w:pPr>
              <w:spacing w:line="0" w:lineRule="atLeast"/>
              <w:rPr>
                <w:rFonts w:ascii="Calibri" w:hAnsi="宋体" w:eastAsia="宋体" w:cs="宋体"/>
                <w:color w:val="000000"/>
                <w:sz w:val="21"/>
                <w:szCs w:val="21"/>
              </w:rPr>
            </w:pPr>
            <w:r>
              <w:rPr>
                <w:rFonts w:ascii="Calibri" w:hAnsi="宋体" w:eastAsia="宋体" w:cs="宋体"/>
                <w:color w:val="000000"/>
                <w:sz w:val="21"/>
                <w:szCs w:val="21"/>
              </w:rPr>
              <w:t>环河路以西省城投化债项目</w:t>
            </w:r>
          </w:p>
        </w:tc>
        <w:tc>
          <w:tcPr>
            <w:tcW w:w="938"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斗南街道</w:t>
            </w:r>
          </w:p>
        </w:tc>
        <w:tc>
          <w:tcPr>
            <w:tcW w:w="924"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房地产</w:t>
            </w:r>
          </w:p>
        </w:tc>
        <w:tc>
          <w:tcPr>
            <w:tcW w:w="812"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续建</w:t>
            </w:r>
          </w:p>
        </w:tc>
        <w:tc>
          <w:tcPr>
            <w:tcW w:w="1049"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2020-2028</w:t>
            </w:r>
          </w:p>
        </w:tc>
        <w:tc>
          <w:tcPr>
            <w:tcW w:w="3206" w:type="dxa"/>
            <w:tcBorders>
              <w:top w:val="nil"/>
              <w:left w:val="nil"/>
              <w:bottom w:val="single" w:color="auto" w:sz="4" w:space="0"/>
              <w:right w:val="single" w:color="auto" w:sz="4" w:space="0"/>
            </w:tcBorders>
            <w:shd w:val="clear" w:color="000000" w:fill="FFFFFF"/>
            <w:vAlign w:val="center"/>
          </w:tcPr>
          <w:p>
            <w:pPr>
              <w:spacing w:line="0" w:lineRule="atLeast"/>
              <w:rPr>
                <w:rFonts w:ascii="Calibri" w:hAnsi="宋体" w:eastAsia="宋体" w:cs="宋体"/>
                <w:color w:val="000000"/>
                <w:sz w:val="21"/>
                <w:szCs w:val="21"/>
              </w:rPr>
            </w:pPr>
            <w:r>
              <w:rPr>
                <w:rFonts w:ascii="Calibri" w:hAnsi="宋体" w:eastAsia="宋体" w:cs="宋体"/>
                <w:color w:val="000000"/>
                <w:sz w:val="21"/>
                <w:szCs w:val="21"/>
              </w:rPr>
              <w:t>该片区规划在斗南片区近环湖东路近600亩用地。</w:t>
            </w:r>
          </w:p>
        </w:tc>
        <w:tc>
          <w:tcPr>
            <w:tcW w:w="840"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600000</w:t>
            </w:r>
          </w:p>
        </w:tc>
        <w:tc>
          <w:tcPr>
            <w:tcW w:w="756" w:type="dxa"/>
            <w:gridSpan w:val="2"/>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0</w:t>
            </w:r>
          </w:p>
        </w:tc>
        <w:tc>
          <w:tcPr>
            <w:tcW w:w="796"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600000</w:t>
            </w:r>
          </w:p>
        </w:tc>
        <w:tc>
          <w:tcPr>
            <w:tcW w:w="813"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0</w:t>
            </w:r>
          </w:p>
        </w:tc>
        <w:tc>
          <w:tcPr>
            <w:tcW w:w="854"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300000</w:t>
            </w:r>
          </w:p>
        </w:tc>
        <w:tc>
          <w:tcPr>
            <w:tcW w:w="756"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p>
        </w:tc>
        <w:tc>
          <w:tcPr>
            <w:tcW w:w="252"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p>
        </w:tc>
      </w:tr>
      <w:tr>
        <w:tblPrEx>
          <w:tblCellMar>
            <w:top w:w="0" w:type="dxa"/>
            <w:left w:w="57" w:type="dxa"/>
            <w:bottom w:w="0" w:type="dxa"/>
            <w:right w:w="57" w:type="dxa"/>
          </w:tblCellMar>
        </w:tblPrEx>
        <w:trPr>
          <w:trHeight w:val="1142" w:hRule="atLeast"/>
        </w:trPr>
        <w:tc>
          <w:tcPr>
            <w:tcW w:w="683" w:type="dxa"/>
            <w:tcBorders>
              <w:top w:val="nil"/>
              <w:left w:val="single" w:color="auto" w:sz="4" w:space="0"/>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34</w:t>
            </w:r>
          </w:p>
        </w:tc>
        <w:tc>
          <w:tcPr>
            <w:tcW w:w="1537" w:type="dxa"/>
            <w:tcBorders>
              <w:top w:val="nil"/>
              <w:left w:val="nil"/>
              <w:bottom w:val="single" w:color="auto" w:sz="4" w:space="0"/>
              <w:right w:val="single" w:color="auto" w:sz="4" w:space="0"/>
            </w:tcBorders>
            <w:shd w:val="clear" w:color="000000" w:fill="FFFFFF"/>
            <w:vAlign w:val="center"/>
          </w:tcPr>
          <w:p>
            <w:pPr>
              <w:spacing w:line="0" w:lineRule="atLeast"/>
              <w:rPr>
                <w:rFonts w:ascii="Calibri" w:hAnsi="宋体" w:eastAsia="宋体" w:cs="宋体"/>
                <w:color w:val="000000"/>
                <w:sz w:val="21"/>
                <w:szCs w:val="21"/>
              </w:rPr>
            </w:pPr>
            <w:r>
              <w:rPr>
                <w:rFonts w:ascii="Calibri" w:hAnsi="宋体" w:eastAsia="宋体" w:cs="宋体"/>
                <w:color w:val="000000"/>
                <w:sz w:val="21"/>
                <w:szCs w:val="21"/>
              </w:rPr>
              <w:t>中通世纪商务中心</w:t>
            </w:r>
          </w:p>
        </w:tc>
        <w:tc>
          <w:tcPr>
            <w:tcW w:w="938"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吴家营街道</w:t>
            </w:r>
          </w:p>
        </w:tc>
        <w:tc>
          <w:tcPr>
            <w:tcW w:w="924"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房地产</w:t>
            </w:r>
          </w:p>
        </w:tc>
        <w:tc>
          <w:tcPr>
            <w:tcW w:w="812"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续建</w:t>
            </w:r>
          </w:p>
        </w:tc>
        <w:tc>
          <w:tcPr>
            <w:tcW w:w="1049"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2019-2023</w:t>
            </w:r>
          </w:p>
        </w:tc>
        <w:tc>
          <w:tcPr>
            <w:tcW w:w="3206" w:type="dxa"/>
            <w:tcBorders>
              <w:top w:val="nil"/>
              <w:left w:val="nil"/>
              <w:bottom w:val="single" w:color="auto" w:sz="4" w:space="0"/>
              <w:right w:val="single" w:color="auto" w:sz="4" w:space="0"/>
            </w:tcBorders>
            <w:shd w:val="clear" w:color="000000" w:fill="FFFFFF"/>
            <w:vAlign w:val="center"/>
          </w:tcPr>
          <w:p>
            <w:pPr>
              <w:spacing w:line="0" w:lineRule="atLeast"/>
              <w:rPr>
                <w:rFonts w:ascii="Calibri" w:hAnsi="宋体" w:eastAsia="宋体" w:cs="宋体"/>
                <w:color w:val="000000"/>
                <w:sz w:val="21"/>
                <w:szCs w:val="21"/>
              </w:rPr>
            </w:pPr>
            <w:r>
              <w:rPr>
                <w:rFonts w:ascii="Calibri" w:hAnsi="宋体" w:eastAsia="宋体" w:cs="宋体"/>
                <w:color w:val="000000"/>
                <w:sz w:val="21"/>
                <w:szCs w:val="21"/>
              </w:rPr>
              <w:t>商业，项目总建筑面积约42万平方米。</w:t>
            </w:r>
          </w:p>
        </w:tc>
        <w:tc>
          <w:tcPr>
            <w:tcW w:w="840"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156236</w:t>
            </w:r>
          </w:p>
        </w:tc>
        <w:tc>
          <w:tcPr>
            <w:tcW w:w="756" w:type="dxa"/>
            <w:gridSpan w:val="2"/>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0</w:t>
            </w:r>
          </w:p>
        </w:tc>
        <w:tc>
          <w:tcPr>
            <w:tcW w:w="796"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156236</w:t>
            </w:r>
          </w:p>
        </w:tc>
        <w:tc>
          <w:tcPr>
            <w:tcW w:w="813"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50000</w:t>
            </w:r>
          </w:p>
        </w:tc>
        <w:tc>
          <w:tcPr>
            <w:tcW w:w="854"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106236</w:t>
            </w:r>
          </w:p>
        </w:tc>
        <w:tc>
          <w:tcPr>
            <w:tcW w:w="756"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p>
        </w:tc>
        <w:tc>
          <w:tcPr>
            <w:tcW w:w="252"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p>
        </w:tc>
      </w:tr>
      <w:tr>
        <w:tblPrEx>
          <w:tblCellMar>
            <w:top w:w="0" w:type="dxa"/>
            <w:left w:w="57" w:type="dxa"/>
            <w:bottom w:w="0" w:type="dxa"/>
            <w:right w:w="57" w:type="dxa"/>
          </w:tblCellMar>
        </w:tblPrEx>
        <w:trPr>
          <w:trHeight w:val="1142" w:hRule="atLeast"/>
        </w:trPr>
        <w:tc>
          <w:tcPr>
            <w:tcW w:w="683" w:type="dxa"/>
            <w:tcBorders>
              <w:top w:val="nil"/>
              <w:left w:val="single" w:color="auto" w:sz="4" w:space="0"/>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35</w:t>
            </w:r>
          </w:p>
        </w:tc>
        <w:tc>
          <w:tcPr>
            <w:tcW w:w="1537" w:type="dxa"/>
            <w:tcBorders>
              <w:top w:val="nil"/>
              <w:left w:val="nil"/>
              <w:bottom w:val="single" w:color="auto" w:sz="4" w:space="0"/>
              <w:right w:val="single" w:color="auto" w:sz="4" w:space="0"/>
            </w:tcBorders>
            <w:shd w:val="clear" w:color="000000" w:fill="FFFFFF"/>
            <w:vAlign w:val="center"/>
          </w:tcPr>
          <w:p>
            <w:pPr>
              <w:spacing w:line="0" w:lineRule="atLeast"/>
              <w:rPr>
                <w:rFonts w:ascii="Calibri" w:hAnsi="宋体" w:eastAsia="宋体" w:cs="宋体"/>
                <w:color w:val="000000"/>
                <w:sz w:val="21"/>
                <w:szCs w:val="21"/>
              </w:rPr>
            </w:pPr>
            <w:r>
              <w:rPr>
                <w:rFonts w:ascii="Calibri" w:hAnsi="宋体" w:eastAsia="宋体" w:cs="宋体"/>
                <w:color w:val="000000"/>
                <w:sz w:val="21"/>
                <w:szCs w:val="21"/>
              </w:rPr>
              <w:t>花卉产业园区配套服务项目一期</w:t>
            </w:r>
          </w:p>
        </w:tc>
        <w:tc>
          <w:tcPr>
            <w:tcW w:w="938"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斗南街道</w:t>
            </w:r>
          </w:p>
        </w:tc>
        <w:tc>
          <w:tcPr>
            <w:tcW w:w="924"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农业产业发展</w:t>
            </w:r>
          </w:p>
        </w:tc>
        <w:tc>
          <w:tcPr>
            <w:tcW w:w="812"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续建</w:t>
            </w:r>
          </w:p>
        </w:tc>
        <w:tc>
          <w:tcPr>
            <w:tcW w:w="1049"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2019-2025</w:t>
            </w:r>
          </w:p>
        </w:tc>
        <w:tc>
          <w:tcPr>
            <w:tcW w:w="3206" w:type="dxa"/>
            <w:tcBorders>
              <w:top w:val="nil"/>
              <w:left w:val="nil"/>
              <w:bottom w:val="single" w:color="auto" w:sz="4" w:space="0"/>
              <w:right w:val="single" w:color="auto" w:sz="4" w:space="0"/>
            </w:tcBorders>
            <w:shd w:val="clear" w:color="000000" w:fill="FFFFFF"/>
            <w:vAlign w:val="center"/>
          </w:tcPr>
          <w:p>
            <w:pPr>
              <w:spacing w:line="0" w:lineRule="atLeast"/>
              <w:rPr>
                <w:rFonts w:ascii="Calibri" w:hAnsi="宋体" w:eastAsia="宋体" w:cs="宋体"/>
                <w:color w:val="000000"/>
                <w:sz w:val="21"/>
                <w:szCs w:val="21"/>
              </w:rPr>
            </w:pPr>
            <w:r>
              <w:rPr>
                <w:rFonts w:ascii="Calibri" w:hAnsi="宋体" w:eastAsia="宋体" w:cs="宋体"/>
                <w:color w:val="000000"/>
                <w:sz w:val="21"/>
                <w:szCs w:val="21"/>
              </w:rPr>
              <w:t>花卉产业配套服务项目一期是花卉特色小镇建设重点推进项目，配套冷链物流及金融商务服务区。项目北临金桂街，南接梅子现状村庄，西临古滇路，东临现状小梅子村庄，净用地约90亩（不含49亩绿化用地）。</w:t>
            </w:r>
          </w:p>
        </w:tc>
        <w:tc>
          <w:tcPr>
            <w:tcW w:w="840"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187000</w:t>
            </w:r>
          </w:p>
        </w:tc>
        <w:tc>
          <w:tcPr>
            <w:tcW w:w="357"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0</w:t>
            </w:r>
          </w:p>
        </w:tc>
        <w:tc>
          <w:tcPr>
            <w:tcW w:w="1195" w:type="dxa"/>
            <w:gridSpan w:val="2"/>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187000</w:t>
            </w:r>
          </w:p>
        </w:tc>
        <w:tc>
          <w:tcPr>
            <w:tcW w:w="813"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90000</w:t>
            </w:r>
          </w:p>
        </w:tc>
        <w:tc>
          <w:tcPr>
            <w:tcW w:w="854"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97000</w:t>
            </w:r>
          </w:p>
        </w:tc>
        <w:tc>
          <w:tcPr>
            <w:tcW w:w="756"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p>
        </w:tc>
        <w:tc>
          <w:tcPr>
            <w:tcW w:w="252"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p>
        </w:tc>
      </w:tr>
      <w:tr>
        <w:tblPrEx>
          <w:tblCellMar>
            <w:top w:w="0" w:type="dxa"/>
            <w:left w:w="57" w:type="dxa"/>
            <w:bottom w:w="0" w:type="dxa"/>
            <w:right w:w="57" w:type="dxa"/>
          </w:tblCellMar>
        </w:tblPrEx>
        <w:trPr>
          <w:trHeight w:val="1142" w:hRule="atLeast"/>
        </w:trPr>
        <w:tc>
          <w:tcPr>
            <w:tcW w:w="683" w:type="dxa"/>
            <w:tcBorders>
              <w:top w:val="nil"/>
              <w:left w:val="single" w:color="auto" w:sz="4" w:space="0"/>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36</w:t>
            </w:r>
          </w:p>
        </w:tc>
        <w:tc>
          <w:tcPr>
            <w:tcW w:w="1537" w:type="dxa"/>
            <w:tcBorders>
              <w:top w:val="nil"/>
              <w:left w:val="nil"/>
              <w:bottom w:val="single" w:color="auto" w:sz="4" w:space="0"/>
              <w:right w:val="single" w:color="auto" w:sz="4" w:space="0"/>
            </w:tcBorders>
            <w:shd w:val="clear" w:color="000000" w:fill="FFFFFF"/>
            <w:vAlign w:val="center"/>
          </w:tcPr>
          <w:p>
            <w:pPr>
              <w:spacing w:line="0" w:lineRule="atLeast"/>
              <w:rPr>
                <w:rFonts w:ascii="Calibri" w:hAnsi="宋体" w:eastAsia="宋体" w:cs="宋体"/>
                <w:color w:val="000000"/>
                <w:sz w:val="21"/>
                <w:szCs w:val="21"/>
              </w:rPr>
            </w:pPr>
            <w:r>
              <w:rPr>
                <w:rFonts w:ascii="Calibri" w:hAnsi="宋体" w:eastAsia="宋体" w:cs="宋体"/>
                <w:color w:val="000000"/>
                <w:sz w:val="21"/>
                <w:szCs w:val="21"/>
              </w:rPr>
              <w:t>省农科院国际花卉产业创新研究展示项目</w:t>
            </w:r>
          </w:p>
        </w:tc>
        <w:tc>
          <w:tcPr>
            <w:tcW w:w="938"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斗南街道</w:t>
            </w:r>
          </w:p>
        </w:tc>
        <w:tc>
          <w:tcPr>
            <w:tcW w:w="924"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农业产业发展</w:t>
            </w:r>
          </w:p>
        </w:tc>
        <w:tc>
          <w:tcPr>
            <w:tcW w:w="812"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续建</w:t>
            </w:r>
          </w:p>
        </w:tc>
        <w:tc>
          <w:tcPr>
            <w:tcW w:w="1049"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2019-2020</w:t>
            </w:r>
          </w:p>
        </w:tc>
        <w:tc>
          <w:tcPr>
            <w:tcW w:w="3206" w:type="dxa"/>
            <w:tcBorders>
              <w:top w:val="nil"/>
              <w:left w:val="nil"/>
              <w:bottom w:val="single" w:color="auto" w:sz="4" w:space="0"/>
              <w:right w:val="single" w:color="auto" w:sz="4" w:space="0"/>
            </w:tcBorders>
            <w:shd w:val="clear" w:color="000000" w:fill="FFFFFF"/>
            <w:vAlign w:val="center"/>
          </w:tcPr>
          <w:p>
            <w:pPr>
              <w:spacing w:line="0" w:lineRule="atLeast"/>
              <w:rPr>
                <w:rFonts w:ascii="Calibri" w:hAnsi="宋体" w:eastAsia="宋体" w:cs="宋体"/>
                <w:color w:val="000000"/>
                <w:sz w:val="21"/>
                <w:szCs w:val="21"/>
              </w:rPr>
            </w:pPr>
            <w:r>
              <w:rPr>
                <w:rFonts w:ascii="Calibri" w:hAnsi="宋体" w:eastAsia="宋体" w:cs="宋体"/>
                <w:color w:val="000000"/>
                <w:sz w:val="21"/>
                <w:szCs w:val="21"/>
              </w:rPr>
              <w:t>国际花卉产业创新研究展示项目</w:t>
            </w:r>
          </w:p>
        </w:tc>
        <w:tc>
          <w:tcPr>
            <w:tcW w:w="840"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3000</w:t>
            </w:r>
          </w:p>
        </w:tc>
        <w:tc>
          <w:tcPr>
            <w:tcW w:w="357"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0</w:t>
            </w:r>
          </w:p>
        </w:tc>
        <w:tc>
          <w:tcPr>
            <w:tcW w:w="1195" w:type="dxa"/>
            <w:gridSpan w:val="2"/>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3000</w:t>
            </w:r>
          </w:p>
        </w:tc>
        <w:tc>
          <w:tcPr>
            <w:tcW w:w="813"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3000</w:t>
            </w:r>
          </w:p>
        </w:tc>
        <w:tc>
          <w:tcPr>
            <w:tcW w:w="854"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0</w:t>
            </w:r>
          </w:p>
        </w:tc>
        <w:tc>
          <w:tcPr>
            <w:tcW w:w="756"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p>
        </w:tc>
        <w:tc>
          <w:tcPr>
            <w:tcW w:w="252"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p>
        </w:tc>
      </w:tr>
      <w:tr>
        <w:tblPrEx>
          <w:tblCellMar>
            <w:top w:w="0" w:type="dxa"/>
            <w:left w:w="57" w:type="dxa"/>
            <w:bottom w:w="0" w:type="dxa"/>
            <w:right w:w="57" w:type="dxa"/>
          </w:tblCellMar>
        </w:tblPrEx>
        <w:trPr>
          <w:trHeight w:val="1142" w:hRule="atLeast"/>
        </w:trPr>
        <w:tc>
          <w:tcPr>
            <w:tcW w:w="683" w:type="dxa"/>
            <w:tcBorders>
              <w:top w:val="nil"/>
              <w:left w:val="single" w:color="auto" w:sz="4" w:space="0"/>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37</w:t>
            </w:r>
          </w:p>
        </w:tc>
        <w:tc>
          <w:tcPr>
            <w:tcW w:w="1537" w:type="dxa"/>
            <w:tcBorders>
              <w:top w:val="nil"/>
              <w:left w:val="nil"/>
              <w:bottom w:val="single" w:color="auto" w:sz="4" w:space="0"/>
              <w:right w:val="single" w:color="auto" w:sz="4" w:space="0"/>
            </w:tcBorders>
            <w:shd w:val="clear" w:color="000000" w:fill="FFFFFF"/>
            <w:vAlign w:val="center"/>
          </w:tcPr>
          <w:p>
            <w:pPr>
              <w:spacing w:line="0" w:lineRule="atLeast"/>
              <w:rPr>
                <w:rFonts w:ascii="Calibri" w:hAnsi="宋体" w:eastAsia="宋体" w:cs="宋体"/>
                <w:color w:val="000000"/>
                <w:sz w:val="21"/>
                <w:szCs w:val="21"/>
              </w:rPr>
            </w:pPr>
            <w:r>
              <w:rPr>
                <w:rFonts w:ascii="Calibri" w:hAnsi="宋体" w:eastAsia="宋体" w:cs="宋体"/>
                <w:color w:val="000000"/>
                <w:sz w:val="21"/>
                <w:szCs w:val="21"/>
              </w:rPr>
              <w:t>中韩生态城</w:t>
            </w:r>
          </w:p>
        </w:tc>
        <w:tc>
          <w:tcPr>
            <w:tcW w:w="938"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吴家营街道</w:t>
            </w:r>
          </w:p>
        </w:tc>
        <w:tc>
          <w:tcPr>
            <w:tcW w:w="924"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大健康</w:t>
            </w:r>
          </w:p>
        </w:tc>
        <w:tc>
          <w:tcPr>
            <w:tcW w:w="812"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续建</w:t>
            </w:r>
          </w:p>
        </w:tc>
        <w:tc>
          <w:tcPr>
            <w:tcW w:w="1049"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2019-2027</w:t>
            </w:r>
          </w:p>
        </w:tc>
        <w:tc>
          <w:tcPr>
            <w:tcW w:w="3206" w:type="dxa"/>
            <w:tcBorders>
              <w:top w:val="nil"/>
              <w:left w:val="nil"/>
              <w:bottom w:val="single" w:color="auto" w:sz="4" w:space="0"/>
              <w:right w:val="single" w:color="auto" w:sz="4" w:space="0"/>
            </w:tcBorders>
            <w:shd w:val="clear" w:color="000000" w:fill="FFFFFF"/>
            <w:vAlign w:val="center"/>
          </w:tcPr>
          <w:p>
            <w:pPr>
              <w:spacing w:line="0" w:lineRule="atLeast"/>
              <w:rPr>
                <w:rFonts w:ascii="Calibri" w:hAnsi="宋体" w:eastAsia="宋体" w:cs="宋体"/>
                <w:color w:val="000000"/>
                <w:sz w:val="21"/>
                <w:szCs w:val="21"/>
              </w:rPr>
            </w:pPr>
            <w:r>
              <w:rPr>
                <w:rFonts w:ascii="Calibri" w:hAnsi="宋体" w:eastAsia="宋体" w:cs="宋体"/>
                <w:color w:val="000000"/>
                <w:sz w:val="21"/>
                <w:szCs w:val="21"/>
              </w:rPr>
              <w:t>面积约233亩，计划引入大健康产业的亚洲领先企业，大型商场及五星级酒店。</w:t>
            </w:r>
          </w:p>
        </w:tc>
        <w:tc>
          <w:tcPr>
            <w:tcW w:w="840"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500000</w:t>
            </w:r>
          </w:p>
        </w:tc>
        <w:tc>
          <w:tcPr>
            <w:tcW w:w="357"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0</w:t>
            </w:r>
          </w:p>
        </w:tc>
        <w:tc>
          <w:tcPr>
            <w:tcW w:w="1195" w:type="dxa"/>
            <w:gridSpan w:val="2"/>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500000</w:t>
            </w:r>
          </w:p>
        </w:tc>
        <w:tc>
          <w:tcPr>
            <w:tcW w:w="813"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100000</w:t>
            </w:r>
          </w:p>
        </w:tc>
        <w:tc>
          <w:tcPr>
            <w:tcW w:w="854" w:type="dxa"/>
            <w:tcBorders>
              <w:top w:val="nil"/>
              <w:left w:val="single" w:color="auto" w:sz="4" w:space="0"/>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p>
        </w:tc>
        <w:tc>
          <w:tcPr>
            <w:tcW w:w="756"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p>
        </w:tc>
        <w:tc>
          <w:tcPr>
            <w:tcW w:w="252"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p>
        </w:tc>
      </w:tr>
      <w:tr>
        <w:tblPrEx>
          <w:tblCellMar>
            <w:top w:w="0" w:type="dxa"/>
            <w:left w:w="57" w:type="dxa"/>
            <w:bottom w:w="0" w:type="dxa"/>
            <w:right w:w="57" w:type="dxa"/>
          </w:tblCellMar>
        </w:tblPrEx>
        <w:trPr>
          <w:trHeight w:val="1142" w:hRule="atLeast"/>
        </w:trPr>
        <w:tc>
          <w:tcPr>
            <w:tcW w:w="683" w:type="dxa"/>
            <w:tcBorders>
              <w:top w:val="nil"/>
              <w:left w:val="single" w:color="auto" w:sz="4" w:space="0"/>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38</w:t>
            </w:r>
          </w:p>
        </w:tc>
        <w:tc>
          <w:tcPr>
            <w:tcW w:w="1537" w:type="dxa"/>
            <w:tcBorders>
              <w:top w:val="nil"/>
              <w:left w:val="nil"/>
              <w:bottom w:val="single" w:color="auto" w:sz="4" w:space="0"/>
              <w:right w:val="single" w:color="auto" w:sz="4" w:space="0"/>
            </w:tcBorders>
            <w:shd w:val="clear" w:color="000000" w:fill="FFFFFF"/>
            <w:vAlign w:val="center"/>
          </w:tcPr>
          <w:p>
            <w:pPr>
              <w:spacing w:line="240" w:lineRule="exact"/>
              <w:rPr>
                <w:rFonts w:ascii="Calibri" w:hAnsi="宋体" w:eastAsia="宋体" w:cs="宋体"/>
                <w:color w:val="000000"/>
                <w:sz w:val="21"/>
                <w:szCs w:val="21"/>
              </w:rPr>
            </w:pPr>
            <w:r>
              <w:rPr>
                <w:rFonts w:ascii="Calibri" w:hAnsi="宋体" w:eastAsia="宋体" w:cs="宋体"/>
                <w:color w:val="000000"/>
                <w:sz w:val="21"/>
                <w:szCs w:val="21"/>
              </w:rPr>
              <w:t>康美昆明健康城一期云南康美健康城中医药健康服务标准化示范基地项目</w:t>
            </w:r>
          </w:p>
        </w:tc>
        <w:tc>
          <w:tcPr>
            <w:tcW w:w="938"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信息产业园</w:t>
            </w:r>
          </w:p>
        </w:tc>
        <w:tc>
          <w:tcPr>
            <w:tcW w:w="924"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大健康</w:t>
            </w:r>
          </w:p>
        </w:tc>
        <w:tc>
          <w:tcPr>
            <w:tcW w:w="812"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续建</w:t>
            </w:r>
          </w:p>
        </w:tc>
        <w:tc>
          <w:tcPr>
            <w:tcW w:w="1049"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2019-2022</w:t>
            </w:r>
          </w:p>
        </w:tc>
        <w:tc>
          <w:tcPr>
            <w:tcW w:w="3206" w:type="dxa"/>
            <w:tcBorders>
              <w:top w:val="nil"/>
              <w:left w:val="nil"/>
              <w:bottom w:val="single" w:color="auto" w:sz="4" w:space="0"/>
              <w:right w:val="single" w:color="auto" w:sz="4" w:space="0"/>
            </w:tcBorders>
            <w:shd w:val="clear" w:color="000000" w:fill="FFFFFF"/>
            <w:vAlign w:val="center"/>
          </w:tcPr>
          <w:p>
            <w:pPr>
              <w:spacing w:line="240" w:lineRule="exact"/>
              <w:rPr>
                <w:rFonts w:ascii="Calibri" w:hAnsi="宋体" w:eastAsia="宋体" w:cs="宋体"/>
                <w:color w:val="000000"/>
                <w:sz w:val="21"/>
                <w:szCs w:val="21"/>
              </w:rPr>
            </w:pPr>
            <w:r>
              <w:rPr>
                <w:rFonts w:ascii="Calibri" w:hAnsi="宋体" w:eastAsia="宋体" w:cs="宋体"/>
                <w:color w:val="000000"/>
                <w:sz w:val="21"/>
                <w:szCs w:val="21"/>
              </w:rPr>
              <w:t>项目规划总用地面积15635.30平方米（23亩），总建筑面积42578.82平方米。规划内容包括：健康体验中心、药材展示中心、中医推拿体验中心、要就展示区、养生茶展示区。</w:t>
            </w:r>
          </w:p>
        </w:tc>
        <w:tc>
          <w:tcPr>
            <w:tcW w:w="840"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115000</w:t>
            </w:r>
          </w:p>
        </w:tc>
        <w:tc>
          <w:tcPr>
            <w:tcW w:w="357"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0</w:t>
            </w:r>
          </w:p>
        </w:tc>
        <w:tc>
          <w:tcPr>
            <w:tcW w:w="1195" w:type="dxa"/>
            <w:gridSpan w:val="2"/>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115000</w:t>
            </w:r>
          </w:p>
        </w:tc>
        <w:tc>
          <w:tcPr>
            <w:tcW w:w="813"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80000</w:t>
            </w:r>
          </w:p>
        </w:tc>
        <w:tc>
          <w:tcPr>
            <w:tcW w:w="854" w:type="dxa"/>
            <w:tcBorders>
              <w:top w:val="nil"/>
              <w:left w:val="single" w:color="auto" w:sz="4" w:space="0"/>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p>
        </w:tc>
        <w:tc>
          <w:tcPr>
            <w:tcW w:w="756"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p>
        </w:tc>
        <w:tc>
          <w:tcPr>
            <w:tcW w:w="252"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p>
        </w:tc>
      </w:tr>
      <w:tr>
        <w:tblPrEx>
          <w:tblCellMar>
            <w:top w:w="0" w:type="dxa"/>
            <w:left w:w="57" w:type="dxa"/>
            <w:bottom w:w="0" w:type="dxa"/>
            <w:right w:w="57" w:type="dxa"/>
          </w:tblCellMar>
        </w:tblPrEx>
        <w:trPr>
          <w:trHeight w:val="1142" w:hRule="atLeast"/>
        </w:trPr>
        <w:tc>
          <w:tcPr>
            <w:tcW w:w="683" w:type="dxa"/>
            <w:tcBorders>
              <w:top w:val="nil"/>
              <w:left w:val="single" w:color="auto" w:sz="4" w:space="0"/>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39</w:t>
            </w:r>
          </w:p>
        </w:tc>
        <w:tc>
          <w:tcPr>
            <w:tcW w:w="1537" w:type="dxa"/>
            <w:tcBorders>
              <w:top w:val="nil"/>
              <w:left w:val="nil"/>
              <w:bottom w:val="single" w:color="auto" w:sz="4" w:space="0"/>
              <w:right w:val="single" w:color="auto" w:sz="4" w:space="0"/>
            </w:tcBorders>
            <w:shd w:val="clear" w:color="000000" w:fill="FFFFFF"/>
            <w:vAlign w:val="center"/>
          </w:tcPr>
          <w:p>
            <w:pPr>
              <w:spacing w:line="240" w:lineRule="exact"/>
              <w:rPr>
                <w:rFonts w:ascii="Calibri" w:hAnsi="宋体" w:eastAsia="宋体" w:cs="宋体"/>
                <w:color w:val="000000"/>
                <w:sz w:val="21"/>
                <w:szCs w:val="21"/>
              </w:rPr>
            </w:pPr>
            <w:r>
              <w:rPr>
                <w:rFonts w:ascii="Calibri" w:hAnsi="宋体" w:eastAsia="宋体" w:cs="宋体"/>
                <w:color w:val="000000"/>
                <w:sz w:val="21"/>
                <w:szCs w:val="21"/>
              </w:rPr>
              <w:t>康美昆明健康城一期云南康美健康城智慧康养示范基地</w:t>
            </w:r>
          </w:p>
        </w:tc>
        <w:tc>
          <w:tcPr>
            <w:tcW w:w="938"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信息产业园</w:t>
            </w:r>
          </w:p>
        </w:tc>
        <w:tc>
          <w:tcPr>
            <w:tcW w:w="924"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大健康</w:t>
            </w:r>
          </w:p>
        </w:tc>
        <w:tc>
          <w:tcPr>
            <w:tcW w:w="812"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续建</w:t>
            </w:r>
          </w:p>
        </w:tc>
        <w:tc>
          <w:tcPr>
            <w:tcW w:w="1049"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2019-2022</w:t>
            </w:r>
          </w:p>
        </w:tc>
        <w:tc>
          <w:tcPr>
            <w:tcW w:w="3206" w:type="dxa"/>
            <w:tcBorders>
              <w:top w:val="nil"/>
              <w:left w:val="nil"/>
              <w:bottom w:val="single" w:color="auto" w:sz="4" w:space="0"/>
              <w:right w:val="single" w:color="auto" w:sz="4" w:space="0"/>
            </w:tcBorders>
            <w:shd w:val="clear" w:color="000000" w:fill="FFFFFF"/>
            <w:vAlign w:val="center"/>
          </w:tcPr>
          <w:p>
            <w:pPr>
              <w:spacing w:line="240" w:lineRule="exact"/>
              <w:rPr>
                <w:rFonts w:ascii="Calibri" w:hAnsi="宋体" w:eastAsia="宋体" w:cs="宋体"/>
                <w:color w:val="000000"/>
                <w:sz w:val="21"/>
                <w:szCs w:val="21"/>
              </w:rPr>
            </w:pPr>
            <w:r>
              <w:rPr>
                <w:rFonts w:ascii="Calibri" w:hAnsi="宋体" w:eastAsia="宋体" w:cs="宋体"/>
                <w:color w:val="000000"/>
                <w:sz w:val="21"/>
                <w:szCs w:val="21"/>
              </w:rPr>
              <w:t>用地面积约291亩，智慧康养住区、康养活动中心、疗养中心、智慧医疗服务站、智慧生活配套（含九年义务教育学校）。</w:t>
            </w:r>
          </w:p>
        </w:tc>
        <w:tc>
          <w:tcPr>
            <w:tcW w:w="840"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612000</w:t>
            </w:r>
          </w:p>
        </w:tc>
        <w:tc>
          <w:tcPr>
            <w:tcW w:w="357"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0</w:t>
            </w:r>
          </w:p>
        </w:tc>
        <w:tc>
          <w:tcPr>
            <w:tcW w:w="1195" w:type="dxa"/>
            <w:gridSpan w:val="2"/>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612000</w:t>
            </w:r>
          </w:p>
        </w:tc>
        <w:tc>
          <w:tcPr>
            <w:tcW w:w="813"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150000</w:t>
            </w:r>
          </w:p>
        </w:tc>
        <w:tc>
          <w:tcPr>
            <w:tcW w:w="854" w:type="dxa"/>
            <w:tcBorders>
              <w:top w:val="nil"/>
              <w:left w:val="single" w:color="auto" w:sz="4" w:space="0"/>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p>
        </w:tc>
        <w:tc>
          <w:tcPr>
            <w:tcW w:w="756"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p>
        </w:tc>
        <w:tc>
          <w:tcPr>
            <w:tcW w:w="252"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p>
        </w:tc>
      </w:tr>
      <w:tr>
        <w:tblPrEx>
          <w:tblCellMar>
            <w:top w:w="0" w:type="dxa"/>
            <w:left w:w="57" w:type="dxa"/>
            <w:bottom w:w="0" w:type="dxa"/>
            <w:right w:w="57" w:type="dxa"/>
          </w:tblCellMar>
        </w:tblPrEx>
        <w:trPr>
          <w:trHeight w:val="1142" w:hRule="atLeast"/>
        </w:trPr>
        <w:tc>
          <w:tcPr>
            <w:tcW w:w="683" w:type="dxa"/>
            <w:tcBorders>
              <w:top w:val="nil"/>
              <w:left w:val="single" w:color="auto" w:sz="4" w:space="0"/>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40</w:t>
            </w:r>
          </w:p>
        </w:tc>
        <w:tc>
          <w:tcPr>
            <w:tcW w:w="1537" w:type="dxa"/>
            <w:tcBorders>
              <w:top w:val="nil"/>
              <w:left w:val="nil"/>
              <w:bottom w:val="single" w:color="auto" w:sz="4" w:space="0"/>
              <w:right w:val="single" w:color="auto" w:sz="4" w:space="0"/>
            </w:tcBorders>
            <w:shd w:val="clear" w:color="000000" w:fill="FFFFFF"/>
            <w:vAlign w:val="center"/>
          </w:tcPr>
          <w:p>
            <w:pPr>
              <w:spacing w:line="240" w:lineRule="exact"/>
              <w:rPr>
                <w:rFonts w:ascii="Calibri" w:hAnsi="宋体" w:eastAsia="宋体" w:cs="宋体"/>
                <w:color w:val="000000"/>
                <w:sz w:val="21"/>
                <w:szCs w:val="21"/>
              </w:rPr>
            </w:pPr>
            <w:r>
              <w:rPr>
                <w:rFonts w:ascii="Calibri" w:hAnsi="宋体" w:eastAsia="宋体" w:cs="宋体"/>
                <w:color w:val="000000"/>
                <w:sz w:val="21"/>
                <w:szCs w:val="21"/>
              </w:rPr>
              <w:t>康美昆明健康城一期云南康美健康城大健康产业总部基地</w:t>
            </w:r>
          </w:p>
        </w:tc>
        <w:tc>
          <w:tcPr>
            <w:tcW w:w="938"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信息产业园</w:t>
            </w:r>
          </w:p>
        </w:tc>
        <w:tc>
          <w:tcPr>
            <w:tcW w:w="924"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大健康</w:t>
            </w:r>
          </w:p>
        </w:tc>
        <w:tc>
          <w:tcPr>
            <w:tcW w:w="812"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续建</w:t>
            </w:r>
          </w:p>
        </w:tc>
        <w:tc>
          <w:tcPr>
            <w:tcW w:w="1049"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2019-2022</w:t>
            </w:r>
          </w:p>
        </w:tc>
        <w:tc>
          <w:tcPr>
            <w:tcW w:w="3206" w:type="dxa"/>
            <w:tcBorders>
              <w:top w:val="nil"/>
              <w:left w:val="nil"/>
              <w:bottom w:val="single" w:color="auto" w:sz="4" w:space="0"/>
              <w:right w:val="single" w:color="auto" w:sz="4" w:space="0"/>
            </w:tcBorders>
            <w:shd w:val="clear" w:color="000000" w:fill="FFFFFF"/>
            <w:vAlign w:val="center"/>
          </w:tcPr>
          <w:p>
            <w:pPr>
              <w:spacing w:line="240" w:lineRule="exact"/>
              <w:rPr>
                <w:rFonts w:ascii="Calibri" w:hAnsi="宋体" w:eastAsia="宋体" w:cs="宋体"/>
                <w:color w:val="000000"/>
                <w:sz w:val="21"/>
                <w:szCs w:val="21"/>
              </w:rPr>
            </w:pPr>
            <w:r>
              <w:rPr>
                <w:rFonts w:ascii="Calibri" w:hAnsi="宋体" w:eastAsia="宋体" w:cs="宋体"/>
                <w:color w:val="000000"/>
                <w:sz w:val="21"/>
                <w:szCs w:val="21"/>
              </w:rPr>
              <w:t>项目用地面积约270亩，总部商务中心、健康智慧谷科研基地、健康产业孵化器、康养商业综合体、人才工作室、健康创客空间等。</w:t>
            </w:r>
          </w:p>
        </w:tc>
        <w:tc>
          <w:tcPr>
            <w:tcW w:w="840"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1600000</w:t>
            </w:r>
          </w:p>
        </w:tc>
        <w:tc>
          <w:tcPr>
            <w:tcW w:w="357"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0</w:t>
            </w:r>
          </w:p>
        </w:tc>
        <w:tc>
          <w:tcPr>
            <w:tcW w:w="1195" w:type="dxa"/>
            <w:gridSpan w:val="2"/>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1600000</w:t>
            </w:r>
          </w:p>
        </w:tc>
        <w:tc>
          <w:tcPr>
            <w:tcW w:w="813"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200000</w:t>
            </w:r>
          </w:p>
        </w:tc>
        <w:tc>
          <w:tcPr>
            <w:tcW w:w="854" w:type="dxa"/>
            <w:tcBorders>
              <w:top w:val="nil"/>
              <w:left w:val="single" w:color="auto" w:sz="4" w:space="0"/>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p>
        </w:tc>
        <w:tc>
          <w:tcPr>
            <w:tcW w:w="756"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p>
        </w:tc>
        <w:tc>
          <w:tcPr>
            <w:tcW w:w="252"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p>
        </w:tc>
      </w:tr>
      <w:tr>
        <w:tblPrEx>
          <w:tblCellMar>
            <w:top w:w="0" w:type="dxa"/>
            <w:left w:w="57" w:type="dxa"/>
            <w:bottom w:w="0" w:type="dxa"/>
            <w:right w:w="57" w:type="dxa"/>
          </w:tblCellMar>
        </w:tblPrEx>
        <w:trPr>
          <w:trHeight w:val="1142" w:hRule="atLeast"/>
        </w:trPr>
        <w:tc>
          <w:tcPr>
            <w:tcW w:w="683" w:type="dxa"/>
            <w:tcBorders>
              <w:top w:val="nil"/>
              <w:left w:val="single" w:color="auto" w:sz="4" w:space="0"/>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41</w:t>
            </w:r>
          </w:p>
        </w:tc>
        <w:tc>
          <w:tcPr>
            <w:tcW w:w="1537" w:type="dxa"/>
            <w:tcBorders>
              <w:top w:val="nil"/>
              <w:left w:val="nil"/>
              <w:bottom w:val="single" w:color="auto" w:sz="4" w:space="0"/>
              <w:right w:val="single" w:color="auto" w:sz="4" w:space="0"/>
            </w:tcBorders>
            <w:shd w:val="clear" w:color="000000" w:fill="FFFFFF"/>
            <w:vAlign w:val="center"/>
          </w:tcPr>
          <w:p>
            <w:pPr>
              <w:spacing w:line="240" w:lineRule="exact"/>
              <w:rPr>
                <w:rFonts w:ascii="Calibri" w:hAnsi="宋体" w:eastAsia="宋体" w:cs="宋体"/>
                <w:color w:val="000000"/>
                <w:sz w:val="21"/>
                <w:szCs w:val="21"/>
              </w:rPr>
            </w:pPr>
            <w:r>
              <w:rPr>
                <w:rFonts w:ascii="Calibri" w:hAnsi="宋体" w:eastAsia="宋体" w:cs="宋体"/>
                <w:color w:val="000000"/>
                <w:sz w:val="21"/>
                <w:szCs w:val="21"/>
              </w:rPr>
              <w:t>康美昆明健康城一期云南康美健康城“互联网”+大健康服务标准化（西南）产业研究基地</w:t>
            </w:r>
          </w:p>
        </w:tc>
        <w:tc>
          <w:tcPr>
            <w:tcW w:w="938"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信息产业园</w:t>
            </w:r>
          </w:p>
        </w:tc>
        <w:tc>
          <w:tcPr>
            <w:tcW w:w="924"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大健康</w:t>
            </w:r>
          </w:p>
        </w:tc>
        <w:tc>
          <w:tcPr>
            <w:tcW w:w="812"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续建</w:t>
            </w:r>
          </w:p>
        </w:tc>
        <w:tc>
          <w:tcPr>
            <w:tcW w:w="1049"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2019-2022</w:t>
            </w:r>
          </w:p>
        </w:tc>
        <w:tc>
          <w:tcPr>
            <w:tcW w:w="3206" w:type="dxa"/>
            <w:tcBorders>
              <w:top w:val="nil"/>
              <w:left w:val="nil"/>
              <w:bottom w:val="single" w:color="auto" w:sz="4" w:space="0"/>
              <w:right w:val="single" w:color="auto" w:sz="4" w:space="0"/>
            </w:tcBorders>
            <w:shd w:val="clear" w:color="000000" w:fill="FFFFFF"/>
            <w:vAlign w:val="center"/>
          </w:tcPr>
          <w:p>
            <w:pPr>
              <w:spacing w:line="0" w:lineRule="atLeast"/>
              <w:rPr>
                <w:rFonts w:ascii="Calibri" w:hAnsi="宋体" w:eastAsia="宋体" w:cs="宋体"/>
                <w:color w:val="000000"/>
                <w:sz w:val="21"/>
                <w:szCs w:val="21"/>
              </w:rPr>
            </w:pPr>
            <w:r>
              <w:rPr>
                <w:rFonts w:ascii="Calibri" w:hAnsi="宋体" w:eastAsia="宋体" w:cs="宋体"/>
                <w:color w:val="000000"/>
                <w:sz w:val="21"/>
                <w:szCs w:val="21"/>
              </w:rPr>
              <w:t>东南亚民族医药体验馆、健康体验中心。</w:t>
            </w:r>
          </w:p>
        </w:tc>
        <w:tc>
          <w:tcPr>
            <w:tcW w:w="840"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306000</w:t>
            </w:r>
          </w:p>
        </w:tc>
        <w:tc>
          <w:tcPr>
            <w:tcW w:w="357"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0</w:t>
            </w:r>
          </w:p>
        </w:tc>
        <w:tc>
          <w:tcPr>
            <w:tcW w:w="1195" w:type="dxa"/>
            <w:gridSpan w:val="2"/>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306000</w:t>
            </w:r>
          </w:p>
        </w:tc>
        <w:tc>
          <w:tcPr>
            <w:tcW w:w="813"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100000</w:t>
            </w:r>
          </w:p>
        </w:tc>
        <w:tc>
          <w:tcPr>
            <w:tcW w:w="854" w:type="dxa"/>
            <w:tcBorders>
              <w:top w:val="nil"/>
              <w:left w:val="single" w:color="auto" w:sz="4" w:space="0"/>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p>
        </w:tc>
        <w:tc>
          <w:tcPr>
            <w:tcW w:w="756"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p>
        </w:tc>
        <w:tc>
          <w:tcPr>
            <w:tcW w:w="252"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p>
        </w:tc>
      </w:tr>
      <w:tr>
        <w:tblPrEx>
          <w:tblCellMar>
            <w:top w:w="0" w:type="dxa"/>
            <w:left w:w="57" w:type="dxa"/>
            <w:bottom w:w="0" w:type="dxa"/>
            <w:right w:w="57" w:type="dxa"/>
          </w:tblCellMar>
        </w:tblPrEx>
        <w:trPr>
          <w:trHeight w:val="1142" w:hRule="atLeast"/>
        </w:trPr>
        <w:tc>
          <w:tcPr>
            <w:tcW w:w="683" w:type="dxa"/>
            <w:tcBorders>
              <w:top w:val="nil"/>
              <w:left w:val="single" w:color="auto" w:sz="4" w:space="0"/>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42</w:t>
            </w:r>
          </w:p>
        </w:tc>
        <w:tc>
          <w:tcPr>
            <w:tcW w:w="1537" w:type="dxa"/>
            <w:tcBorders>
              <w:top w:val="nil"/>
              <w:left w:val="nil"/>
              <w:bottom w:val="single" w:color="auto" w:sz="4" w:space="0"/>
              <w:right w:val="single" w:color="auto" w:sz="4" w:space="0"/>
            </w:tcBorders>
            <w:shd w:val="clear" w:color="000000" w:fill="FFFFFF"/>
            <w:vAlign w:val="center"/>
          </w:tcPr>
          <w:p>
            <w:pPr>
              <w:spacing w:line="0" w:lineRule="atLeast"/>
              <w:rPr>
                <w:rFonts w:ascii="Calibri" w:hAnsi="宋体" w:eastAsia="宋体" w:cs="宋体"/>
                <w:color w:val="000000"/>
                <w:sz w:val="21"/>
                <w:szCs w:val="21"/>
              </w:rPr>
            </w:pPr>
            <w:r>
              <w:rPr>
                <w:rFonts w:ascii="Calibri" w:hAnsi="宋体" w:eastAsia="宋体" w:cs="宋体"/>
                <w:color w:val="000000"/>
                <w:sz w:val="21"/>
                <w:szCs w:val="21"/>
              </w:rPr>
              <w:t>宝相大健康产业园产业项目</w:t>
            </w:r>
          </w:p>
        </w:tc>
        <w:tc>
          <w:tcPr>
            <w:tcW w:w="938"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信息产业园</w:t>
            </w:r>
          </w:p>
        </w:tc>
        <w:tc>
          <w:tcPr>
            <w:tcW w:w="924"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大健康</w:t>
            </w:r>
          </w:p>
        </w:tc>
        <w:tc>
          <w:tcPr>
            <w:tcW w:w="812"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续建</w:t>
            </w:r>
          </w:p>
        </w:tc>
        <w:tc>
          <w:tcPr>
            <w:tcW w:w="1049"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2019-2026</w:t>
            </w:r>
          </w:p>
        </w:tc>
        <w:tc>
          <w:tcPr>
            <w:tcW w:w="3206" w:type="dxa"/>
            <w:tcBorders>
              <w:top w:val="nil"/>
              <w:left w:val="nil"/>
              <w:bottom w:val="single" w:color="auto" w:sz="4" w:space="0"/>
              <w:right w:val="single" w:color="auto" w:sz="4" w:space="0"/>
            </w:tcBorders>
            <w:shd w:val="clear" w:color="000000" w:fill="FFFFFF"/>
            <w:vAlign w:val="center"/>
          </w:tcPr>
          <w:p>
            <w:pPr>
              <w:spacing w:line="240" w:lineRule="exact"/>
              <w:rPr>
                <w:rFonts w:ascii="Calibri" w:hAnsi="宋体" w:eastAsia="宋体" w:cs="宋体"/>
                <w:color w:val="000000"/>
                <w:sz w:val="21"/>
                <w:szCs w:val="21"/>
              </w:rPr>
            </w:pPr>
            <w:r>
              <w:rPr>
                <w:rFonts w:ascii="Calibri" w:hAnsi="宋体" w:eastAsia="宋体" w:cs="宋体"/>
                <w:color w:val="000000"/>
                <w:sz w:val="21"/>
                <w:szCs w:val="21"/>
              </w:rPr>
              <w:t>项目总规划面积：约2913亩，投资73亿元，项目拟建一个与国际水平接轨的生物创新研发中心；一个具有国际产学研示范基地、生物医药及医疗器械研发创新孵化基地功能、提供世界一流骨伤科治疗与康复服务的研究型骨科医院+特色康复中心；打造一个以健康食品为产业核心竞争力的特色健康食品产</w:t>
            </w:r>
          </w:p>
          <w:p>
            <w:pPr>
              <w:spacing w:line="240" w:lineRule="exact"/>
              <w:rPr>
                <w:rFonts w:ascii="Calibri" w:hAnsi="宋体" w:eastAsia="宋体" w:cs="宋体"/>
                <w:color w:val="000000"/>
                <w:sz w:val="21"/>
                <w:szCs w:val="21"/>
              </w:rPr>
            </w:pPr>
            <w:r>
              <w:rPr>
                <w:rFonts w:ascii="Calibri" w:hAnsi="宋体" w:eastAsia="宋体" w:cs="宋体"/>
                <w:color w:val="000000"/>
                <w:sz w:val="21"/>
                <w:szCs w:val="21"/>
              </w:rPr>
              <w:t>业基地；以基因组学应用为核心，实现全生命周期全方位定制化健康体验服务的健检+产品体验中心。项目建成后将有望达成百亿级的产值目标。</w:t>
            </w:r>
          </w:p>
        </w:tc>
        <w:tc>
          <w:tcPr>
            <w:tcW w:w="840"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730000</w:t>
            </w:r>
          </w:p>
        </w:tc>
        <w:tc>
          <w:tcPr>
            <w:tcW w:w="357"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0</w:t>
            </w:r>
          </w:p>
        </w:tc>
        <w:tc>
          <w:tcPr>
            <w:tcW w:w="1195" w:type="dxa"/>
            <w:gridSpan w:val="2"/>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730000</w:t>
            </w:r>
          </w:p>
        </w:tc>
        <w:tc>
          <w:tcPr>
            <w:tcW w:w="813"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100000</w:t>
            </w:r>
          </w:p>
        </w:tc>
        <w:tc>
          <w:tcPr>
            <w:tcW w:w="854"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300000</w:t>
            </w:r>
          </w:p>
        </w:tc>
        <w:tc>
          <w:tcPr>
            <w:tcW w:w="756"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p>
        </w:tc>
        <w:tc>
          <w:tcPr>
            <w:tcW w:w="252"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p>
        </w:tc>
      </w:tr>
      <w:tr>
        <w:tblPrEx>
          <w:tblCellMar>
            <w:top w:w="0" w:type="dxa"/>
            <w:left w:w="57" w:type="dxa"/>
            <w:bottom w:w="0" w:type="dxa"/>
            <w:right w:w="57" w:type="dxa"/>
          </w:tblCellMar>
        </w:tblPrEx>
        <w:trPr>
          <w:trHeight w:val="1142" w:hRule="atLeast"/>
        </w:trPr>
        <w:tc>
          <w:tcPr>
            <w:tcW w:w="683" w:type="dxa"/>
            <w:tcBorders>
              <w:top w:val="nil"/>
              <w:left w:val="single" w:color="auto" w:sz="4" w:space="0"/>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43</w:t>
            </w:r>
          </w:p>
        </w:tc>
        <w:tc>
          <w:tcPr>
            <w:tcW w:w="1537" w:type="dxa"/>
            <w:tcBorders>
              <w:top w:val="nil"/>
              <w:left w:val="nil"/>
              <w:bottom w:val="single" w:color="auto" w:sz="4" w:space="0"/>
              <w:right w:val="single" w:color="auto" w:sz="4" w:space="0"/>
            </w:tcBorders>
            <w:shd w:val="clear" w:color="000000" w:fill="FFFFFF"/>
            <w:vAlign w:val="center"/>
          </w:tcPr>
          <w:p>
            <w:pPr>
              <w:spacing w:line="0" w:lineRule="atLeast"/>
              <w:rPr>
                <w:rFonts w:ascii="Calibri" w:hAnsi="宋体" w:eastAsia="宋体" w:cs="宋体"/>
                <w:color w:val="000000"/>
                <w:sz w:val="21"/>
                <w:szCs w:val="21"/>
              </w:rPr>
            </w:pPr>
            <w:r>
              <w:rPr>
                <w:rFonts w:ascii="Calibri" w:hAnsi="宋体" w:eastAsia="宋体" w:cs="宋体"/>
                <w:color w:val="000000"/>
                <w:sz w:val="21"/>
                <w:szCs w:val="21"/>
              </w:rPr>
              <w:t>炬豪中心</w:t>
            </w:r>
          </w:p>
        </w:tc>
        <w:tc>
          <w:tcPr>
            <w:tcW w:w="938"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洛龙街道</w:t>
            </w:r>
          </w:p>
        </w:tc>
        <w:tc>
          <w:tcPr>
            <w:tcW w:w="924"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大旅游</w:t>
            </w:r>
          </w:p>
        </w:tc>
        <w:tc>
          <w:tcPr>
            <w:tcW w:w="812"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续建</w:t>
            </w:r>
          </w:p>
        </w:tc>
        <w:tc>
          <w:tcPr>
            <w:tcW w:w="1049"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2019-2021</w:t>
            </w:r>
          </w:p>
        </w:tc>
        <w:tc>
          <w:tcPr>
            <w:tcW w:w="3206" w:type="dxa"/>
            <w:tcBorders>
              <w:top w:val="nil"/>
              <w:left w:val="nil"/>
              <w:bottom w:val="single" w:color="auto" w:sz="4" w:space="0"/>
              <w:right w:val="single" w:color="auto" w:sz="4" w:space="0"/>
            </w:tcBorders>
            <w:shd w:val="clear" w:color="000000" w:fill="FFFFFF"/>
            <w:vAlign w:val="center"/>
          </w:tcPr>
          <w:p>
            <w:pPr>
              <w:spacing w:line="0" w:lineRule="atLeast"/>
              <w:rPr>
                <w:rFonts w:ascii="Calibri" w:hAnsi="宋体" w:eastAsia="宋体" w:cs="宋体"/>
                <w:color w:val="000000"/>
                <w:sz w:val="21"/>
                <w:szCs w:val="21"/>
              </w:rPr>
            </w:pPr>
            <w:r>
              <w:rPr>
                <w:rFonts w:ascii="Calibri" w:hAnsi="宋体" w:eastAsia="宋体" w:cs="宋体"/>
                <w:color w:val="000000"/>
                <w:sz w:val="21"/>
                <w:szCs w:val="21"/>
              </w:rPr>
              <w:t>该项目占地约50亩，建筑面积约8万平方米，建设五星级酒店。</w:t>
            </w:r>
          </w:p>
        </w:tc>
        <w:tc>
          <w:tcPr>
            <w:tcW w:w="840"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109928</w:t>
            </w:r>
          </w:p>
        </w:tc>
        <w:tc>
          <w:tcPr>
            <w:tcW w:w="357"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0</w:t>
            </w:r>
          </w:p>
        </w:tc>
        <w:tc>
          <w:tcPr>
            <w:tcW w:w="1195" w:type="dxa"/>
            <w:gridSpan w:val="2"/>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109928</w:t>
            </w:r>
          </w:p>
        </w:tc>
        <w:tc>
          <w:tcPr>
            <w:tcW w:w="813"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90000</w:t>
            </w:r>
          </w:p>
        </w:tc>
        <w:tc>
          <w:tcPr>
            <w:tcW w:w="854"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19928</w:t>
            </w:r>
          </w:p>
        </w:tc>
        <w:tc>
          <w:tcPr>
            <w:tcW w:w="756"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p>
        </w:tc>
        <w:tc>
          <w:tcPr>
            <w:tcW w:w="252"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p>
        </w:tc>
      </w:tr>
      <w:tr>
        <w:tblPrEx>
          <w:tblCellMar>
            <w:top w:w="0" w:type="dxa"/>
            <w:left w:w="57" w:type="dxa"/>
            <w:bottom w:w="0" w:type="dxa"/>
            <w:right w:w="57" w:type="dxa"/>
          </w:tblCellMar>
        </w:tblPrEx>
        <w:trPr>
          <w:trHeight w:val="1142" w:hRule="atLeast"/>
        </w:trPr>
        <w:tc>
          <w:tcPr>
            <w:tcW w:w="683" w:type="dxa"/>
            <w:tcBorders>
              <w:top w:val="nil"/>
              <w:left w:val="single" w:color="auto" w:sz="4" w:space="0"/>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44</w:t>
            </w:r>
          </w:p>
        </w:tc>
        <w:tc>
          <w:tcPr>
            <w:tcW w:w="1537" w:type="dxa"/>
            <w:tcBorders>
              <w:top w:val="nil"/>
              <w:left w:val="nil"/>
              <w:bottom w:val="single" w:color="auto" w:sz="4" w:space="0"/>
              <w:right w:val="single" w:color="auto" w:sz="4" w:space="0"/>
            </w:tcBorders>
            <w:shd w:val="clear" w:color="000000" w:fill="FFFFFF"/>
            <w:vAlign w:val="center"/>
          </w:tcPr>
          <w:p>
            <w:pPr>
              <w:spacing w:line="0" w:lineRule="atLeast"/>
              <w:rPr>
                <w:rFonts w:ascii="Calibri" w:hAnsi="宋体" w:eastAsia="宋体" w:cs="宋体"/>
                <w:color w:val="000000"/>
                <w:sz w:val="21"/>
                <w:szCs w:val="21"/>
              </w:rPr>
            </w:pPr>
            <w:r>
              <w:rPr>
                <w:rFonts w:ascii="Calibri" w:hAnsi="宋体" w:eastAsia="宋体" w:cs="宋体"/>
                <w:color w:val="000000"/>
                <w:sz w:val="21"/>
                <w:szCs w:val="21"/>
              </w:rPr>
              <w:t>卧龙浦古渔村建设项目</w:t>
            </w:r>
          </w:p>
        </w:tc>
        <w:tc>
          <w:tcPr>
            <w:tcW w:w="938"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乌龙街道</w:t>
            </w:r>
          </w:p>
        </w:tc>
        <w:tc>
          <w:tcPr>
            <w:tcW w:w="924"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大旅游</w:t>
            </w:r>
          </w:p>
        </w:tc>
        <w:tc>
          <w:tcPr>
            <w:tcW w:w="812"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续建</w:t>
            </w:r>
          </w:p>
        </w:tc>
        <w:tc>
          <w:tcPr>
            <w:tcW w:w="1049"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2020-2026</w:t>
            </w:r>
          </w:p>
        </w:tc>
        <w:tc>
          <w:tcPr>
            <w:tcW w:w="3206" w:type="dxa"/>
            <w:tcBorders>
              <w:top w:val="nil"/>
              <w:left w:val="nil"/>
              <w:bottom w:val="single" w:color="auto" w:sz="4" w:space="0"/>
              <w:right w:val="single" w:color="auto" w:sz="4" w:space="0"/>
            </w:tcBorders>
            <w:shd w:val="clear" w:color="000000" w:fill="FFFFFF"/>
            <w:vAlign w:val="center"/>
          </w:tcPr>
          <w:p>
            <w:pPr>
              <w:spacing w:line="0" w:lineRule="atLeast"/>
              <w:rPr>
                <w:rFonts w:ascii="Calibri" w:hAnsi="宋体" w:eastAsia="宋体" w:cs="宋体"/>
                <w:color w:val="000000"/>
                <w:sz w:val="21"/>
                <w:szCs w:val="21"/>
              </w:rPr>
            </w:pPr>
            <w:r>
              <w:rPr>
                <w:rFonts w:ascii="Calibri" w:hAnsi="宋体" w:eastAsia="宋体" w:cs="宋体"/>
                <w:color w:val="000000"/>
                <w:sz w:val="21"/>
                <w:szCs w:val="21"/>
              </w:rPr>
              <w:t>乌龙浦古渔村和七星山位于滇池畔，片区多景观聚集、多文化荟萃，传统文化元素丰富。开发利用要综合考虑规划设计、环境保护、滇池湿地保护、农田保护、村民就业、绿色生态发展等多种因素。</w:t>
            </w:r>
          </w:p>
        </w:tc>
        <w:tc>
          <w:tcPr>
            <w:tcW w:w="840"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300000</w:t>
            </w:r>
          </w:p>
        </w:tc>
        <w:tc>
          <w:tcPr>
            <w:tcW w:w="357"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0</w:t>
            </w:r>
          </w:p>
        </w:tc>
        <w:tc>
          <w:tcPr>
            <w:tcW w:w="1195" w:type="dxa"/>
            <w:gridSpan w:val="2"/>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300000</w:t>
            </w:r>
          </w:p>
        </w:tc>
        <w:tc>
          <w:tcPr>
            <w:tcW w:w="813"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10000</w:t>
            </w:r>
          </w:p>
        </w:tc>
        <w:tc>
          <w:tcPr>
            <w:tcW w:w="854"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160000</w:t>
            </w:r>
          </w:p>
        </w:tc>
        <w:tc>
          <w:tcPr>
            <w:tcW w:w="756"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p>
        </w:tc>
        <w:tc>
          <w:tcPr>
            <w:tcW w:w="252"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p>
        </w:tc>
      </w:tr>
      <w:tr>
        <w:tblPrEx>
          <w:tblCellMar>
            <w:top w:w="0" w:type="dxa"/>
            <w:left w:w="57" w:type="dxa"/>
            <w:bottom w:w="0" w:type="dxa"/>
            <w:right w:w="57" w:type="dxa"/>
          </w:tblCellMar>
        </w:tblPrEx>
        <w:trPr>
          <w:trHeight w:val="1142" w:hRule="atLeast"/>
        </w:trPr>
        <w:tc>
          <w:tcPr>
            <w:tcW w:w="683" w:type="dxa"/>
            <w:tcBorders>
              <w:top w:val="nil"/>
              <w:left w:val="single" w:color="auto" w:sz="4" w:space="0"/>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45</w:t>
            </w:r>
          </w:p>
        </w:tc>
        <w:tc>
          <w:tcPr>
            <w:tcW w:w="1537" w:type="dxa"/>
            <w:tcBorders>
              <w:top w:val="nil"/>
              <w:left w:val="nil"/>
              <w:bottom w:val="single" w:color="auto" w:sz="4" w:space="0"/>
              <w:right w:val="single" w:color="auto" w:sz="4" w:space="0"/>
            </w:tcBorders>
            <w:shd w:val="clear" w:color="000000" w:fill="FFFFFF"/>
            <w:vAlign w:val="center"/>
          </w:tcPr>
          <w:p>
            <w:pPr>
              <w:spacing w:line="0" w:lineRule="atLeast"/>
              <w:rPr>
                <w:rFonts w:ascii="Calibri" w:hAnsi="宋体" w:eastAsia="宋体" w:cs="宋体"/>
                <w:color w:val="000000"/>
                <w:sz w:val="21"/>
                <w:szCs w:val="21"/>
              </w:rPr>
            </w:pPr>
            <w:r>
              <w:rPr>
                <w:rFonts w:ascii="Calibri" w:hAnsi="宋体" w:eastAsia="宋体" w:cs="宋体"/>
                <w:color w:val="000000"/>
                <w:sz w:val="21"/>
                <w:szCs w:val="21"/>
              </w:rPr>
              <w:t>花卉产业创客中心</w:t>
            </w:r>
          </w:p>
        </w:tc>
        <w:tc>
          <w:tcPr>
            <w:tcW w:w="938"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斗南街道</w:t>
            </w:r>
          </w:p>
        </w:tc>
        <w:tc>
          <w:tcPr>
            <w:tcW w:w="924"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大文创</w:t>
            </w:r>
          </w:p>
        </w:tc>
        <w:tc>
          <w:tcPr>
            <w:tcW w:w="812"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续建</w:t>
            </w:r>
          </w:p>
        </w:tc>
        <w:tc>
          <w:tcPr>
            <w:tcW w:w="1049"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2020-2025</w:t>
            </w:r>
          </w:p>
        </w:tc>
        <w:tc>
          <w:tcPr>
            <w:tcW w:w="3206" w:type="dxa"/>
            <w:tcBorders>
              <w:top w:val="nil"/>
              <w:left w:val="nil"/>
              <w:bottom w:val="single" w:color="auto" w:sz="4" w:space="0"/>
              <w:right w:val="single" w:color="auto" w:sz="4" w:space="0"/>
            </w:tcBorders>
            <w:shd w:val="clear" w:color="000000" w:fill="FFFFFF"/>
            <w:vAlign w:val="center"/>
          </w:tcPr>
          <w:p>
            <w:pPr>
              <w:spacing w:line="0" w:lineRule="atLeast"/>
              <w:rPr>
                <w:rFonts w:ascii="Calibri" w:hAnsi="宋体" w:eastAsia="宋体" w:cs="宋体"/>
                <w:color w:val="000000"/>
                <w:sz w:val="21"/>
                <w:szCs w:val="21"/>
              </w:rPr>
            </w:pPr>
            <w:r>
              <w:rPr>
                <w:rFonts w:ascii="Calibri" w:hAnsi="宋体" w:eastAsia="宋体" w:cs="宋体"/>
                <w:color w:val="000000"/>
                <w:sz w:val="21"/>
                <w:szCs w:val="21"/>
              </w:rPr>
              <w:t>围绕花卉产业的创业平台，配备创业各项服务，设立创业咖啡吧、项目路演区、创客沙龙区等。</w:t>
            </w:r>
          </w:p>
        </w:tc>
        <w:tc>
          <w:tcPr>
            <w:tcW w:w="840"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10000</w:t>
            </w:r>
          </w:p>
        </w:tc>
        <w:tc>
          <w:tcPr>
            <w:tcW w:w="357"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0</w:t>
            </w:r>
          </w:p>
        </w:tc>
        <w:tc>
          <w:tcPr>
            <w:tcW w:w="1195" w:type="dxa"/>
            <w:gridSpan w:val="2"/>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10000</w:t>
            </w:r>
          </w:p>
        </w:tc>
        <w:tc>
          <w:tcPr>
            <w:tcW w:w="813"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0</w:t>
            </w:r>
          </w:p>
        </w:tc>
        <w:tc>
          <w:tcPr>
            <w:tcW w:w="854"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10000</w:t>
            </w:r>
          </w:p>
        </w:tc>
        <w:tc>
          <w:tcPr>
            <w:tcW w:w="756"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p>
        </w:tc>
        <w:tc>
          <w:tcPr>
            <w:tcW w:w="252"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p>
        </w:tc>
      </w:tr>
      <w:tr>
        <w:tblPrEx>
          <w:tblCellMar>
            <w:top w:w="0" w:type="dxa"/>
            <w:left w:w="57" w:type="dxa"/>
            <w:bottom w:w="0" w:type="dxa"/>
            <w:right w:w="57" w:type="dxa"/>
          </w:tblCellMar>
        </w:tblPrEx>
        <w:trPr>
          <w:trHeight w:val="1142" w:hRule="atLeast"/>
        </w:trPr>
        <w:tc>
          <w:tcPr>
            <w:tcW w:w="683" w:type="dxa"/>
            <w:tcBorders>
              <w:top w:val="nil"/>
              <w:left w:val="single" w:color="auto" w:sz="4" w:space="0"/>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46</w:t>
            </w:r>
          </w:p>
        </w:tc>
        <w:tc>
          <w:tcPr>
            <w:tcW w:w="1537" w:type="dxa"/>
            <w:tcBorders>
              <w:top w:val="nil"/>
              <w:left w:val="nil"/>
              <w:bottom w:val="single" w:color="auto" w:sz="4" w:space="0"/>
              <w:right w:val="single" w:color="auto" w:sz="4" w:space="0"/>
            </w:tcBorders>
            <w:shd w:val="clear" w:color="000000" w:fill="FFFFFF"/>
            <w:vAlign w:val="center"/>
          </w:tcPr>
          <w:p>
            <w:pPr>
              <w:spacing w:line="0" w:lineRule="atLeast"/>
              <w:rPr>
                <w:rFonts w:ascii="Calibri" w:hAnsi="宋体" w:eastAsia="宋体" w:cs="宋体"/>
                <w:color w:val="000000"/>
                <w:sz w:val="21"/>
                <w:szCs w:val="21"/>
              </w:rPr>
            </w:pPr>
            <w:r>
              <w:rPr>
                <w:rFonts w:ascii="Calibri" w:hAnsi="宋体" w:eastAsia="宋体" w:cs="宋体"/>
                <w:color w:val="000000"/>
                <w:sz w:val="21"/>
                <w:szCs w:val="21"/>
              </w:rPr>
              <w:t>华侨城第二总部住宅项目</w:t>
            </w:r>
          </w:p>
        </w:tc>
        <w:tc>
          <w:tcPr>
            <w:tcW w:w="938"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吴家营街道</w:t>
            </w:r>
          </w:p>
        </w:tc>
        <w:tc>
          <w:tcPr>
            <w:tcW w:w="924"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总部经济</w:t>
            </w:r>
          </w:p>
        </w:tc>
        <w:tc>
          <w:tcPr>
            <w:tcW w:w="812"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续建</w:t>
            </w:r>
          </w:p>
        </w:tc>
        <w:tc>
          <w:tcPr>
            <w:tcW w:w="1049"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2019-2022</w:t>
            </w:r>
          </w:p>
        </w:tc>
        <w:tc>
          <w:tcPr>
            <w:tcW w:w="3206" w:type="dxa"/>
            <w:tcBorders>
              <w:top w:val="nil"/>
              <w:left w:val="nil"/>
              <w:bottom w:val="single" w:color="auto" w:sz="4" w:space="0"/>
              <w:right w:val="single" w:color="auto" w:sz="4" w:space="0"/>
            </w:tcBorders>
            <w:shd w:val="clear" w:color="000000" w:fill="FFFFFF"/>
            <w:vAlign w:val="center"/>
          </w:tcPr>
          <w:p>
            <w:pPr>
              <w:spacing w:line="0" w:lineRule="atLeast"/>
              <w:rPr>
                <w:rFonts w:ascii="Calibri" w:hAnsi="宋体" w:eastAsia="宋体" w:cs="宋体"/>
                <w:color w:val="000000"/>
                <w:sz w:val="21"/>
                <w:szCs w:val="21"/>
              </w:rPr>
            </w:pPr>
            <w:r>
              <w:rPr>
                <w:rFonts w:ascii="Calibri" w:hAnsi="宋体" w:eastAsia="宋体" w:cs="宋体"/>
                <w:color w:val="000000"/>
                <w:sz w:val="21"/>
                <w:szCs w:val="21"/>
              </w:rPr>
              <w:t>项目位于沐春园北侧联大街以北，占地98亩，其中吴家营社区61.485亩，中庄社区约36亩。总建筑面积（计容）约210000平方米。拟建设华侨城第二总部并配套职工住宅，主要业态有总部写字楼、五星级酒店、住宅、人才公寓等。</w:t>
            </w:r>
          </w:p>
        </w:tc>
        <w:tc>
          <w:tcPr>
            <w:tcW w:w="840"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250000</w:t>
            </w:r>
          </w:p>
        </w:tc>
        <w:tc>
          <w:tcPr>
            <w:tcW w:w="357"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0</w:t>
            </w:r>
          </w:p>
        </w:tc>
        <w:tc>
          <w:tcPr>
            <w:tcW w:w="1195" w:type="dxa"/>
            <w:gridSpan w:val="2"/>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250000</w:t>
            </w:r>
          </w:p>
        </w:tc>
        <w:tc>
          <w:tcPr>
            <w:tcW w:w="813"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100000</w:t>
            </w:r>
          </w:p>
        </w:tc>
        <w:tc>
          <w:tcPr>
            <w:tcW w:w="854"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150000</w:t>
            </w:r>
          </w:p>
        </w:tc>
        <w:tc>
          <w:tcPr>
            <w:tcW w:w="756"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p>
        </w:tc>
        <w:tc>
          <w:tcPr>
            <w:tcW w:w="252"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p>
        </w:tc>
      </w:tr>
      <w:tr>
        <w:tblPrEx>
          <w:tblCellMar>
            <w:top w:w="0" w:type="dxa"/>
            <w:left w:w="57" w:type="dxa"/>
            <w:bottom w:w="0" w:type="dxa"/>
            <w:right w:w="57" w:type="dxa"/>
          </w:tblCellMar>
        </w:tblPrEx>
        <w:trPr>
          <w:trHeight w:val="1142" w:hRule="atLeast"/>
        </w:trPr>
        <w:tc>
          <w:tcPr>
            <w:tcW w:w="683" w:type="dxa"/>
            <w:tcBorders>
              <w:top w:val="nil"/>
              <w:left w:val="single" w:color="auto" w:sz="4" w:space="0"/>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47</w:t>
            </w:r>
          </w:p>
        </w:tc>
        <w:tc>
          <w:tcPr>
            <w:tcW w:w="1537" w:type="dxa"/>
            <w:tcBorders>
              <w:top w:val="nil"/>
              <w:left w:val="nil"/>
              <w:bottom w:val="single" w:color="auto" w:sz="4" w:space="0"/>
              <w:right w:val="single" w:color="auto" w:sz="4" w:space="0"/>
            </w:tcBorders>
            <w:shd w:val="clear" w:color="000000" w:fill="FFFFFF"/>
            <w:vAlign w:val="center"/>
          </w:tcPr>
          <w:p>
            <w:pPr>
              <w:spacing w:line="0" w:lineRule="atLeast"/>
              <w:rPr>
                <w:rFonts w:ascii="Calibri" w:hAnsi="宋体" w:eastAsia="宋体" w:cs="宋体"/>
                <w:color w:val="000000"/>
                <w:sz w:val="21"/>
                <w:szCs w:val="21"/>
              </w:rPr>
            </w:pPr>
            <w:r>
              <w:rPr>
                <w:rFonts w:ascii="Calibri" w:hAnsi="宋体" w:eastAsia="宋体" w:cs="宋体"/>
                <w:color w:val="000000"/>
                <w:sz w:val="21"/>
                <w:szCs w:val="21"/>
              </w:rPr>
              <w:t>优必选智能服务机器人产业园项目</w:t>
            </w:r>
          </w:p>
        </w:tc>
        <w:tc>
          <w:tcPr>
            <w:tcW w:w="938"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信息产业园</w:t>
            </w:r>
          </w:p>
        </w:tc>
        <w:tc>
          <w:tcPr>
            <w:tcW w:w="924"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大数据</w:t>
            </w:r>
          </w:p>
        </w:tc>
        <w:tc>
          <w:tcPr>
            <w:tcW w:w="812"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续建</w:t>
            </w:r>
          </w:p>
        </w:tc>
        <w:tc>
          <w:tcPr>
            <w:tcW w:w="1049"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2019-2021</w:t>
            </w:r>
          </w:p>
        </w:tc>
        <w:tc>
          <w:tcPr>
            <w:tcW w:w="3206" w:type="dxa"/>
            <w:tcBorders>
              <w:top w:val="nil"/>
              <w:left w:val="nil"/>
              <w:bottom w:val="single" w:color="auto" w:sz="4" w:space="0"/>
              <w:right w:val="single" w:color="auto" w:sz="4" w:space="0"/>
            </w:tcBorders>
            <w:shd w:val="clear" w:color="000000" w:fill="FFFFFF"/>
            <w:vAlign w:val="center"/>
          </w:tcPr>
          <w:p>
            <w:pPr>
              <w:spacing w:line="0" w:lineRule="atLeast"/>
              <w:rPr>
                <w:rFonts w:ascii="Calibri" w:hAnsi="宋体" w:eastAsia="宋体" w:cs="宋体"/>
                <w:color w:val="000000"/>
                <w:sz w:val="21"/>
                <w:szCs w:val="21"/>
              </w:rPr>
            </w:pPr>
            <w:r>
              <w:rPr>
                <w:rFonts w:ascii="Calibri" w:hAnsi="宋体" w:eastAsia="宋体" w:cs="宋体"/>
                <w:color w:val="000000"/>
                <w:sz w:val="21"/>
                <w:szCs w:val="21"/>
              </w:rPr>
              <w:t>拟用地面积约132亩，项目分两期建设，建设内容：机器人生产车间、产业商业平台、产业研发中心、云计算数据交换中心、机器人体验中心及生活配套等。</w:t>
            </w:r>
          </w:p>
        </w:tc>
        <w:tc>
          <w:tcPr>
            <w:tcW w:w="840"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84000</w:t>
            </w:r>
          </w:p>
        </w:tc>
        <w:tc>
          <w:tcPr>
            <w:tcW w:w="756" w:type="dxa"/>
            <w:gridSpan w:val="2"/>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0</w:t>
            </w:r>
          </w:p>
        </w:tc>
        <w:tc>
          <w:tcPr>
            <w:tcW w:w="796"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84000</w:t>
            </w:r>
          </w:p>
        </w:tc>
        <w:tc>
          <w:tcPr>
            <w:tcW w:w="813"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84000</w:t>
            </w:r>
          </w:p>
        </w:tc>
        <w:tc>
          <w:tcPr>
            <w:tcW w:w="854"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0</w:t>
            </w:r>
          </w:p>
        </w:tc>
        <w:tc>
          <w:tcPr>
            <w:tcW w:w="756"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p>
        </w:tc>
        <w:tc>
          <w:tcPr>
            <w:tcW w:w="252"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p>
        </w:tc>
      </w:tr>
      <w:tr>
        <w:tblPrEx>
          <w:tblCellMar>
            <w:top w:w="0" w:type="dxa"/>
            <w:left w:w="57" w:type="dxa"/>
            <w:bottom w:w="0" w:type="dxa"/>
            <w:right w:w="57" w:type="dxa"/>
          </w:tblCellMar>
        </w:tblPrEx>
        <w:trPr>
          <w:trHeight w:val="1142" w:hRule="atLeast"/>
        </w:trPr>
        <w:tc>
          <w:tcPr>
            <w:tcW w:w="683" w:type="dxa"/>
            <w:tcBorders>
              <w:top w:val="nil"/>
              <w:left w:val="single" w:color="auto" w:sz="4" w:space="0"/>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48</w:t>
            </w:r>
          </w:p>
        </w:tc>
        <w:tc>
          <w:tcPr>
            <w:tcW w:w="1537" w:type="dxa"/>
            <w:tcBorders>
              <w:top w:val="nil"/>
              <w:left w:val="nil"/>
              <w:bottom w:val="single" w:color="auto" w:sz="4" w:space="0"/>
              <w:right w:val="single" w:color="auto" w:sz="4" w:space="0"/>
            </w:tcBorders>
            <w:shd w:val="clear" w:color="000000" w:fill="FFFFFF"/>
            <w:vAlign w:val="center"/>
          </w:tcPr>
          <w:p>
            <w:pPr>
              <w:spacing w:line="0" w:lineRule="atLeast"/>
              <w:rPr>
                <w:rFonts w:ascii="Calibri" w:hAnsi="宋体" w:eastAsia="宋体" w:cs="宋体"/>
                <w:color w:val="000000"/>
                <w:sz w:val="21"/>
                <w:szCs w:val="21"/>
              </w:rPr>
            </w:pPr>
            <w:r>
              <w:rPr>
                <w:rFonts w:ascii="Calibri" w:hAnsi="宋体" w:eastAsia="宋体" w:cs="宋体"/>
                <w:color w:val="000000"/>
                <w:sz w:val="21"/>
                <w:szCs w:val="21"/>
              </w:rPr>
              <w:t>云南能投互联网大数据产业园项目</w:t>
            </w:r>
          </w:p>
        </w:tc>
        <w:tc>
          <w:tcPr>
            <w:tcW w:w="938"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信息产业园</w:t>
            </w:r>
          </w:p>
        </w:tc>
        <w:tc>
          <w:tcPr>
            <w:tcW w:w="924"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大数据</w:t>
            </w:r>
          </w:p>
        </w:tc>
        <w:tc>
          <w:tcPr>
            <w:tcW w:w="812"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续建</w:t>
            </w:r>
          </w:p>
        </w:tc>
        <w:tc>
          <w:tcPr>
            <w:tcW w:w="1049"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2019-2021</w:t>
            </w:r>
          </w:p>
        </w:tc>
        <w:tc>
          <w:tcPr>
            <w:tcW w:w="3206" w:type="dxa"/>
            <w:tcBorders>
              <w:top w:val="nil"/>
              <w:left w:val="nil"/>
              <w:bottom w:val="single" w:color="auto" w:sz="4" w:space="0"/>
              <w:right w:val="single" w:color="auto" w:sz="4" w:space="0"/>
            </w:tcBorders>
            <w:shd w:val="clear" w:color="000000" w:fill="FFFFFF"/>
            <w:vAlign w:val="center"/>
          </w:tcPr>
          <w:p>
            <w:pPr>
              <w:spacing w:line="0" w:lineRule="atLeast"/>
              <w:rPr>
                <w:rFonts w:ascii="Calibri" w:hAnsi="宋体" w:eastAsia="宋体" w:cs="宋体"/>
                <w:color w:val="000000"/>
                <w:sz w:val="21"/>
                <w:szCs w:val="21"/>
              </w:rPr>
            </w:pPr>
            <w:r>
              <w:rPr>
                <w:rFonts w:ascii="Calibri" w:hAnsi="宋体" w:eastAsia="宋体" w:cs="宋体"/>
                <w:color w:val="000000"/>
                <w:sz w:val="21"/>
                <w:szCs w:val="21"/>
              </w:rPr>
              <w:t>用地面积115亩，云南省互联网数据中心、南亚东南亚丝路数据中心、云南省大数据研究院、能源互联网示范基地等。</w:t>
            </w:r>
          </w:p>
        </w:tc>
        <w:tc>
          <w:tcPr>
            <w:tcW w:w="840"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140000</w:t>
            </w:r>
          </w:p>
        </w:tc>
        <w:tc>
          <w:tcPr>
            <w:tcW w:w="756" w:type="dxa"/>
            <w:gridSpan w:val="2"/>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0</w:t>
            </w:r>
          </w:p>
        </w:tc>
        <w:tc>
          <w:tcPr>
            <w:tcW w:w="796"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140000</w:t>
            </w:r>
          </w:p>
        </w:tc>
        <w:tc>
          <w:tcPr>
            <w:tcW w:w="813"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60000</w:t>
            </w:r>
          </w:p>
        </w:tc>
        <w:tc>
          <w:tcPr>
            <w:tcW w:w="854"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80000</w:t>
            </w:r>
          </w:p>
        </w:tc>
        <w:tc>
          <w:tcPr>
            <w:tcW w:w="756"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p>
        </w:tc>
        <w:tc>
          <w:tcPr>
            <w:tcW w:w="252"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p>
        </w:tc>
      </w:tr>
      <w:tr>
        <w:tblPrEx>
          <w:tblCellMar>
            <w:top w:w="0" w:type="dxa"/>
            <w:left w:w="57" w:type="dxa"/>
            <w:bottom w:w="0" w:type="dxa"/>
            <w:right w:w="57" w:type="dxa"/>
          </w:tblCellMar>
        </w:tblPrEx>
        <w:trPr>
          <w:trHeight w:val="1142" w:hRule="atLeast"/>
        </w:trPr>
        <w:tc>
          <w:tcPr>
            <w:tcW w:w="683" w:type="dxa"/>
            <w:tcBorders>
              <w:top w:val="nil"/>
              <w:left w:val="single" w:color="auto" w:sz="4" w:space="0"/>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49</w:t>
            </w:r>
          </w:p>
        </w:tc>
        <w:tc>
          <w:tcPr>
            <w:tcW w:w="1537" w:type="dxa"/>
            <w:tcBorders>
              <w:top w:val="nil"/>
              <w:left w:val="nil"/>
              <w:bottom w:val="single" w:color="auto" w:sz="4" w:space="0"/>
              <w:right w:val="single" w:color="auto" w:sz="4" w:space="0"/>
            </w:tcBorders>
            <w:shd w:val="clear" w:color="000000" w:fill="FFFFFF"/>
            <w:vAlign w:val="center"/>
          </w:tcPr>
          <w:p>
            <w:pPr>
              <w:spacing w:line="0" w:lineRule="atLeast"/>
              <w:rPr>
                <w:rFonts w:ascii="Calibri" w:hAnsi="宋体" w:eastAsia="宋体" w:cs="宋体"/>
                <w:color w:val="000000"/>
                <w:sz w:val="21"/>
                <w:szCs w:val="21"/>
              </w:rPr>
            </w:pPr>
            <w:r>
              <w:rPr>
                <w:rFonts w:ascii="Calibri" w:hAnsi="宋体" w:eastAsia="宋体" w:cs="宋体"/>
                <w:color w:val="000000"/>
                <w:sz w:val="21"/>
                <w:szCs w:val="21"/>
              </w:rPr>
              <w:t>福建瑞能西南总部基地项目</w:t>
            </w:r>
          </w:p>
        </w:tc>
        <w:tc>
          <w:tcPr>
            <w:tcW w:w="938"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信息产业园</w:t>
            </w:r>
          </w:p>
        </w:tc>
        <w:tc>
          <w:tcPr>
            <w:tcW w:w="924"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大数据</w:t>
            </w:r>
          </w:p>
        </w:tc>
        <w:tc>
          <w:tcPr>
            <w:tcW w:w="812"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续建</w:t>
            </w:r>
          </w:p>
        </w:tc>
        <w:tc>
          <w:tcPr>
            <w:tcW w:w="1049"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2019-2021</w:t>
            </w:r>
          </w:p>
        </w:tc>
        <w:tc>
          <w:tcPr>
            <w:tcW w:w="3206" w:type="dxa"/>
            <w:tcBorders>
              <w:top w:val="nil"/>
              <w:left w:val="nil"/>
              <w:bottom w:val="single" w:color="auto" w:sz="4" w:space="0"/>
              <w:right w:val="single" w:color="auto" w:sz="4" w:space="0"/>
            </w:tcBorders>
            <w:shd w:val="clear" w:color="000000" w:fill="FFFFFF"/>
            <w:vAlign w:val="center"/>
          </w:tcPr>
          <w:p>
            <w:pPr>
              <w:spacing w:line="0" w:lineRule="atLeast"/>
              <w:rPr>
                <w:rFonts w:ascii="Calibri" w:hAnsi="宋体" w:eastAsia="宋体" w:cs="宋体"/>
                <w:color w:val="000000"/>
                <w:sz w:val="21"/>
                <w:szCs w:val="21"/>
              </w:rPr>
            </w:pPr>
            <w:r>
              <w:rPr>
                <w:rFonts w:ascii="Calibri" w:hAnsi="宋体" w:eastAsia="宋体" w:cs="宋体"/>
                <w:color w:val="000000"/>
                <w:sz w:val="21"/>
                <w:szCs w:val="21"/>
              </w:rPr>
              <w:t>用地面积30亩，工业纺织中控设备与公交车车载智能终端等生产制造。</w:t>
            </w:r>
          </w:p>
        </w:tc>
        <w:tc>
          <w:tcPr>
            <w:tcW w:w="840"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100000</w:t>
            </w:r>
          </w:p>
        </w:tc>
        <w:tc>
          <w:tcPr>
            <w:tcW w:w="756" w:type="dxa"/>
            <w:gridSpan w:val="2"/>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0</w:t>
            </w:r>
          </w:p>
        </w:tc>
        <w:tc>
          <w:tcPr>
            <w:tcW w:w="796"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100000</w:t>
            </w:r>
          </w:p>
        </w:tc>
        <w:tc>
          <w:tcPr>
            <w:tcW w:w="813"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30000</w:t>
            </w:r>
          </w:p>
        </w:tc>
        <w:tc>
          <w:tcPr>
            <w:tcW w:w="854"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70000</w:t>
            </w:r>
          </w:p>
        </w:tc>
        <w:tc>
          <w:tcPr>
            <w:tcW w:w="756"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p>
        </w:tc>
        <w:tc>
          <w:tcPr>
            <w:tcW w:w="252"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p>
        </w:tc>
      </w:tr>
      <w:tr>
        <w:tblPrEx>
          <w:tblCellMar>
            <w:top w:w="0" w:type="dxa"/>
            <w:left w:w="57" w:type="dxa"/>
            <w:bottom w:w="0" w:type="dxa"/>
            <w:right w:w="57" w:type="dxa"/>
          </w:tblCellMar>
        </w:tblPrEx>
        <w:trPr>
          <w:trHeight w:val="1142" w:hRule="atLeast"/>
        </w:trPr>
        <w:tc>
          <w:tcPr>
            <w:tcW w:w="683" w:type="dxa"/>
            <w:tcBorders>
              <w:top w:val="nil"/>
              <w:left w:val="single" w:color="auto" w:sz="4" w:space="0"/>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50</w:t>
            </w:r>
          </w:p>
        </w:tc>
        <w:tc>
          <w:tcPr>
            <w:tcW w:w="1537" w:type="dxa"/>
            <w:tcBorders>
              <w:top w:val="nil"/>
              <w:left w:val="nil"/>
              <w:bottom w:val="single" w:color="auto" w:sz="4" w:space="0"/>
              <w:right w:val="single" w:color="auto" w:sz="4" w:space="0"/>
            </w:tcBorders>
            <w:shd w:val="clear" w:color="000000" w:fill="FFFFFF"/>
            <w:vAlign w:val="center"/>
          </w:tcPr>
          <w:p>
            <w:pPr>
              <w:spacing w:line="0" w:lineRule="atLeast"/>
              <w:rPr>
                <w:rFonts w:ascii="Calibri" w:hAnsi="宋体" w:eastAsia="宋体" w:cs="宋体"/>
                <w:color w:val="000000"/>
                <w:sz w:val="21"/>
                <w:szCs w:val="21"/>
              </w:rPr>
            </w:pPr>
            <w:r>
              <w:rPr>
                <w:rFonts w:ascii="Calibri" w:hAnsi="宋体" w:eastAsia="宋体" w:cs="宋体"/>
                <w:color w:val="000000"/>
                <w:sz w:val="21"/>
                <w:szCs w:val="21"/>
              </w:rPr>
              <w:t>云南电力技术创新中心项目</w:t>
            </w:r>
          </w:p>
        </w:tc>
        <w:tc>
          <w:tcPr>
            <w:tcW w:w="938"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信息产业园</w:t>
            </w:r>
          </w:p>
        </w:tc>
        <w:tc>
          <w:tcPr>
            <w:tcW w:w="924"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大数据</w:t>
            </w:r>
          </w:p>
        </w:tc>
        <w:tc>
          <w:tcPr>
            <w:tcW w:w="812"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续建</w:t>
            </w:r>
          </w:p>
        </w:tc>
        <w:tc>
          <w:tcPr>
            <w:tcW w:w="1049"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2019-2021</w:t>
            </w:r>
          </w:p>
        </w:tc>
        <w:tc>
          <w:tcPr>
            <w:tcW w:w="3206" w:type="dxa"/>
            <w:tcBorders>
              <w:top w:val="nil"/>
              <w:left w:val="nil"/>
              <w:bottom w:val="single" w:color="auto" w:sz="4" w:space="0"/>
              <w:right w:val="single" w:color="auto" w:sz="4" w:space="0"/>
            </w:tcBorders>
            <w:shd w:val="clear" w:color="000000" w:fill="FFFFFF"/>
            <w:vAlign w:val="center"/>
          </w:tcPr>
          <w:p>
            <w:pPr>
              <w:spacing w:line="0" w:lineRule="atLeast"/>
              <w:rPr>
                <w:rFonts w:ascii="Calibri" w:hAnsi="宋体" w:eastAsia="宋体" w:cs="宋体"/>
                <w:color w:val="000000"/>
                <w:sz w:val="21"/>
                <w:szCs w:val="21"/>
              </w:rPr>
            </w:pPr>
            <w:r>
              <w:rPr>
                <w:rFonts w:ascii="Calibri" w:hAnsi="宋体" w:eastAsia="宋体" w:cs="宋体"/>
                <w:color w:val="000000"/>
                <w:sz w:val="21"/>
                <w:szCs w:val="21"/>
              </w:rPr>
              <w:t>项目规划用地50亩，建设内容包括：嵌入式软件研发中心、智能终端组装中心、智能仪器检测中心、智能电网研究中心、大数据中心等。</w:t>
            </w:r>
          </w:p>
        </w:tc>
        <w:tc>
          <w:tcPr>
            <w:tcW w:w="840"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50000</w:t>
            </w:r>
          </w:p>
        </w:tc>
        <w:tc>
          <w:tcPr>
            <w:tcW w:w="756" w:type="dxa"/>
            <w:gridSpan w:val="2"/>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0</w:t>
            </w:r>
          </w:p>
        </w:tc>
        <w:tc>
          <w:tcPr>
            <w:tcW w:w="796"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50000</w:t>
            </w:r>
          </w:p>
        </w:tc>
        <w:tc>
          <w:tcPr>
            <w:tcW w:w="813"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30000</w:t>
            </w:r>
          </w:p>
        </w:tc>
        <w:tc>
          <w:tcPr>
            <w:tcW w:w="854"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20000</w:t>
            </w:r>
          </w:p>
        </w:tc>
        <w:tc>
          <w:tcPr>
            <w:tcW w:w="756"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p>
        </w:tc>
        <w:tc>
          <w:tcPr>
            <w:tcW w:w="252"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p>
        </w:tc>
      </w:tr>
      <w:tr>
        <w:tblPrEx>
          <w:tblCellMar>
            <w:top w:w="0" w:type="dxa"/>
            <w:left w:w="57" w:type="dxa"/>
            <w:bottom w:w="0" w:type="dxa"/>
            <w:right w:w="57" w:type="dxa"/>
          </w:tblCellMar>
        </w:tblPrEx>
        <w:trPr>
          <w:trHeight w:val="1142" w:hRule="atLeast"/>
        </w:trPr>
        <w:tc>
          <w:tcPr>
            <w:tcW w:w="683" w:type="dxa"/>
            <w:tcBorders>
              <w:top w:val="nil"/>
              <w:left w:val="single" w:color="auto" w:sz="4" w:space="0"/>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51</w:t>
            </w:r>
          </w:p>
        </w:tc>
        <w:tc>
          <w:tcPr>
            <w:tcW w:w="1537" w:type="dxa"/>
            <w:tcBorders>
              <w:top w:val="nil"/>
              <w:left w:val="nil"/>
              <w:bottom w:val="single" w:color="auto" w:sz="4" w:space="0"/>
              <w:right w:val="single" w:color="auto" w:sz="4" w:space="0"/>
            </w:tcBorders>
            <w:shd w:val="clear" w:color="000000" w:fill="FFFFFF"/>
            <w:vAlign w:val="center"/>
          </w:tcPr>
          <w:p>
            <w:pPr>
              <w:spacing w:line="0" w:lineRule="atLeast"/>
              <w:rPr>
                <w:rFonts w:ascii="Calibri" w:hAnsi="宋体" w:eastAsia="宋体" w:cs="宋体"/>
                <w:color w:val="000000"/>
                <w:sz w:val="21"/>
                <w:szCs w:val="21"/>
              </w:rPr>
            </w:pPr>
            <w:r>
              <w:rPr>
                <w:rFonts w:ascii="Calibri" w:hAnsi="宋体" w:eastAsia="宋体" w:cs="宋体"/>
                <w:color w:val="000000"/>
                <w:sz w:val="21"/>
                <w:szCs w:val="21"/>
              </w:rPr>
              <w:t>云上小镇建设项目（三期）</w:t>
            </w:r>
          </w:p>
        </w:tc>
        <w:tc>
          <w:tcPr>
            <w:tcW w:w="938"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信息产业园</w:t>
            </w:r>
          </w:p>
        </w:tc>
        <w:tc>
          <w:tcPr>
            <w:tcW w:w="924"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大数据</w:t>
            </w:r>
          </w:p>
        </w:tc>
        <w:tc>
          <w:tcPr>
            <w:tcW w:w="812"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续建</w:t>
            </w:r>
          </w:p>
        </w:tc>
        <w:tc>
          <w:tcPr>
            <w:tcW w:w="1049"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2020-2023</w:t>
            </w:r>
          </w:p>
        </w:tc>
        <w:tc>
          <w:tcPr>
            <w:tcW w:w="3206" w:type="dxa"/>
            <w:tcBorders>
              <w:top w:val="nil"/>
              <w:left w:val="nil"/>
              <w:bottom w:val="nil"/>
              <w:right w:val="nil"/>
            </w:tcBorders>
            <w:shd w:val="clear" w:color="000000" w:fill="FFFFFF"/>
            <w:vAlign w:val="center"/>
          </w:tcPr>
          <w:p>
            <w:pPr>
              <w:spacing w:line="0" w:lineRule="atLeast"/>
              <w:rPr>
                <w:rFonts w:ascii="Calibri" w:hAnsi="宋体" w:eastAsia="宋体" w:cs="宋体"/>
                <w:color w:val="000000"/>
                <w:sz w:val="21"/>
                <w:szCs w:val="21"/>
              </w:rPr>
            </w:pPr>
            <w:r>
              <w:rPr>
                <w:rFonts w:ascii="Calibri" w:hAnsi="宋体" w:eastAsia="宋体" w:cs="宋体"/>
                <w:color w:val="000000"/>
                <w:sz w:val="21"/>
                <w:szCs w:val="21"/>
              </w:rPr>
              <w:t>项目占地约65亩，总面积约20万平米。建设内容包括：双创科技中心、创客公寓、众创写字楼、电商交易中心、开放实验室和开放工厂车间等项目。</w:t>
            </w:r>
          </w:p>
        </w:tc>
        <w:tc>
          <w:tcPr>
            <w:tcW w:w="840" w:type="dxa"/>
            <w:tcBorders>
              <w:top w:val="nil"/>
              <w:left w:val="single" w:color="auto" w:sz="4" w:space="0"/>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100000</w:t>
            </w:r>
          </w:p>
        </w:tc>
        <w:tc>
          <w:tcPr>
            <w:tcW w:w="756" w:type="dxa"/>
            <w:gridSpan w:val="2"/>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0</w:t>
            </w:r>
          </w:p>
        </w:tc>
        <w:tc>
          <w:tcPr>
            <w:tcW w:w="796"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100000</w:t>
            </w:r>
          </w:p>
        </w:tc>
        <w:tc>
          <w:tcPr>
            <w:tcW w:w="813"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100000</w:t>
            </w:r>
          </w:p>
        </w:tc>
        <w:tc>
          <w:tcPr>
            <w:tcW w:w="854"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0</w:t>
            </w:r>
          </w:p>
        </w:tc>
        <w:tc>
          <w:tcPr>
            <w:tcW w:w="756"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p>
        </w:tc>
        <w:tc>
          <w:tcPr>
            <w:tcW w:w="252"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p>
        </w:tc>
      </w:tr>
      <w:tr>
        <w:tblPrEx>
          <w:tblCellMar>
            <w:top w:w="0" w:type="dxa"/>
            <w:left w:w="57" w:type="dxa"/>
            <w:bottom w:w="0" w:type="dxa"/>
            <w:right w:w="57" w:type="dxa"/>
          </w:tblCellMar>
        </w:tblPrEx>
        <w:trPr>
          <w:trHeight w:val="1142" w:hRule="atLeast"/>
        </w:trPr>
        <w:tc>
          <w:tcPr>
            <w:tcW w:w="683" w:type="dxa"/>
            <w:tcBorders>
              <w:top w:val="nil"/>
              <w:left w:val="single" w:color="auto" w:sz="4" w:space="0"/>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52</w:t>
            </w:r>
          </w:p>
        </w:tc>
        <w:tc>
          <w:tcPr>
            <w:tcW w:w="1537" w:type="dxa"/>
            <w:tcBorders>
              <w:top w:val="nil"/>
              <w:left w:val="nil"/>
              <w:bottom w:val="single" w:color="auto" w:sz="4" w:space="0"/>
              <w:right w:val="single" w:color="auto" w:sz="4" w:space="0"/>
            </w:tcBorders>
            <w:shd w:val="clear" w:color="000000" w:fill="FFFFFF"/>
            <w:vAlign w:val="center"/>
          </w:tcPr>
          <w:p>
            <w:pPr>
              <w:spacing w:line="0" w:lineRule="atLeast"/>
              <w:rPr>
                <w:rFonts w:ascii="Calibri" w:hAnsi="宋体" w:eastAsia="宋体" w:cs="宋体"/>
                <w:color w:val="000000"/>
                <w:sz w:val="21"/>
                <w:szCs w:val="21"/>
              </w:rPr>
            </w:pPr>
            <w:r>
              <w:rPr>
                <w:rFonts w:ascii="Calibri" w:hAnsi="宋体" w:eastAsia="宋体" w:cs="宋体"/>
                <w:color w:val="000000"/>
                <w:sz w:val="21"/>
                <w:szCs w:val="21"/>
              </w:rPr>
              <w:t>“云上云”数字经济实验示范基地</w:t>
            </w:r>
          </w:p>
        </w:tc>
        <w:tc>
          <w:tcPr>
            <w:tcW w:w="938"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信息产业园</w:t>
            </w:r>
          </w:p>
        </w:tc>
        <w:tc>
          <w:tcPr>
            <w:tcW w:w="924"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大数据</w:t>
            </w:r>
          </w:p>
        </w:tc>
        <w:tc>
          <w:tcPr>
            <w:tcW w:w="812"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续建</w:t>
            </w:r>
          </w:p>
        </w:tc>
        <w:tc>
          <w:tcPr>
            <w:tcW w:w="1049"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2019-2021</w:t>
            </w:r>
          </w:p>
        </w:tc>
        <w:tc>
          <w:tcPr>
            <w:tcW w:w="3206" w:type="dxa"/>
            <w:tcBorders>
              <w:top w:val="nil"/>
              <w:left w:val="nil"/>
              <w:bottom w:val="single" w:color="auto" w:sz="4" w:space="0"/>
              <w:right w:val="single" w:color="auto" w:sz="4" w:space="0"/>
            </w:tcBorders>
            <w:shd w:val="clear" w:color="000000" w:fill="FFFFFF"/>
            <w:vAlign w:val="center"/>
          </w:tcPr>
          <w:p>
            <w:pPr>
              <w:spacing w:line="0" w:lineRule="atLeast"/>
              <w:rPr>
                <w:rFonts w:ascii="Calibri" w:hAnsi="宋体" w:eastAsia="宋体" w:cs="宋体"/>
                <w:color w:val="000000"/>
                <w:sz w:val="21"/>
                <w:szCs w:val="21"/>
              </w:rPr>
            </w:pPr>
            <w:r>
              <w:rPr>
                <w:rFonts w:ascii="Calibri" w:hAnsi="宋体" w:eastAsia="宋体" w:cs="宋体"/>
                <w:color w:val="000000"/>
                <w:sz w:val="21"/>
                <w:szCs w:val="21"/>
              </w:rPr>
              <w:t>用地面积159亩，建设面向南亚东南亚的区域信息汇集中心,北斗应用中心、云计算中心等。</w:t>
            </w:r>
          </w:p>
        </w:tc>
        <w:tc>
          <w:tcPr>
            <w:tcW w:w="840"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181000</w:t>
            </w:r>
          </w:p>
        </w:tc>
        <w:tc>
          <w:tcPr>
            <w:tcW w:w="756" w:type="dxa"/>
            <w:gridSpan w:val="2"/>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0</w:t>
            </w:r>
          </w:p>
        </w:tc>
        <w:tc>
          <w:tcPr>
            <w:tcW w:w="796"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181000</w:t>
            </w:r>
          </w:p>
        </w:tc>
        <w:tc>
          <w:tcPr>
            <w:tcW w:w="813"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150000</w:t>
            </w:r>
          </w:p>
        </w:tc>
        <w:tc>
          <w:tcPr>
            <w:tcW w:w="854"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31000</w:t>
            </w:r>
          </w:p>
        </w:tc>
        <w:tc>
          <w:tcPr>
            <w:tcW w:w="756"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p>
        </w:tc>
        <w:tc>
          <w:tcPr>
            <w:tcW w:w="252"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p>
        </w:tc>
      </w:tr>
      <w:tr>
        <w:tblPrEx>
          <w:tblCellMar>
            <w:top w:w="0" w:type="dxa"/>
            <w:left w:w="57" w:type="dxa"/>
            <w:bottom w:w="0" w:type="dxa"/>
            <w:right w:w="57" w:type="dxa"/>
          </w:tblCellMar>
        </w:tblPrEx>
        <w:trPr>
          <w:trHeight w:val="1142" w:hRule="atLeast"/>
        </w:trPr>
        <w:tc>
          <w:tcPr>
            <w:tcW w:w="683" w:type="dxa"/>
            <w:tcBorders>
              <w:top w:val="nil"/>
              <w:left w:val="single" w:color="auto" w:sz="4" w:space="0"/>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53</w:t>
            </w:r>
          </w:p>
        </w:tc>
        <w:tc>
          <w:tcPr>
            <w:tcW w:w="1537" w:type="dxa"/>
            <w:tcBorders>
              <w:top w:val="nil"/>
              <w:left w:val="nil"/>
              <w:bottom w:val="single" w:color="auto" w:sz="4" w:space="0"/>
              <w:right w:val="single" w:color="auto" w:sz="4" w:space="0"/>
            </w:tcBorders>
            <w:shd w:val="clear" w:color="000000" w:fill="FFFFFF"/>
            <w:vAlign w:val="center"/>
          </w:tcPr>
          <w:p>
            <w:pPr>
              <w:spacing w:line="0" w:lineRule="atLeast"/>
              <w:rPr>
                <w:rFonts w:ascii="Calibri" w:hAnsi="宋体" w:eastAsia="宋体" w:cs="宋体"/>
                <w:color w:val="000000"/>
                <w:sz w:val="21"/>
                <w:szCs w:val="21"/>
              </w:rPr>
            </w:pPr>
            <w:r>
              <w:rPr>
                <w:rFonts w:ascii="Calibri" w:hAnsi="宋体" w:eastAsia="宋体" w:cs="宋体"/>
                <w:color w:val="000000"/>
                <w:sz w:val="21"/>
                <w:szCs w:val="21"/>
              </w:rPr>
              <w:t>紫光芯云产业园项目</w:t>
            </w:r>
          </w:p>
        </w:tc>
        <w:tc>
          <w:tcPr>
            <w:tcW w:w="938"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信息产业园</w:t>
            </w:r>
          </w:p>
        </w:tc>
        <w:tc>
          <w:tcPr>
            <w:tcW w:w="924"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大数据</w:t>
            </w:r>
          </w:p>
        </w:tc>
        <w:tc>
          <w:tcPr>
            <w:tcW w:w="812"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续建</w:t>
            </w:r>
          </w:p>
        </w:tc>
        <w:tc>
          <w:tcPr>
            <w:tcW w:w="1049"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2019-2022</w:t>
            </w:r>
          </w:p>
        </w:tc>
        <w:tc>
          <w:tcPr>
            <w:tcW w:w="3206" w:type="dxa"/>
            <w:tcBorders>
              <w:top w:val="nil"/>
              <w:left w:val="nil"/>
              <w:bottom w:val="single" w:color="auto" w:sz="4" w:space="0"/>
              <w:right w:val="single" w:color="auto" w:sz="4" w:space="0"/>
            </w:tcBorders>
            <w:shd w:val="clear" w:color="000000" w:fill="FFFFFF"/>
            <w:vAlign w:val="center"/>
          </w:tcPr>
          <w:p>
            <w:pPr>
              <w:spacing w:line="0" w:lineRule="atLeast"/>
              <w:rPr>
                <w:rFonts w:ascii="Calibri" w:hAnsi="宋体" w:eastAsia="宋体" w:cs="宋体"/>
                <w:color w:val="000000"/>
                <w:sz w:val="21"/>
                <w:szCs w:val="21"/>
              </w:rPr>
            </w:pPr>
            <w:r>
              <w:rPr>
                <w:rFonts w:ascii="Calibri" w:hAnsi="宋体" w:eastAsia="宋体" w:cs="宋体"/>
                <w:color w:val="000000"/>
                <w:sz w:val="21"/>
                <w:szCs w:val="21"/>
              </w:rPr>
              <w:t>用地面积约135亩。建设内容为：建设大数据、云计算、集成电路等产业的区域性研发基地；建设信息产业大学、信息基础设施、信息技术服务、高端装备制造、信息技术人才的输出基地。</w:t>
            </w:r>
          </w:p>
        </w:tc>
        <w:tc>
          <w:tcPr>
            <w:tcW w:w="840"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600000</w:t>
            </w:r>
          </w:p>
        </w:tc>
        <w:tc>
          <w:tcPr>
            <w:tcW w:w="756" w:type="dxa"/>
            <w:gridSpan w:val="2"/>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0</w:t>
            </w:r>
          </w:p>
        </w:tc>
        <w:tc>
          <w:tcPr>
            <w:tcW w:w="796"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600000</w:t>
            </w:r>
          </w:p>
        </w:tc>
        <w:tc>
          <w:tcPr>
            <w:tcW w:w="813"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100000</w:t>
            </w:r>
          </w:p>
        </w:tc>
        <w:tc>
          <w:tcPr>
            <w:tcW w:w="854"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500000</w:t>
            </w:r>
          </w:p>
        </w:tc>
        <w:tc>
          <w:tcPr>
            <w:tcW w:w="756"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p>
        </w:tc>
        <w:tc>
          <w:tcPr>
            <w:tcW w:w="252"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p>
        </w:tc>
      </w:tr>
      <w:tr>
        <w:tblPrEx>
          <w:tblCellMar>
            <w:top w:w="0" w:type="dxa"/>
            <w:left w:w="57" w:type="dxa"/>
            <w:bottom w:w="0" w:type="dxa"/>
            <w:right w:w="57" w:type="dxa"/>
          </w:tblCellMar>
        </w:tblPrEx>
        <w:trPr>
          <w:trHeight w:val="1142" w:hRule="atLeast"/>
        </w:trPr>
        <w:tc>
          <w:tcPr>
            <w:tcW w:w="683" w:type="dxa"/>
            <w:tcBorders>
              <w:top w:val="nil"/>
              <w:left w:val="single" w:color="auto" w:sz="4" w:space="0"/>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54</w:t>
            </w:r>
          </w:p>
        </w:tc>
        <w:tc>
          <w:tcPr>
            <w:tcW w:w="1537" w:type="dxa"/>
            <w:tcBorders>
              <w:top w:val="nil"/>
              <w:left w:val="nil"/>
              <w:bottom w:val="single" w:color="auto" w:sz="4" w:space="0"/>
              <w:right w:val="single" w:color="auto" w:sz="4" w:space="0"/>
            </w:tcBorders>
            <w:shd w:val="clear" w:color="000000" w:fill="FFFFFF"/>
            <w:vAlign w:val="center"/>
          </w:tcPr>
          <w:p>
            <w:pPr>
              <w:spacing w:line="0" w:lineRule="atLeast"/>
              <w:rPr>
                <w:rFonts w:ascii="Calibri" w:hAnsi="宋体" w:eastAsia="宋体" w:cs="宋体"/>
                <w:color w:val="000000"/>
                <w:sz w:val="21"/>
                <w:szCs w:val="21"/>
              </w:rPr>
            </w:pPr>
            <w:r>
              <w:rPr>
                <w:rFonts w:ascii="Calibri" w:hAnsi="宋体" w:eastAsia="宋体" w:cs="宋体"/>
                <w:color w:val="000000"/>
                <w:sz w:val="21"/>
                <w:szCs w:val="21"/>
              </w:rPr>
              <w:t>梆梆信息安全园项目</w:t>
            </w:r>
          </w:p>
        </w:tc>
        <w:tc>
          <w:tcPr>
            <w:tcW w:w="938"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信息产业园</w:t>
            </w:r>
          </w:p>
        </w:tc>
        <w:tc>
          <w:tcPr>
            <w:tcW w:w="924"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大数据</w:t>
            </w:r>
          </w:p>
        </w:tc>
        <w:tc>
          <w:tcPr>
            <w:tcW w:w="812"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续建</w:t>
            </w:r>
          </w:p>
        </w:tc>
        <w:tc>
          <w:tcPr>
            <w:tcW w:w="1049"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2019-2021</w:t>
            </w:r>
          </w:p>
        </w:tc>
        <w:tc>
          <w:tcPr>
            <w:tcW w:w="3206" w:type="dxa"/>
            <w:tcBorders>
              <w:top w:val="nil"/>
              <w:left w:val="nil"/>
              <w:bottom w:val="single" w:color="auto" w:sz="4" w:space="0"/>
              <w:right w:val="single" w:color="auto" w:sz="4" w:space="0"/>
            </w:tcBorders>
            <w:shd w:val="clear" w:color="000000" w:fill="FFFFFF"/>
            <w:vAlign w:val="center"/>
          </w:tcPr>
          <w:p>
            <w:pPr>
              <w:spacing w:line="0" w:lineRule="atLeast"/>
              <w:rPr>
                <w:rFonts w:ascii="Calibri" w:hAnsi="宋体" w:eastAsia="宋体" w:cs="宋体"/>
                <w:color w:val="000000"/>
                <w:sz w:val="21"/>
                <w:szCs w:val="21"/>
              </w:rPr>
            </w:pPr>
            <w:r>
              <w:rPr>
                <w:rFonts w:ascii="Calibri" w:hAnsi="宋体" w:eastAsia="宋体" w:cs="宋体"/>
                <w:color w:val="000000"/>
                <w:sz w:val="21"/>
                <w:szCs w:val="21"/>
              </w:rPr>
              <w:t>用地约53亩，主要建设：技术开发、技术服务、计算机系统服务、网络安全。</w:t>
            </w:r>
          </w:p>
        </w:tc>
        <w:tc>
          <w:tcPr>
            <w:tcW w:w="840"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50000</w:t>
            </w:r>
          </w:p>
        </w:tc>
        <w:tc>
          <w:tcPr>
            <w:tcW w:w="756" w:type="dxa"/>
            <w:gridSpan w:val="2"/>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0</w:t>
            </w:r>
          </w:p>
        </w:tc>
        <w:tc>
          <w:tcPr>
            <w:tcW w:w="796"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50000</w:t>
            </w:r>
          </w:p>
        </w:tc>
        <w:tc>
          <w:tcPr>
            <w:tcW w:w="813"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30000</w:t>
            </w:r>
          </w:p>
        </w:tc>
        <w:tc>
          <w:tcPr>
            <w:tcW w:w="854"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20000</w:t>
            </w:r>
          </w:p>
        </w:tc>
        <w:tc>
          <w:tcPr>
            <w:tcW w:w="756" w:type="dxa"/>
            <w:tcBorders>
              <w:top w:val="nil"/>
              <w:left w:val="single" w:color="auto" w:sz="4" w:space="0"/>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22</w:t>
            </w:r>
          </w:p>
        </w:tc>
        <w:tc>
          <w:tcPr>
            <w:tcW w:w="252" w:type="dxa"/>
            <w:tcBorders>
              <w:top w:val="nil"/>
              <w:left w:val="nil"/>
              <w:bottom w:val="single" w:color="auto" w:sz="4" w:space="0"/>
              <w:right w:val="single" w:color="auto" w:sz="4" w:space="0"/>
            </w:tcBorders>
            <w:shd w:val="clear" w:color="000000" w:fill="FFFFFF"/>
            <w:vAlign w:val="center"/>
          </w:tcPr>
          <w:p>
            <w:pPr>
              <w:spacing w:line="0" w:lineRule="atLeast"/>
              <w:rPr>
                <w:rFonts w:ascii="Calibri" w:hAnsi="宋体" w:eastAsia="宋体" w:cs="宋体"/>
                <w:color w:val="000000"/>
                <w:sz w:val="21"/>
                <w:szCs w:val="21"/>
              </w:rPr>
            </w:pPr>
            <w:r>
              <w:rPr>
                <w:rFonts w:ascii="Calibri" w:hAnsi="宋体" w:eastAsia="宋体" w:cs="宋体"/>
                <w:color w:val="000000"/>
                <w:sz w:val="21"/>
                <w:szCs w:val="21"/>
              </w:rPr>
              <w:t>梆梆信息安全园项目</w:t>
            </w:r>
          </w:p>
        </w:tc>
      </w:tr>
      <w:tr>
        <w:tblPrEx>
          <w:tblCellMar>
            <w:top w:w="0" w:type="dxa"/>
            <w:left w:w="57" w:type="dxa"/>
            <w:bottom w:w="0" w:type="dxa"/>
            <w:right w:w="57" w:type="dxa"/>
          </w:tblCellMar>
        </w:tblPrEx>
        <w:trPr>
          <w:trHeight w:val="1142" w:hRule="atLeast"/>
        </w:trPr>
        <w:tc>
          <w:tcPr>
            <w:tcW w:w="683" w:type="dxa"/>
            <w:tcBorders>
              <w:top w:val="nil"/>
              <w:left w:val="single" w:color="auto" w:sz="4" w:space="0"/>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55</w:t>
            </w:r>
          </w:p>
        </w:tc>
        <w:tc>
          <w:tcPr>
            <w:tcW w:w="1537" w:type="dxa"/>
            <w:tcBorders>
              <w:top w:val="nil"/>
              <w:left w:val="nil"/>
              <w:bottom w:val="single" w:color="auto" w:sz="4" w:space="0"/>
              <w:right w:val="single" w:color="auto" w:sz="4" w:space="0"/>
            </w:tcBorders>
            <w:shd w:val="clear" w:color="000000" w:fill="FFFFFF"/>
            <w:vAlign w:val="center"/>
          </w:tcPr>
          <w:p>
            <w:pPr>
              <w:spacing w:line="0" w:lineRule="atLeast"/>
              <w:rPr>
                <w:rFonts w:ascii="Calibri" w:hAnsi="宋体" w:eastAsia="宋体" w:cs="宋体"/>
                <w:color w:val="000000"/>
                <w:sz w:val="21"/>
                <w:szCs w:val="21"/>
              </w:rPr>
            </w:pPr>
            <w:r>
              <w:rPr>
                <w:rFonts w:ascii="Calibri" w:hAnsi="宋体" w:eastAsia="宋体" w:cs="宋体"/>
                <w:color w:val="000000"/>
                <w:sz w:val="21"/>
                <w:szCs w:val="21"/>
              </w:rPr>
              <w:t>云上小镇建设项目（三期）</w:t>
            </w:r>
          </w:p>
        </w:tc>
        <w:tc>
          <w:tcPr>
            <w:tcW w:w="938"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信息产业园</w:t>
            </w:r>
          </w:p>
        </w:tc>
        <w:tc>
          <w:tcPr>
            <w:tcW w:w="924"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大数据</w:t>
            </w:r>
          </w:p>
        </w:tc>
        <w:tc>
          <w:tcPr>
            <w:tcW w:w="812"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续建</w:t>
            </w:r>
          </w:p>
        </w:tc>
        <w:tc>
          <w:tcPr>
            <w:tcW w:w="1049"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2020-2023</w:t>
            </w:r>
          </w:p>
        </w:tc>
        <w:tc>
          <w:tcPr>
            <w:tcW w:w="3206" w:type="dxa"/>
            <w:tcBorders>
              <w:top w:val="nil"/>
              <w:left w:val="nil"/>
              <w:bottom w:val="nil"/>
              <w:right w:val="nil"/>
            </w:tcBorders>
            <w:shd w:val="clear" w:color="000000" w:fill="FFFFFF"/>
            <w:vAlign w:val="center"/>
          </w:tcPr>
          <w:p>
            <w:pPr>
              <w:spacing w:line="0" w:lineRule="atLeast"/>
              <w:rPr>
                <w:rFonts w:ascii="Calibri" w:hAnsi="宋体" w:eastAsia="宋体" w:cs="宋体"/>
                <w:color w:val="000000"/>
                <w:sz w:val="21"/>
                <w:szCs w:val="21"/>
              </w:rPr>
            </w:pPr>
            <w:r>
              <w:rPr>
                <w:rFonts w:ascii="Calibri" w:hAnsi="宋体" w:eastAsia="宋体" w:cs="宋体"/>
                <w:color w:val="000000"/>
                <w:sz w:val="21"/>
                <w:szCs w:val="21"/>
              </w:rPr>
              <w:t>项目占地约65亩，总面积约20万平米。建设内容包括：双创科技中心、创客公寓、众创写字楼、电商交易中心、开放实验室和开放工厂车间等项目。</w:t>
            </w:r>
          </w:p>
        </w:tc>
        <w:tc>
          <w:tcPr>
            <w:tcW w:w="840" w:type="dxa"/>
            <w:tcBorders>
              <w:top w:val="nil"/>
              <w:left w:val="single" w:color="auto" w:sz="4" w:space="0"/>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100000</w:t>
            </w:r>
          </w:p>
        </w:tc>
        <w:tc>
          <w:tcPr>
            <w:tcW w:w="756" w:type="dxa"/>
            <w:gridSpan w:val="2"/>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0</w:t>
            </w:r>
          </w:p>
        </w:tc>
        <w:tc>
          <w:tcPr>
            <w:tcW w:w="796"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100000</w:t>
            </w:r>
          </w:p>
        </w:tc>
        <w:tc>
          <w:tcPr>
            <w:tcW w:w="813"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100000</w:t>
            </w:r>
          </w:p>
        </w:tc>
        <w:tc>
          <w:tcPr>
            <w:tcW w:w="854"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0</w:t>
            </w:r>
          </w:p>
        </w:tc>
        <w:tc>
          <w:tcPr>
            <w:tcW w:w="756"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p>
        </w:tc>
        <w:tc>
          <w:tcPr>
            <w:tcW w:w="252"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p>
        </w:tc>
      </w:tr>
      <w:tr>
        <w:tblPrEx>
          <w:tblCellMar>
            <w:top w:w="0" w:type="dxa"/>
            <w:left w:w="57" w:type="dxa"/>
            <w:bottom w:w="0" w:type="dxa"/>
            <w:right w:w="57" w:type="dxa"/>
          </w:tblCellMar>
        </w:tblPrEx>
        <w:trPr>
          <w:trHeight w:val="340" w:hRule="atLeast"/>
        </w:trPr>
        <w:tc>
          <w:tcPr>
            <w:tcW w:w="683" w:type="dxa"/>
            <w:tcBorders>
              <w:top w:val="nil"/>
              <w:left w:val="single" w:color="auto" w:sz="4" w:space="0"/>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二</w:t>
            </w:r>
          </w:p>
        </w:tc>
        <w:tc>
          <w:tcPr>
            <w:tcW w:w="1537" w:type="dxa"/>
            <w:tcBorders>
              <w:top w:val="nil"/>
              <w:left w:val="nil"/>
              <w:bottom w:val="single" w:color="auto" w:sz="4" w:space="0"/>
              <w:right w:val="single" w:color="auto" w:sz="4" w:space="0"/>
            </w:tcBorders>
            <w:shd w:val="clear" w:color="000000" w:fill="FFFFFF"/>
            <w:vAlign w:val="center"/>
          </w:tcPr>
          <w:p>
            <w:pPr>
              <w:spacing w:line="0" w:lineRule="atLeast"/>
              <w:rPr>
                <w:rFonts w:ascii="Calibri" w:hAnsi="宋体" w:eastAsia="宋体" w:cs="宋体"/>
                <w:color w:val="000000"/>
                <w:sz w:val="21"/>
                <w:szCs w:val="21"/>
              </w:rPr>
            </w:pPr>
            <w:r>
              <w:rPr>
                <w:rFonts w:ascii="Calibri" w:hAnsi="宋体" w:eastAsia="宋体" w:cs="宋体"/>
                <w:color w:val="000000"/>
                <w:sz w:val="21"/>
                <w:szCs w:val="21"/>
              </w:rPr>
              <w:t>新建（25项）</w:t>
            </w:r>
          </w:p>
        </w:tc>
        <w:tc>
          <w:tcPr>
            <w:tcW w:w="938"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p>
        </w:tc>
        <w:tc>
          <w:tcPr>
            <w:tcW w:w="924"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p>
        </w:tc>
        <w:tc>
          <w:tcPr>
            <w:tcW w:w="812"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p>
        </w:tc>
        <w:tc>
          <w:tcPr>
            <w:tcW w:w="1049"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p>
        </w:tc>
        <w:tc>
          <w:tcPr>
            <w:tcW w:w="3206" w:type="dxa"/>
            <w:tcBorders>
              <w:top w:val="nil"/>
              <w:left w:val="nil"/>
              <w:bottom w:val="single" w:color="auto" w:sz="4" w:space="0"/>
              <w:right w:val="single" w:color="auto" w:sz="4" w:space="0"/>
            </w:tcBorders>
            <w:shd w:val="clear" w:color="000000" w:fill="FFFFFF"/>
            <w:vAlign w:val="center"/>
          </w:tcPr>
          <w:p>
            <w:pPr>
              <w:spacing w:line="0" w:lineRule="atLeast"/>
              <w:rPr>
                <w:rFonts w:ascii="Calibri" w:hAnsi="宋体" w:eastAsia="宋体" w:cs="宋体"/>
                <w:color w:val="000000"/>
                <w:sz w:val="21"/>
                <w:szCs w:val="21"/>
              </w:rPr>
            </w:pPr>
          </w:p>
        </w:tc>
        <w:tc>
          <w:tcPr>
            <w:tcW w:w="840" w:type="dxa"/>
            <w:tcBorders>
              <w:top w:val="nil"/>
              <w:left w:val="nil"/>
              <w:bottom w:val="single" w:color="auto" w:sz="4" w:space="0"/>
              <w:right w:val="single" w:color="auto" w:sz="4" w:space="0"/>
            </w:tcBorders>
            <w:shd w:val="clear" w:color="000000" w:fill="FFFFFF"/>
            <w:vAlign w:val="center"/>
          </w:tcPr>
          <w:p>
            <w:pPr>
              <w:jc w:val="right"/>
              <w:rPr>
                <w:rFonts w:ascii="Calibri" w:hAnsi="宋体" w:eastAsia="宋体" w:cs="宋体"/>
                <w:color w:val="000000"/>
                <w:sz w:val="21"/>
                <w:szCs w:val="21"/>
              </w:rPr>
            </w:pPr>
          </w:p>
        </w:tc>
        <w:tc>
          <w:tcPr>
            <w:tcW w:w="756" w:type="dxa"/>
            <w:gridSpan w:val="2"/>
            <w:tcBorders>
              <w:top w:val="nil"/>
              <w:left w:val="nil"/>
              <w:bottom w:val="single" w:color="auto" w:sz="4" w:space="0"/>
              <w:right w:val="single" w:color="auto" w:sz="4" w:space="0"/>
            </w:tcBorders>
            <w:shd w:val="clear" w:color="000000" w:fill="FFFFFF"/>
            <w:vAlign w:val="center"/>
          </w:tcPr>
          <w:p>
            <w:pPr>
              <w:jc w:val="right"/>
              <w:rPr>
                <w:rFonts w:ascii="Calibri" w:hAnsi="宋体" w:eastAsia="宋体" w:cs="宋体"/>
                <w:color w:val="000000"/>
                <w:sz w:val="21"/>
                <w:szCs w:val="21"/>
              </w:rPr>
            </w:pPr>
          </w:p>
        </w:tc>
        <w:tc>
          <w:tcPr>
            <w:tcW w:w="796" w:type="dxa"/>
            <w:tcBorders>
              <w:top w:val="nil"/>
              <w:left w:val="nil"/>
              <w:bottom w:val="single" w:color="auto" w:sz="4" w:space="0"/>
              <w:right w:val="single" w:color="auto" w:sz="4" w:space="0"/>
            </w:tcBorders>
            <w:shd w:val="clear" w:color="000000" w:fill="FFFFFF"/>
            <w:vAlign w:val="center"/>
          </w:tcPr>
          <w:p>
            <w:pPr>
              <w:jc w:val="right"/>
              <w:rPr>
                <w:rFonts w:ascii="Calibri" w:hAnsi="宋体" w:eastAsia="宋体" w:cs="宋体"/>
                <w:color w:val="000000"/>
                <w:sz w:val="21"/>
                <w:szCs w:val="21"/>
              </w:rPr>
            </w:pPr>
          </w:p>
        </w:tc>
        <w:tc>
          <w:tcPr>
            <w:tcW w:w="813" w:type="dxa"/>
            <w:tcBorders>
              <w:top w:val="nil"/>
              <w:left w:val="nil"/>
              <w:bottom w:val="single" w:color="auto" w:sz="4" w:space="0"/>
              <w:right w:val="single" w:color="auto" w:sz="4" w:space="0"/>
            </w:tcBorders>
            <w:shd w:val="clear" w:color="000000" w:fill="FFFFFF"/>
            <w:vAlign w:val="center"/>
          </w:tcPr>
          <w:p>
            <w:pPr>
              <w:jc w:val="right"/>
              <w:rPr>
                <w:rFonts w:ascii="Calibri" w:hAnsi="宋体" w:eastAsia="宋体" w:cs="宋体"/>
                <w:color w:val="000000"/>
                <w:sz w:val="21"/>
                <w:szCs w:val="21"/>
              </w:rPr>
            </w:pPr>
          </w:p>
        </w:tc>
        <w:tc>
          <w:tcPr>
            <w:tcW w:w="854" w:type="dxa"/>
            <w:tcBorders>
              <w:top w:val="nil"/>
              <w:left w:val="nil"/>
              <w:bottom w:val="single" w:color="auto" w:sz="4" w:space="0"/>
              <w:right w:val="single" w:color="auto" w:sz="4" w:space="0"/>
            </w:tcBorders>
            <w:shd w:val="clear" w:color="000000" w:fill="FFFFFF"/>
            <w:vAlign w:val="center"/>
          </w:tcPr>
          <w:p>
            <w:pPr>
              <w:jc w:val="right"/>
              <w:rPr>
                <w:rFonts w:ascii="Calibri" w:hAnsi="宋体" w:eastAsia="宋体" w:cs="宋体"/>
                <w:color w:val="000000"/>
                <w:sz w:val="21"/>
                <w:szCs w:val="21"/>
              </w:rPr>
            </w:pPr>
          </w:p>
        </w:tc>
        <w:tc>
          <w:tcPr>
            <w:tcW w:w="756" w:type="dxa"/>
            <w:tcBorders>
              <w:top w:val="nil"/>
              <w:left w:val="nil"/>
              <w:bottom w:val="single" w:color="auto" w:sz="4" w:space="0"/>
              <w:right w:val="single" w:color="auto" w:sz="4" w:space="0"/>
            </w:tcBorders>
            <w:shd w:val="clear" w:color="000000" w:fill="FFFFFF"/>
            <w:vAlign w:val="center"/>
          </w:tcPr>
          <w:p>
            <w:pPr>
              <w:jc w:val="right"/>
              <w:rPr>
                <w:rFonts w:ascii="Calibri" w:hAnsi="宋体" w:eastAsia="宋体" w:cs="宋体"/>
                <w:color w:val="000000"/>
                <w:sz w:val="21"/>
                <w:szCs w:val="21"/>
              </w:rPr>
            </w:pPr>
            <w:r>
              <w:rPr>
                <w:rFonts w:ascii="Calibri" w:hAnsi="宋体" w:eastAsia="宋体" w:cs="宋体"/>
                <w:color w:val="000000"/>
                <w:sz w:val="21"/>
                <w:szCs w:val="21"/>
              </w:rPr>
              <w:t>4692850</w:t>
            </w:r>
          </w:p>
        </w:tc>
        <w:tc>
          <w:tcPr>
            <w:tcW w:w="252"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p>
        </w:tc>
      </w:tr>
      <w:tr>
        <w:tblPrEx>
          <w:tblCellMar>
            <w:top w:w="0" w:type="dxa"/>
            <w:left w:w="57" w:type="dxa"/>
            <w:bottom w:w="0" w:type="dxa"/>
            <w:right w:w="57" w:type="dxa"/>
          </w:tblCellMar>
        </w:tblPrEx>
        <w:trPr>
          <w:trHeight w:val="340" w:hRule="atLeast"/>
        </w:trPr>
        <w:tc>
          <w:tcPr>
            <w:tcW w:w="683" w:type="dxa"/>
            <w:tcBorders>
              <w:top w:val="nil"/>
              <w:left w:val="single" w:color="auto" w:sz="4" w:space="0"/>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1</w:t>
            </w:r>
          </w:p>
        </w:tc>
        <w:tc>
          <w:tcPr>
            <w:tcW w:w="1537" w:type="dxa"/>
            <w:tcBorders>
              <w:top w:val="nil"/>
              <w:left w:val="nil"/>
              <w:bottom w:val="single" w:color="auto" w:sz="4" w:space="0"/>
              <w:right w:val="single" w:color="auto" w:sz="4" w:space="0"/>
            </w:tcBorders>
            <w:shd w:val="clear" w:color="000000" w:fill="FFFFFF"/>
            <w:vAlign w:val="center"/>
          </w:tcPr>
          <w:p>
            <w:pPr>
              <w:spacing w:line="0" w:lineRule="atLeast"/>
              <w:rPr>
                <w:rFonts w:ascii="Calibri" w:hAnsi="宋体" w:eastAsia="宋体" w:cs="宋体"/>
                <w:color w:val="000000"/>
                <w:sz w:val="21"/>
                <w:szCs w:val="21"/>
              </w:rPr>
            </w:pPr>
            <w:r>
              <w:rPr>
                <w:rFonts w:ascii="Calibri" w:hAnsi="宋体" w:eastAsia="宋体" w:cs="宋体"/>
                <w:color w:val="000000"/>
                <w:sz w:val="21"/>
                <w:szCs w:val="21"/>
              </w:rPr>
              <w:t>泛亚龙城三期</w:t>
            </w:r>
          </w:p>
        </w:tc>
        <w:tc>
          <w:tcPr>
            <w:tcW w:w="938"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龙城街道</w:t>
            </w:r>
          </w:p>
        </w:tc>
        <w:tc>
          <w:tcPr>
            <w:tcW w:w="924"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农业产业发展</w:t>
            </w:r>
          </w:p>
        </w:tc>
        <w:tc>
          <w:tcPr>
            <w:tcW w:w="812"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新建</w:t>
            </w:r>
          </w:p>
        </w:tc>
        <w:tc>
          <w:tcPr>
            <w:tcW w:w="1049"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2021-2025</w:t>
            </w:r>
          </w:p>
        </w:tc>
        <w:tc>
          <w:tcPr>
            <w:tcW w:w="3206" w:type="dxa"/>
            <w:tcBorders>
              <w:top w:val="nil"/>
              <w:left w:val="nil"/>
              <w:bottom w:val="single" w:color="auto" w:sz="4" w:space="0"/>
              <w:right w:val="single" w:color="auto" w:sz="4" w:space="0"/>
            </w:tcBorders>
            <w:shd w:val="clear" w:color="000000" w:fill="FFFFFF"/>
            <w:vAlign w:val="center"/>
          </w:tcPr>
          <w:p>
            <w:pPr>
              <w:spacing w:line="0" w:lineRule="atLeast"/>
              <w:rPr>
                <w:rFonts w:ascii="Calibri" w:hAnsi="宋体" w:eastAsia="宋体" w:cs="宋体"/>
                <w:color w:val="000000"/>
                <w:sz w:val="21"/>
                <w:szCs w:val="21"/>
              </w:rPr>
            </w:pPr>
            <w:r>
              <w:rPr>
                <w:rFonts w:ascii="Calibri" w:hAnsi="宋体" w:eastAsia="宋体" w:cs="宋体"/>
                <w:color w:val="000000"/>
                <w:sz w:val="21"/>
                <w:szCs w:val="21"/>
              </w:rPr>
              <w:t>项目三期用地89亩，建设内容为物流中心和冷链配送项目，至今闲置，目前交由古城社区代为管理。</w:t>
            </w:r>
          </w:p>
        </w:tc>
        <w:tc>
          <w:tcPr>
            <w:tcW w:w="840"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80000</w:t>
            </w:r>
          </w:p>
        </w:tc>
        <w:tc>
          <w:tcPr>
            <w:tcW w:w="756" w:type="dxa"/>
            <w:gridSpan w:val="2"/>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0</w:t>
            </w:r>
          </w:p>
        </w:tc>
        <w:tc>
          <w:tcPr>
            <w:tcW w:w="796"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80000</w:t>
            </w:r>
          </w:p>
        </w:tc>
        <w:tc>
          <w:tcPr>
            <w:tcW w:w="813"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0</w:t>
            </w:r>
          </w:p>
        </w:tc>
        <w:tc>
          <w:tcPr>
            <w:tcW w:w="854"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80000</w:t>
            </w:r>
          </w:p>
        </w:tc>
        <w:tc>
          <w:tcPr>
            <w:tcW w:w="756"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0</w:t>
            </w:r>
          </w:p>
        </w:tc>
        <w:tc>
          <w:tcPr>
            <w:tcW w:w="252"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p>
        </w:tc>
      </w:tr>
      <w:tr>
        <w:tblPrEx>
          <w:tblCellMar>
            <w:top w:w="0" w:type="dxa"/>
            <w:left w:w="57" w:type="dxa"/>
            <w:bottom w:w="0" w:type="dxa"/>
            <w:right w:w="57" w:type="dxa"/>
          </w:tblCellMar>
        </w:tblPrEx>
        <w:trPr>
          <w:trHeight w:val="340" w:hRule="atLeast"/>
        </w:trPr>
        <w:tc>
          <w:tcPr>
            <w:tcW w:w="683" w:type="dxa"/>
            <w:tcBorders>
              <w:top w:val="nil"/>
              <w:left w:val="single" w:color="auto" w:sz="4" w:space="0"/>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2</w:t>
            </w:r>
          </w:p>
        </w:tc>
        <w:tc>
          <w:tcPr>
            <w:tcW w:w="1537" w:type="dxa"/>
            <w:tcBorders>
              <w:top w:val="nil"/>
              <w:left w:val="nil"/>
              <w:bottom w:val="single" w:color="auto" w:sz="4" w:space="0"/>
              <w:right w:val="single" w:color="auto" w:sz="4" w:space="0"/>
            </w:tcBorders>
            <w:shd w:val="clear" w:color="000000" w:fill="FFFFFF"/>
            <w:vAlign w:val="center"/>
          </w:tcPr>
          <w:p>
            <w:pPr>
              <w:spacing w:line="0" w:lineRule="atLeast"/>
              <w:rPr>
                <w:rFonts w:ascii="Calibri" w:hAnsi="宋体" w:eastAsia="宋体" w:cs="宋体"/>
                <w:color w:val="000000"/>
                <w:sz w:val="21"/>
                <w:szCs w:val="21"/>
              </w:rPr>
            </w:pPr>
            <w:r>
              <w:rPr>
                <w:rFonts w:ascii="Calibri" w:hAnsi="宋体" w:eastAsia="宋体" w:cs="宋体"/>
                <w:color w:val="000000"/>
                <w:sz w:val="21"/>
                <w:szCs w:val="21"/>
              </w:rPr>
              <w:t>花卉循环经济科普中心</w:t>
            </w:r>
          </w:p>
        </w:tc>
        <w:tc>
          <w:tcPr>
            <w:tcW w:w="938"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斗南街道</w:t>
            </w:r>
          </w:p>
        </w:tc>
        <w:tc>
          <w:tcPr>
            <w:tcW w:w="924"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农业产业发展</w:t>
            </w:r>
          </w:p>
        </w:tc>
        <w:tc>
          <w:tcPr>
            <w:tcW w:w="812"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新建</w:t>
            </w:r>
          </w:p>
        </w:tc>
        <w:tc>
          <w:tcPr>
            <w:tcW w:w="1049"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2025-2030</w:t>
            </w:r>
          </w:p>
        </w:tc>
        <w:tc>
          <w:tcPr>
            <w:tcW w:w="3206" w:type="dxa"/>
            <w:tcBorders>
              <w:top w:val="nil"/>
              <w:left w:val="nil"/>
              <w:bottom w:val="single" w:color="auto" w:sz="4" w:space="0"/>
              <w:right w:val="single" w:color="auto" w:sz="4" w:space="0"/>
            </w:tcBorders>
            <w:shd w:val="clear" w:color="000000" w:fill="FFFFFF"/>
            <w:vAlign w:val="center"/>
          </w:tcPr>
          <w:p>
            <w:pPr>
              <w:spacing w:line="0" w:lineRule="atLeast"/>
              <w:rPr>
                <w:rFonts w:ascii="Calibri" w:hAnsi="宋体" w:eastAsia="宋体" w:cs="宋体"/>
                <w:color w:val="000000"/>
                <w:sz w:val="21"/>
                <w:szCs w:val="21"/>
              </w:rPr>
            </w:pPr>
            <w:r>
              <w:rPr>
                <w:rFonts w:ascii="Calibri" w:hAnsi="宋体" w:eastAsia="宋体" w:cs="宋体"/>
                <w:color w:val="000000"/>
                <w:sz w:val="21"/>
                <w:szCs w:val="21"/>
              </w:rPr>
              <w:t>利用农田绿地资源，展现自动喷灌系统、肥料溶水施肥、花卉废料再利用回收、互联网监测示范功能，</w:t>
            </w:r>
          </w:p>
          <w:p>
            <w:pPr>
              <w:spacing w:line="0" w:lineRule="atLeast"/>
              <w:rPr>
                <w:rFonts w:ascii="Calibri" w:hAnsi="宋体" w:eastAsia="宋体" w:cs="宋体"/>
                <w:color w:val="000000"/>
                <w:sz w:val="21"/>
                <w:szCs w:val="21"/>
              </w:rPr>
            </w:pPr>
            <w:r>
              <w:rPr>
                <w:rFonts w:ascii="Calibri" w:hAnsi="宋体" w:eastAsia="宋体" w:cs="宋体"/>
                <w:color w:val="000000"/>
                <w:sz w:val="21"/>
                <w:szCs w:val="21"/>
              </w:rPr>
              <w:t>嵌入科普教育、休闲娱乐等功能。</w:t>
            </w:r>
          </w:p>
        </w:tc>
        <w:tc>
          <w:tcPr>
            <w:tcW w:w="840"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6000</w:t>
            </w:r>
          </w:p>
        </w:tc>
        <w:tc>
          <w:tcPr>
            <w:tcW w:w="756" w:type="dxa"/>
            <w:gridSpan w:val="2"/>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0</w:t>
            </w:r>
          </w:p>
        </w:tc>
        <w:tc>
          <w:tcPr>
            <w:tcW w:w="796"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6000</w:t>
            </w:r>
          </w:p>
        </w:tc>
        <w:tc>
          <w:tcPr>
            <w:tcW w:w="813"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0</w:t>
            </w:r>
          </w:p>
        </w:tc>
        <w:tc>
          <w:tcPr>
            <w:tcW w:w="854"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0</w:t>
            </w:r>
          </w:p>
        </w:tc>
        <w:tc>
          <w:tcPr>
            <w:tcW w:w="756"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6000</w:t>
            </w:r>
          </w:p>
        </w:tc>
        <w:tc>
          <w:tcPr>
            <w:tcW w:w="252"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p>
        </w:tc>
      </w:tr>
      <w:tr>
        <w:tblPrEx>
          <w:tblCellMar>
            <w:top w:w="0" w:type="dxa"/>
            <w:left w:w="57" w:type="dxa"/>
            <w:bottom w:w="0" w:type="dxa"/>
            <w:right w:w="57" w:type="dxa"/>
          </w:tblCellMar>
        </w:tblPrEx>
        <w:trPr>
          <w:trHeight w:val="340" w:hRule="atLeast"/>
        </w:trPr>
        <w:tc>
          <w:tcPr>
            <w:tcW w:w="683" w:type="dxa"/>
            <w:tcBorders>
              <w:top w:val="nil"/>
              <w:left w:val="single" w:color="auto" w:sz="4" w:space="0"/>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3</w:t>
            </w:r>
          </w:p>
        </w:tc>
        <w:tc>
          <w:tcPr>
            <w:tcW w:w="1537" w:type="dxa"/>
            <w:tcBorders>
              <w:top w:val="nil"/>
              <w:left w:val="nil"/>
              <w:bottom w:val="single" w:color="auto" w:sz="4" w:space="0"/>
              <w:right w:val="single" w:color="auto" w:sz="4" w:space="0"/>
            </w:tcBorders>
            <w:shd w:val="clear" w:color="000000" w:fill="FFFFFF"/>
            <w:vAlign w:val="center"/>
          </w:tcPr>
          <w:p>
            <w:pPr>
              <w:spacing w:line="0" w:lineRule="atLeast"/>
              <w:rPr>
                <w:rFonts w:ascii="Calibri" w:hAnsi="宋体" w:eastAsia="宋体" w:cs="宋体"/>
                <w:color w:val="000000"/>
                <w:sz w:val="21"/>
                <w:szCs w:val="21"/>
              </w:rPr>
            </w:pPr>
            <w:r>
              <w:rPr>
                <w:rFonts w:ascii="Calibri" w:hAnsi="宋体" w:eastAsia="宋体" w:cs="宋体"/>
                <w:color w:val="000000"/>
                <w:sz w:val="21"/>
                <w:szCs w:val="21"/>
              </w:rPr>
              <w:t>国家花卉改良研发中心一期工程</w:t>
            </w:r>
          </w:p>
        </w:tc>
        <w:tc>
          <w:tcPr>
            <w:tcW w:w="938"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斗南街道</w:t>
            </w:r>
          </w:p>
        </w:tc>
        <w:tc>
          <w:tcPr>
            <w:tcW w:w="924"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农业产业发展</w:t>
            </w:r>
          </w:p>
        </w:tc>
        <w:tc>
          <w:tcPr>
            <w:tcW w:w="812"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新建</w:t>
            </w:r>
          </w:p>
        </w:tc>
        <w:tc>
          <w:tcPr>
            <w:tcW w:w="1049"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2021-2025</w:t>
            </w:r>
          </w:p>
        </w:tc>
        <w:tc>
          <w:tcPr>
            <w:tcW w:w="3206" w:type="dxa"/>
            <w:tcBorders>
              <w:top w:val="nil"/>
              <w:left w:val="nil"/>
              <w:bottom w:val="single" w:color="auto" w:sz="4" w:space="0"/>
              <w:right w:val="single" w:color="auto" w:sz="4" w:space="0"/>
            </w:tcBorders>
            <w:shd w:val="clear" w:color="000000" w:fill="FFFFFF"/>
            <w:vAlign w:val="center"/>
          </w:tcPr>
          <w:p>
            <w:pPr>
              <w:spacing w:line="0" w:lineRule="atLeast"/>
              <w:rPr>
                <w:rFonts w:ascii="Calibri" w:hAnsi="宋体" w:eastAsia="宋体" w:cs="宋体"/>
                <w:color w:val="000000"/>
                <w:sz w:val="21"/>
                <w:szCs w:val="21"/>
              </w:rPr>
            </w:pPr>
            <w:r>
              <w:rPr>
                <w:rFonts w:ascii="Calibri" w:hAnsi="宋体" w:eastAsia="宋体" w:cs="宋体"/>
                <w:color w:val="000000"/>
                <w:sz w:val="21"/>
                <w:szCs w:val="21"/>
              </w:rPr>
              <w:t>包括花卉研发中心、芳香工坊、相关研究设施设备等。</w:t>
            </w:r>
          </w:p>
        </w:tc>
        <w:tc>
          <w:tcPr>
            <w:tcW w:w="840"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20000</w:t>
            </w:r>
          </w:p>
        </w:tc>
        <w:tc>
          <w:tcPr>
            <w:tcW w:w="756" w:type="dxa"/>
            <w:gridSpan w:val="2"/>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0</w:t>
            </w:r>
          </w:p>
        </w:tc>
        <w:tc>
          <w:tcPr>
            <w:tcW w:w="796"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20000</w:t>
            </w:r>
          </w:p>
        </w:tc>
        <w:tc>
          <w:tcPr>
            <w:tcW w:w="813"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0</w:t>
            </w:r>
          </w:p>
        </w:tc>
        <w:tc>
          <w:tcPr>
            <w:tcW w:w="854"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20000</w:t>
            </w:r>
          </w:p>
        </w:tc>
        <w:tc>
          <w:tcPr>
            <w:tcW w:w="756"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0</w:t>
            </w:r>
          </w:p>
        </w:tc>
        <w:tc>
          <w:tcPr>
            <w:tcW w:w="252"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p>
        </w:tc>
      </w:tr>
      <w:tr>
        <w:tblPrEx>
          <w:tblCellMar>
            <w:top w:w="0" w:type="dxa"/>
            <w:left w:w="57" w:type="dxa"/>
            <w:bottom w:w="0" w:type="dxa"/>
            <w:right w:w="57" w:type="dxa"/>
          </w:tblCellMar>
        </w:tblPrEx>
        <w:trPr>
          <w:trHeight w:val="340" w:hRule="atLeast"/>
        </w:trPr>
        <w:tc>
          <w:tcPr>
            <w:tcW w:w="683" w:type="dxa"/>
            <w:tcBorders>
              <w:top w:val="nil"/>
              <w:left w:val="single" w:color="auto" w:sz="4" w:space="0"/>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4</w:t>
            </w:r>
          </w:p>
        </w:tc>
        <w:tc>
          <w:tcPr>
            <w:tcW w:w="1537" w:type="dxa"/>
            <w:tcBorders>
              <w:top w:val="nil"/>
              <w:left w:val="nil"/>
              <w:bottom w:val="single" w:color="auto" w:sz="4" w:space="0"/>
              <w:right w:val="single" w:color="auto" w:sz="4" w:space="0"/>
            </w:tcBorders>
            <w:shd w:val="clear" w:color="000000" w:fill="FFFFFF"/>
            <w:vAlign w:val="center"/>
          </w:tcPr>
          <w:p>
            <w:pPr>
              <w:spacing w:line="0" w:lineRule="atLeast"/>
              <w:rPr>
                <w:rFonts w:ascii="Calibri" w:hAnsi="宋体" w:eastAsia="宋体" w:cs="宋体"/>
                <w:color w:val="000000"/>
                <w:sz w:val="21"/>
                <w:szCs w:val="21"/>
              </w:rPr>
            </w:pPr>
            <w:r>
              <w:rPr>
                <w:rFonts w:ascii="Calibri" w:hAnsi="宋体" w:eastAsia="宋体" w:cs="宋体"/>
                <w:color w:val="000000"/>
                <w:sz w:val="21"/>
                <w:szCs w:val="21"/>
              </w:rPr>
              <w:t>国家花卉改良研发中心二期工程</w:t>
            </w:r>
          </w:p>
        </w:tc>
        <w:tc>
          <w:tcPr>
            <w:tcW w:w="938"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斗南街道</w:t>
            </w:r>
          </w:p>
        </w:tc>
        <w:tc>
          <w:tcPr>
            <w:tcW w:w="924"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农业产业发展</w:t>
            </w:r>
          </w:p>
        </w:tc>
        <w:tc>
          <w:tcPr>
            <w:tcW w:w="812"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新建</w:t>
            </w:r>
          </w:p>
        </w:tc>
        <w:tc>
          <w:tcPr>
            <w:tcW w:w="1049"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2026-2030</w:t>
            </w:r>
          </w:p>
        </w:tc>
        <w:tc>
          <w:tcPr>
            <w:tcW w:w="3206" w:type="dxa"/>
            <w:tcBorders>
              <w:top w:val="nil"/>
              <w:left w:val="nil"/>
              <w:bottom w:val="single" w:color="auto" w:sz="4" w:space="0"/>
              <w:right w:val="single" w:color="auto" w:sz="4" w:space="0"/>
            </w:tcBorders>
            <w:shd w:val="clear" w:color="000000" w:fill="FFFFFF"/>
            <w:vAlign w:val="center"/>
          </w:tcPr>
          <w:p>
            <w:pPr>
              <w:spacing w:line="0" w:lineRule="atLeast"/>
              <w:rPr>
                <w:rFonts w:ascii="Calibri" w:hAnsi="宋体" w:eastAsia="宋体" w:cs="宋体"/>
                <w:color w:val="000000"/>
                <w:sz w:val="21"/>
                <w:szCs w:val="21"/>
              </w:rPr>
            </w:pPr>
            <w:r>
              <w:rPr>
                <w:rFonts w:ascii="Calibri" w:hAnsi="宋体" w:eastAsia="宋体" w:cs="宋体"/>
                <w:color w:val="000000"/>
                <w:sz w:val="21"/>
                <w:szCs w:val="21"/>
              </w:rPr>
              <w:t>建设国家级育种实验室、鲜切花新品种研发中心、种苗种球繁育研究中心、冷链流通保鲜技术研究中心、花卉病虫防治技术研究中心、栽培试验田、花房、试验田管理中心。</w:t>
            </w:r>
          </w:p>
        </w:tc>
        <w:tc>
          <w:tcPr>
            <w:tcW w:w="840"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23000</w:t>
            </w:r>
          </w:p>
        </w:tc>
        <w:tc>
          <w:tcPr>
            <w:tcW w:w="756" w:type="dxa"/>
            <w:gridSpan w:val="2"/>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0</w:t>
            </w:r>
          </w:p>
        </w:tc>
        <w:tc>
          <w:tcPr>
            <w:tcW w:w="796"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23000</w:t>
            </w:r>
          </w:p>
        </w:tc>
        <w:tc>
          <w:tcPr>
            <w:tcW w:w="813"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0</w:t>
            </w:r>
          </w:p>
        </w:tc>
        <w:tc>
          <w:tcPr>
            <w:tcW w:w="854"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0</w:t>
            </w:r>
          </w:p>
        </w:tc>
        <w:tc>
          <w:tcPr>
            <w:tcW w:w="756"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23000</w:t>
            </w:r>
          </w:p>
        </w:tc>
        <w:tc>
          <w:tcPr>
            <w:tcW w:w="252"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p>
        </w:tc>
      </w:tr>
      <w:tr>
        <w:tblPrEx>
          <w:tblCellMar>
            <w:top w:w="0" w:type="dxa"/>
            <w:left w:w="57" w:type="dxa"/>
            <w:bottom w:w="0" w:type="dxa"/>
            <w:right w:w="57" w:type="dxa"/>
          </w:tblCellMar>
        </w:tblPrEx>
        <w:trPr>
          <w:trHeight w:val="340" w:hRule="atLeast"/>
        </w:trPr>
        <w:tc>
          <w:tcPr>
            <w:tcW w:w="683" w:type="dxa"/>
            <w:tcBorders>
              <w:top w:val="nil"/>
              <w:left w:val="single" w:color="auto" w:sz="4" w:space="0"/>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5</w:t>
            </w:r>
          </w:p>
        </w:tc>
        <w:tc>
          <w:tcPr>
            <w:tcW w:w="1537" w:type="dxa"/>
            <w:tcBorders>
              <w:top w:val="nil"/>
              <w:left w:val="nil"/>
              <w:bottom w:val="single" w:color="auto" w:sz="4" w:space="0"/>
              <w:right w:val="single" w:color="auto" w:sz="4" w:space="0"/>
            </w:tcBorders>
            <w:shd w:val="clear" w:color="000000" w:fill="FFFFFF"/>
            <w:vAlign w:val="center"/>
          </w:tcPr>
          <w:p>
            <w:pPr>
              <w:spacing w:line="0" w:lineRule="atLeast"/>
              <w:rPr>
                <w:rFonts w:ascii="Calibri" w:hAnsi="宋体" w:eastAsia="宋体" w:cs="宋体"/>
                <w:color w:val="000000"/>
                <w:sz w:val="21"/>
                <w:szCs w:val="21"/>
              </w:rPr>
            </w:pPr>
            <w:r>
              <w:rPr>
                <w:rFonts w:ascii="Calibri" w:hAnsi="宋体" w:eastAsia="宋体" w:cs="宋体"/>
                <w:color w:val="000000"/>
                <w:sz w:val="21"/>
                <w:szCs w:val="21"/>
              </w:rPr>
              <w:t>鲜切花冷链智能仓配体系工程</w:t>
            </w:r>
          </w:p>
        </w:tc>
        <w:tc>
          <w:tcPr>
            <w:tcW w:w="938"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斗南街道</w:t>
            </w:r>
          </w:p>
        </w:tc>
        <w:tc>
          <w:tcPr>
            <w:tcW w:w="924"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农业产业发展</w:t>
            </w:r>
          </w:p>
        </w:tc>
        <w:tc>
          <w:tcPr>
            <w:tcW w:w="812"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新建</w:t>
            </w:r>
          </w:p>
        </w:tc>
        <w:tc>
          <w:tcPr>
            <w:tcW w:w="1049"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2021-2025</w:t>
            </w:r>
          </w:p>
        </w:tc>
        <w:tc>
          <w:tcPr>
            <w:tcW w:w="3206" w:type="dxa"/>
            <w:tcBorders>
              <w:top w:val="nil"/>
              <w:left w:val="nil"/>
              <w:bottom w:val="single" w:color="auto" w:sz="4" w:space="0"/>
              <w:right w:val="single" w:color="auto" w:sz="4" w:space="0"/>
            </w:tcBorders>
            <w:shd w:val="clear" w:color="000000" w:fill="FFFFFF"/>
            <w:vAlign w:val="center"/>
          </w:tcPr>
          <w:p>
            <w:pPr>
              <w:spacing w:line="0" w:lineRule="atLeast"/>
              <w:rPr>
                <w:rFonts w:ascii="Calibri" w:hAnsi="宋体" w:eastAsia="宋体" w:cs="宋体"/>
                <w:color w:val="000000"/>
                <w:sz w:val="21"/>
                <w:szCs w:val="21"/>
              </w:rPr>
            </w:pPr>
            <w:r>
              <w:rPr>
                <w:rFonts w:ascii="Calibri" w:hAnsi="宋体" w:eastAsia="宋体" w:cs="宋体"/>
                <w:color w:val="000000"/>
                <w:sz w:val="21"/>
                <w:szCs w:val="21"/>
              </w:rPr>
              <w:t>冷藏仓库、加工车间、标准办公、电商服务、展示中心等。</w:t>
            </w:r>
          </w:p>
        </w:tc>
        <w:tc>
          <w:tcPr>
            <w:tcW w:w="840"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12000</w:t>
            </w:r>
          </w:p>
        </w:tc>
        <w:tc>
          <w:tcPr>
            <w:tcW w:w="756" w:type="dxa"/>
            <w:gridSpan w:val="2"/>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0</w:t>
            </w:r>
          </w:p>
        </w:tc>
        <w:tc>
          <w:tcPr>
            <w:tcW w:w="796"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12000</w:t>
            </w:r>
          </w:p>
        </w:tc>
        <w:tc>
          <w:tcPr>
            <w:tcW w:w="813"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0</w:t>
            </w:r>
          </w:p>
        </w:tc>
        <w:tc>
          <w:tcPr>
            <w:tcW w:w="854"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12000</w:t>
            </w:r>
          </w:p>
        </w:tc>
        <w:tc>
          <w:tcPr>
            <w:tcW w:w="756"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0</w:t>
            </w:r>
          </w:p>
        </w:tc>
        <w:tc>
          <w:tcPr>
            <w:tcW w:w="252"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p>
        </w:tc>
      </w:tr>
      <w:tr>
        <w:tblPrEx>
          <w:tblCellMar>
            <w:top w:w="0" w:type="dxa"/>
            <w:left w:w="57" w:type="dxa"/>
            <w:bottom w:w="0" w:type="dxa"/>
            <w:right w:w="57" w:type="dxa"/>
          </w:tblCellMar>
        </w:tblPrEx>
        <w:trPr>
          <w:trHeight w:val="340" w:hRule="atLeast"/>
        </w:trPr>
        <w:tc>
          <w:tcPr>
            <w:tcW w:w="683" w:type="dxa"/>
            <w:tcBorders>
              <w:top w:val="nil"/>
              <w:left w:val="single" w:color="auto" w:sz="4" w:space="0"/>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6</w:t>
            </w:r>
          </w:p>
        </w:tc>
        <w:tc>
          <w:tcPr>
            <w:tcW w:w="1537" w:type="dxa"/>
            <w:tcBorders>
              <w:top w:val="nil"/>
              <w:left w:val="nil"/>
              <w:bottom w:val="single" w:color="auto" w:sz="4" w:space="0"/>
              <w:right w:val="single" w:color="auto" w:sz="4" w:space="0"/>
            </w:tcBorders>
            <w:shd w:val="clear" w:color="000000" w:fill="FFFFFF"/>
            <w:vAlign w:val="center"/>
          </w:tcPr>
          <w:p>
            <w:pPr>
              <w:spacing w:line="0" w:lineRule="atLeast"/>
              <w:rPr>
                <w:rFonts w:ascii="Calibri" w:hAnsi="宋体" w:eastAsia="宋体" w:cs="宋体"/>
                <w:color w:val="000000"/>
                <w:sz w:val="21"/>
                <w:szCs w:val="21"/>
              </w:rPr>
            </w:pPr>
            <w:r>
              <w:rPr>
                <w:rFonts w:ascii="Calibri" w:hAnsi="宋体" w:eastAsia="宋体" w:cs="宋体"/>
                <w:color w:val="000000"/>
                <w:sz w:val="21"/>
                <w:szCs w:val="21"/>
              </w:rPr>
              <w:t>花卉智库集聚区一期工程</w:t>
            </w:r>
          </w:p>
        </w:tc>
        <w:tc>
          <w:tcPr>
            <w:tcW w:w="938"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斗南街道</w:t>
            </w:r>
          </w:p>
        </w:tc>
        <w:tc>
          <w:tcPr>
            <w:tcW w:w="924"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农业产业发展</w:t>
            </w:r>
          </w:p>
        </w:tc>
        <w:tc>
          <w:tcPr>
            <w:tcW w:w="812"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新建</w:t>
            </w:r>
          </w:p>
        </w:tc>
        <w:tc>
          <w:tcPr>
            <w:tcW w:w="1049"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2023-2025</w:t>
            </w:r>
          </w:p>
        </w:tc>
        <w:tc>
          <w:tcPr>
            <w:tcW w:w="3206" w:type="dxa"/>
            <w:tcBorders>
              <w:top w:val="nil"/>
              <w:left w:val="nil"/>
              <w:bottom w:val="single" w:color="auto" w:sz="4" w:space="0"/>
              <w:right w:val="single" w:color="auto" w:sz="4" w:space="0"/>
            </w:tcBorders>
            <w:shd w:val="clear" w:color="000000" w:fill="FFFFFF"/>
            <w:vAlign w:val="center"/>
          </w:tcPr>
          <w:p>
            <w:pPr>
              <w:spacing w:line="0" w:lineRule="atLeast"/>
              <w:rPr>
                <w:rFonts w:ascii="Calibri" w:hAnsi="宋体" w:eastAsia="宋体" w:cs="宋体"/>
                <w:color w:val="000000"/>
                <w:sz w:val="21"/>
                <w:szCs w:val="21"/>
              </w:rPr>
            </w:pPr>
            <w:r>
              <w:rPr>
                <w:rFonts w:ascii="Calibri" w:hAnsi="宋体" w:eastAsia="宋体" w:cs="宋体"/>
                <w:color w:val="000000"/>
                <w:sz w:val="21"/>
                <w:szCs w:val="21"/>
              </w:rPr>
              <w:t>花卉配送中心、地下冷库和适量的办公系统，兼顾花卉样品检验检疫、报关、组货等要求。</w:t>
            </w:r>
          </w:p>
        </w:tc>
        <w:tc>
          <w:tcPr>
            <w:tcW w:w="840"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29000</w:t>
            </w:r>
          </w:p>
        </w:tc>
        <w:tc>
          <w:tcPr>
            <w:tcW w:w="756" w:type="dxa"/>
            <w:gridSpan w:val="2"/>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0</w:t>
            </w:r>
          </w:p>
        </w:tc>
        <w:tc>
          <w:tcPr>
            <w:tcW w:w="796"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29000</w:t>
            </w:r>
          </w:p>
        </w:tc>
        <w:tc>
          <w:tcPr>
            <w:tcW w:w="813"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0</w:t>
            </w:r>
          </w:p>
        </w:tc>
        <w:tc>
          <w:tcPr>
            <w:tcW w:w="854"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29000</w:t>
            </w:r>
          </w:p>
        </w:tc>
        <w:tc>
          <w:tcPr>
            <w:tcW w:w="756"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0</w:t>
            </w:r>
          </w:p>
        </w:tc>
        <w:tc>
          <w:tcPr>
            <w:tcW w:w="252"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p>
        </w:tc>
      </w:tr>
      <w:tr>
        <w:tblPrEx>
          <w:tblCellMar>
            <w:top w:w="0" w:type="dxa"/>
            <w:left w:w="57" w:type="dxa"/>
            <w:bottom w:w="0" w:type="dxa"/>
            <w:right w:w="57" w:type="dxa"/>
          </w:tblCellMar>
        </w:tblPrEx>
        <w:trPr>
          <w:trHeight w:val="1086" w:hRule="atLeast"/>
        </w:trPr>
        <w:tc>
          <w:tcPr>
            <w:tcW w:w="683" w:type="dxa"/>
            <w:tcBorders>
              <w:top w:val="nil"/>
              <w:left w:val="single" w:color="auto" w:sz="4" w:space="0"/>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7</w:t>
            </w:r>
          </w:p>
        </w:tc>
        <w:tc>
          <w:tcPr>
            <w:tcW w:w="1537" w:type="dxa"/>
            <w:tcBorders>
              <w:top w:val="nil"/>
              <w:left w:val="nil"/>
              <w:bottom w:val="single" w:color="auto" w:sz="4" w:space="0"/>
              <w:right w:val="single" w:color="auto" w:sz="4" w:space="0"/>
            </w:tcBorders>
            <w:shd w:val="clear" w:color="000000" w:fill="FFFFFF"/>
            <w:vAlign w:val="center"/>
          </w:tcPr>
          <w:p>
            <w:pPr>
              <w:spacing w:line="0" w:lineRule="atLeast"/>
              <w:rPr>
                <w:rFonts w:ascii="Calibri" w:hAnsi="宋体" w:eastAsia="宋体" w:cs="宋体"/>
                <w:color w:val="000000"/>
                <w:sz w:val="21"/>
                <w:szCs w:val="21"/>
              </w:rPr>
            </w:pPr>
            <w:r>
              <w:rPr>
                <w:rFonts w:ascii="Calibri" w:hAnsi="宋体" w:eastAsia="宋体" w:cs="宋体"/>
                <w:color w:val="000000"/>
                <w:sz w:val="21"/>
                <w:szCs w:val="21"/>
              </w:rPr>
              <w:t>花卉智库集聚区二期工程</w:t>
            </w:r>
          </w:p>
        </w:tc>
        <w:tc>
          <w:tcPr>
            <w:tcW w:w="938"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斗南街道</w:t>
            </w:r>
          </w:p>
        </w:tc>
        <w:tc>
          <w:tcPr>
            <w:tcW w:w="924"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农业产业发展</w:t>
            </w:r>
          </w:p>
        </w:tc>
        <w:tc>
          <w:tcPr>
            <w:tcW w:w="812"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新建</w:t>
            </w:r>
          </w:p>
        </w:tc>
        <w:tc>
          <w:tcPr>
            <w:tcW w:w="1049"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2026-2028</w:t>
            </w:r>
          </w:p>
        </w:tc>
        <w:tc>
          <w:tcPr>
            <w:tcW w:w="3206" w:type="dxa"/>
            <w:tcBorders>
              <w:top w:val="nil"/>
              <w:left w:val="nil"/>
              <w:bottom w:val="single" w:color="auto" w:sz="4" w:space="0"/>
              <w:right w:val="single" w:color="auto" w:sz="4" w:space="0"/>
            </w:tcBorders>
            <w:shd w:val="clear" w:color="000000" w:fill="FFFFFF"/>
            <w:vAlign w:val="center"/>
          </w:tcPr>
          <w:p>
            <w:pPr>
              <w:spacing w:line="0" w:lineRule="atLeast"/>
              <w:rPr>
                <w:rFonts w:ascii="Calibri" w:hAnsi="宋体" w:eastAsia="宋体" w:cs="宋体"/>
                <w:color w:val="000000"/>
                <w:sz w:val="21"/>
                <w:szCs w:val="21"/>
              </w:rPr>
            </w:pPr>
            <w:r>
              <w:rPr>
                <w:rFonts w:ascii="Calibri" w:hAnsi="宋体" w:eastAsia="宋体" w:cs="宋体"/>
                <w:color w:val="000000"/>
                <w:sz w:val="21"/>
                <w:szCs w:val="21"/>
              </w:rPr>
              <w:t>吸引荷兰、日本等国际国内花卉研发机构、研究协会，花卉园艺、绿色工程、花卉大数据平台，花卉电商企业等组织入驻。</w:t>
            </w:r>
          </w:p>
        </w:tc>
        <w:tc>
          <w:tcPr>
            <w:tcW w:w="840"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35000</w:t>
            </w:r>
          </w:p>
        </w:tc>
        <w:tc>
          <w:tcPr>
            <w:tcW w:w="756" w:type="dxa"/>
            <w:gridSpan w:val="2"/>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0</w:t>
            </w:r>
          </w:p>
        </w:tc>
        <w:tc>
          <w:tcPr>
            <w:tcW w:w="796"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35000</w:t>
            </w:r>
          </w:p>
        </w:tc>
        <w:tc>
          <w:tcPr>
            <w:tcW w:w="813"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0</w:t>
            </w:r>
          </w:p>
        </w:tc>
        <w:tc>
          <w:tcPr>
            <w:tcW w:w="854"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0</w:t>
            </w:r>
          </w:p>
        </w:tc>
        <w:tc>
          <w:tcPr>
            <w:tcW w:w="756"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35000</w:t>
            </w:r>
          </w:p>
        </w:tc>
        <w:tc>
          <w:tcPr>
            <w:tcW w:w="252"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p>
        </w:tc>
      </w:tr>
      <w:tr>
        <w:tblPrEx>
          <w:tblCellMar>
            <w:top w:w="0" w:type="dxa"/>
            <w:left w:w="57" w:type="dxa"/>
            <w:bottom w:w="0" w:type="dxa"/>
            <w:right w:w="57" w:type="dxa"/>
          </w:tblCellMar>
        </w:tblPrEx>
        <w:trPr>
          <w:trHeight w:val="905" w:hRule="atLeast"/>
        </w:trPr>
        <w:tc>
          <w:tcPr>
            <w:tcW w:w="683" w:type="dxa"/>
            <w:tcBorders>
              <w:top w:val="nil"/>
              <w:left w:val="single" w:color="auto" w:sz="4" w:space="0"/>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8</w:t>
            </w:r>
          </w:p>
        </w:tc>
        <w:tc>
          <w:tcPr>
            <w:tcW w:w="1537" w:type="dxa"/>
            <w:tcBorders>
              <w:top w:val="nil"/>
              <w:left w:val="nil"/>
              <w:bottom w:val="single" w:color="auto" w:sz="4" w:space="0"/>
              <w:right w:val="single" w:color="auto" w:sz="4" w:space="0"/>
            </w:tcBorders>
            <w:shd w:val="clear" w:color="000000" w:fill="FFFFFF"/>
            <w:vAlign w:val="center"/>
          </w:tcPr>
          <w:p>
            <w:pPr>
              <w:spacing w:line="0" w:lineRule="atLeast"/>
              <w:rPr>
                <w:rFonts w:ascii="Calibri" w:hAnsi="宋体" w:eastAsia="宋体" w:cs="宋体"/>
                <w:color w:val="000000"/>
                <w:sz w:val="21"/>
                <w:szCs w:val="21"/>
              </w:rPr>
            </w:pPr>
            <w:r>
              <w:rPr>
                <w:rFonts w:ascii="Calibri" w:hAnsi="宋体" w:eastAsia="宋体" w:cs="宋体"/>
                <w:color w:val="000000"/>
                <w:sz w:val="21"/>
                <w:szCs w:val="21"/>
              </w:rPr>
              <w:t>盆景交易中心</w:t>
            </w:r>
          </w:p>
        </w:tc>
        <w:tc>
          <w:tcPr>
            <w:tcW w:w="938"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斗南街道</w:t>
            </w:r>
          </w:p>
        </w:tc>
        <w:tc>
          <w:tcPr>
            <w:tcW w:w="924"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农业产业发展</w:t>
            </w:r>
          </w:p>
        </w:tc>
        <w:tc>
          <w:tcPr>
            <w:tcW w:w="812"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新建</w:t>
            </w:r>
          </w:p>
        </w:tc>
        <w:tc>
          <w:tcPr>
            <w:tcW w:w="1049"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2022-2023</w:t>
            </w:r>
          </w:p>
        </w:tc>
        <w:tc>
          <w:tcPr>
            <w:tcW w:w="3206" w:type="dxa"/>
            <w:tcBorders>
              <w:top w:val="nil"/>
              <w:left w:val="nil"/>
              <w:bottom w:val="single" w:color="auto" w:sz="4" w:space="0"/>
              <w:right w:val="single" w:color="auto" w:sz="4" w:space="0"/>
            </w:tcBorders>
            <w:shd w:val="clear" w:color="000000" w:fill="FFFFFF"/>
            <w:vAlign w:val="center"/>
          </w:tcPr>
          <w:p>
            <w:pPr>
              <w:spacing w:line="0" w:lineRule="atLeast"/>
              <w:rPr>
                <w:rFonts w:ascii="Calibri" w:hAnsi="宋体" w:eastAsia="宋体" w:cs="宋体"/>
                <w:color w:val="000000"/>
                <w:sz w:val="21"/>
                <w:szCs w:val="21"/>
              </w:rPr>
            </w:pPr>
            <w:r>
              <w:rPr>
                <w:rFonts w:ascii="Calibri" w:hAnsi="宋体" w:eastAsia="宋体" w:cs="宋体"/>
                <w:color w:val="000000"/>
                <w:sz w:val="21"/>
                <w:szCs w:val="21"/>
              </w:rPr>
              <w:t>提升对手交易品质，配套建设商业服务功能，优化完善盆景交易区的交通流线、货物集散等功能。</w:t>
            </w:r>
          </w:p>
        </w:tc>
        <w:tc>
          <w:tcPr>
            <w:tcW w:w="840"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7000</w:t>
            </w:r>
          </w:p>
        </w:tc>
        <w:tc>
          <w:tcPr>
            <w:tcW w:w="756" w:type="dxa"/>
            <w:gridSpan w:val="2"/>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0</w:t>
            </w:r>
          </w:p>
        </w:tc>
        <w:tc>
          <w:tcPr>
            <w:tcW w:w="796"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7000</w:t>
            </w:r>
          </w:p>
        </w:tc>
        <w:tc>
          <w:tcPr>
            <w:tcW w:w="813"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0</w:t>
            </w:r>
          </w:p>
        </w:tc>
        <w:tc>
          <w:tcPr>
            <w:tcW w:w="854"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7000</w:t>
            </w:r>
          </w:p>
        </w:tc>
        <w:tc>
          <w:tcPr>
            <w:tcW w:w="756"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0</w:t>
            </w:r>
          </w:p>
        </w:tc>
        <w:tc>
          <w:tcPr>
            <w:tcW w:w="252"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p>
        </w:tc>
      </w:tr>
      <w:tr>
        <w:tblPrEx>
          <w:tblCellMar>
            <w:top w:w="0" w:type="dxa"/>
            <w:left w:w="57" w:type="dxa"/>
            <w:bottom w:w="0" w:type="dxa"/>
            <w:right w:w="57" w:type="dxa"/>
          </w:tblCellMar>
        </w:tblPrEx>
        <w:trPr>
          <w:trHeight w:val="340" w:hRule="atLeast"/>
        </w:trPr>
        <w:tc>
          <w:tcPr>
            <w:tcW w:w="683" w:type="dxa"/>
            <w:tcBorders>
              <w:top w:val="nil"/>
              <w:left w:val="single" w:color="auto" w:sz="4" w:space="0"/>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9</w:t>
            </w:r>
          </w:p>
        </w:tc>
        <w:tc>
          <w:tcPr>
            <w:tcW w:w="1537" w:type="dxa"/>
            <w:tcBorders>
              <w:top w:val="nil"/>
              <w:left w:val="nil"/>
              <w:bottom w:val="single" w:color="auto" w:sz="4" w:space="0"/>
              <w:right w:val="single" w:color="auto" w:sz="4" w:space="0"/>
            </w:tcBorders>
            <w:shd w:val="clear" w:color="000000" w:fill="FFFFFF"/>
            <w:vAlign w:val="center"/>
          </w:tcPr>
          <w:p>
            <w:pPr>
              <w:spacing w:line="0" w:lineRule="atLeast"/>
              <w:rPr>
                <w:rFonts w:ascii="Calibri" w:hAnsi="宋体" w:eastAsia="宋体" w:cs="宋体"/>
                <w:color w:val="000000"/>
                <w:sz w:val="21"/>
                <w:szCs w:val="21"/>
              </w:rPr>
            </w:pPr>
            <w:r>
              <w:rPr>
                <w:rFonts w:ascii="Calibri" w:hAnsi="宋体" w:eastAsia="宋体" w:cs="宋体"/>
                <w:color w:val="000000"/>
                <w:sz w:val="21"/>
                <w:szCs w:val="21"/>
              </w:rPr>
              <w:t>盆景交易商住混合区</w:t>
            </w:r>
          </w:p>
        </w:tc>
        <w:tc>
          <w:tcPr>
            <w:tcW w:w="938"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斗南街道</w:t>
            </w:r>
          </w:p>
        </w:tc>
        <w:tc>
          <w:tcPr>
            <w:tcW w:w="924"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农业产业发展</w:t>
            </w:r>
          </w:p>
        </w:tc>
        <w:tc>
          <w:tcPr>
            <w:tcW w:w="812"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新建</w:t>
            </w:r>
          </w:p>
        </w:tc>
        <w:tc>
          <w:tcPr>
            <w:tcW w:w="1049"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2024-2030</w:t>
            </w:r>
          </w:p>
        </w:tc>
        <w:tc>
          <w:tcPr>
            <w:tcW w:w="3206" w:type="dxa"/>
            <w:tcBorders>
              <w:top w:val="nil"/>
              <w:left w:val="nil"/>
              <w:bottom w:val="single" w:color="auto" w:sz="4" w:space="0"/>
              <w:right w:val="single" w:color="auto" w:sz="4" w:space="0"/>
            </w:tcBorders>
            <w:shd w:val="clear" w:color="000000" w:fill="FFFFFF"/>
            <w:vAlign w:val="center"/>
          </w:tcPr>
          <w:p>
            <w:pPr>
              <w:spacing w:line="0" w:lineRule="atLeast"/>
              <w:rPr>
                <w:rFonts w:ascii="Calibri" w:hAnsi="宋体" w:eastAsia="宋体" w:cs="宋体"/>
                <w:color w:val="000000"/>
                <w:sz w:val="21"/>
                <w:szCs w:val="21"/>
              </w:rPr>
            </w:pPr>
            <w:r>
              <w:rPr>
                <w:rFonts w:ascii="Calibri" w:hAnsi="宋体" w:eastAsia="宋体" w:cs="宋体"/>
                <w:color w:val="000000"/>
                <w:sz w:val="21"/>
                <w:szCs w:val="21"/>
              </w:rPr>
              <w:t>建设商住功能混合区，上层建筑用以解决部分拆迁居民的安置问题，底层保留花卉对手交易功能。</w:t>
            </w:r>
          </w:p>
        </w:tc>
        <w:tc>
          <w:tcPr>
            <w:tcW w:w="840"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12000</w:t>
            </w:r>
          </w:p>
        </w:tc>
        <w:tc>
          <w:tcPr>
            <w:tcW w:w="756" w:type="dxa"/>
            <w:gridSpan w:val="2"/>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0</w:t>
            </w:r>
          </w:p>
        </w:tc>
        <w:tc>
          <w:tcPr>
            <w:tcW w:w="796"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12000</w:t>
            </w:r>
          </w:p>
        </w:tc>
        <w:tc>
          <w:tcPr>
            <w:tcW w:w="813"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0</w:t>
            </w:r>
          </w:p>
        </w:tc>
        <w:tc>
          <w:tcPr>
            <w:tcW w:w="854"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2000</w:t>
            </w:r>
          </w:p>
        </w:tc>
        <w:tc>
          <w:tcPr>
            <w:tcW w:w="756"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10000</w:t>
            </w:r>
          </w:p>
        </w:tc>
        <w:tc>
          <w:tcPr>
            <w:tcW w:w="252"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p>
        </w:tc>
      </w:tr>
      <w:tr>
        <w:tblPrEx>
          <w:tblCellMar>
            <w:top w:w="0" w:type="dxa"/>
            <w:left w:w="57" w:type="dxa"/>
            <w:bottom w:w="0" w:type="dxa"/>
            <w:right w:w="57" w:type="dxa"/>
          </w:tblCellMar>
        </w:tblPrEx>
        <w:trPr>
          <w:trHeight w:val="340" w:hRule="atLeast"/>
        </w:trPr>
        <w:tc>
          <w:tcPr>
            <w:tcW w:w="683" w:type="dxa"/>
            <w:tcBorders>
              <w:top w:val="nil"/>
              <w:left w:val="single" w:color="auto" w:sz="4" w:space="0"/>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10</w:t>
            </w:r>
          </w:p>
        </w:tc>
        <w:tc>
          <w:tcPr>
            <w:tcW w:w="1537" w:type="dxa"/>
            <w:tcBorders>
              <w:top w:val="nil"/>
              <w:left w:val="nil"/>
              <w:bottom w:val="single" w:color="auto" w:sz="4" w:space="0"/>
              <w:right w:val="single" w:color="auto" w:sz="4" w:space="0"/>
            </w:tcBorders>
            <w:shd w:val="clear" w:color="000000" w:fill="FFFFFF"/>
            <w:vAlign w:val="center"/>
          </w:tcPr>
          <w:p>
            <w:pPr>
              <w:spacing w:line="0" w:lineRule="atLeast"/>
              <w:rPr>
                <w:rFonts w:ascii="Calibri" w:hAnsi="宋体" w:eastAsia="宋体" w:cs="宋体"/>
                <w:color w:val="000000"/>
                <w:sz w:val="21"/>
                <w:szCs w:val="21"/>
              </w:rPr>
            </w:pPr>
            <w:r>
              <w:rPr>
                <w:rFonts w:ascii="Calibri" w:hAnsi="宋体" w:eastAsia="宋体" w:cs="宋体"/>
                <w:color w:val="000000"/>
                <w:sz w:val="21"/>
                <w:szCs w:val="21"/>
              </w:rPr>
              <w:t>花卉电商办公</w:t>
            </w:r>
          </w:p>
        </w:tc>
        <w:tc>
          <w:tcPr>
            <w:tcW w:w="938"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斗南街道</w:t>
            </w:r>
          </w:p>
        </w:tc>
        <w:tc>
          <w:tcPr>
            <w:tcW w:w="924"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农业产业发展</w:t>
            </w:r>
          </w:p>
        </w:tc>
        <w:tc>
          <w:tcPr>
            <w:tcW w:w="812"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新建</w:t>
            </w:r>
          </w:p>
        </w:tc>
        <w:tc>
          <w:tcPr>
            <w:tcW w:w="1049"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2024-2025</w:t>
            </w:r>
          </w:p>
        </w:tc>
        <w:tc>
          <w:tcPr>
            <w:tcW w:w="3206" w:type="dxa"/>
            <w:tcBorders>
              <w:top w:val="nil"/>
              <w:left w:val="nil"/>
              <w:bottom w:val="single" w:color="auto" w:sz="4" w:space="0"/>
              <w:right w:val="single" w:color="auto" w:sz="4" w:space="0"/>
            </w:tcBorders>
            <w:shd w:val="clear" w:color="000000" w:fill="FFFFFF"/>
            <w:vAlign w:val="center"/>
          </w:tcPr>
          <w:p>
            <w:pPr>
              <w:spacing w:line="0" w:lineRule="atLeast"/>
              <w:rPr>
                <w:rFonts w:ascii="Calibri" w:hAnsi="宋体" w:eastAsia="宋体" w:cs="宋体"/>
                <w:color w:val="000000"/>
                <w:sz w:val="21"/>
                <w:szCs w:val="21"/>
              </w:rPr>
            </w:pPr>
            <w:r>
              <w:rPr>
                <w:rFonts w:ascii="Calibri" w:hAnsi="宋体" w:eastAsia="宋体" w:cs="宋体"/>
                <w:color w:val="000000"/>
                <w:sz w:val="21"/>
                <w:szCs w:val="21"/>
              </w:rPr>
              <w:t>服务于片区货物贸易的电子商务办公区。</w:t>
            </w:r>
          </w:p>
        </w:tc>
        <w:tc>
          <w:tcPr>
            <w:tcW w:w="840"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7000</w:t>
            </w:r>
          </w:p>
        </w:tc>
        <w:tc>
          <w:tcPr>
            <w:tcW w:w="756" w:type="dxa"/>
            <w:gridSpan w:val="2"/>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0</w:t>
            </w:r>
          </w:p>
        </w:tc>
        <w:tc>
          <w:tcPr>
            <w:tcW w:w="796"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7000</w:t>
            </w:r>
          </w:p>
        </w:tc>
        <w:tc>
          <w:tcPr>
            <w:tcW w:w="813"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0</w:t>
            </w:r>
          </w:p>
        </w:tc>
        <w:tc>
          <w:tcPr>
            <w:tcW w:w="854"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7000</w:t>
            </w:r>
          </w:p>
        </w:tc>
        <w:tc>
          <w:tcPr>
            <w:tcW w:w="756"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0</w:t>
            </w:r>
          </w:p>
        </w:tc>
        <w:tc>
          <w:tcPr>
            <w:tcW w:w="252"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p>
        </w:tc>
      </w:tr>
      <w:tr>
        <w:tblPrEx>
          <w:tblCellMar>
            <w:top w:w="0" w:type="dxa"/>
            <w:left w:w="57" w:type="dxa"/>
            <w:bottom w:w="0" w:type="dxa"/>
            <w:right w:w="57" w:type="dxa"/>
          </w:tblCellMar>
        </w:tblPrEx>
        <w:trPr>
          <w:trHeight w:val="340" w:hRule="atLeast"/>
        </w:trPr>
        <w:tc>
          <w:tcPr>
            <w:tcW w:w="683" w:type="dxa"/>
            <w:tcBorders>
              <w:top w:val="nil"/>
              <w:left w:val="single" w:color="auto" w:sz="4" w:space="0"/>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11</w:t>
            </w:r>
          </w:p>
        </w:tc>
        <w:tc>
          <w:tcPr>
            <w:tcW w:w="1537" w:type="dxa"/>
            <w:tcBorders>
              <w:top w:val="nil"/>
              <w:left w:val="nil"/>
              <w:bottom w:val="single" w:color="auto" w:sz="4" w:space="0"/>
              <w:right w:val="single" w:color="auto" w:sz="4" w:space="0"/>
            </w:tcBorders>
            <w:shd w:val="clear" w:color="000000" w:fill="FFFFFF"/>
            <w:vAlign w:val="center"/>
          </w:tcPr>
          <w:p>
            <w:pPr>
              <w:spacing w:line="0" w:lineRule="atLeast"/>
              <w:rPr>
                <w:rFonts w:ascii="Calibri" w:hAnsi="宋体" w:eastAsia="宋体" w:cs="宋体"/>
                <w:color w:val="000000"/>
                <w:sz w:val="21"/>
                <w:szCs w:val="21"/>
              </w:rPr>
            </w:pPr>
            <w:r>
              <w:rPr>
                <w:rFonts w:ascii="Calibri" w:hAnsi="宋体" w:eastAsia="宋体" w:cs="宋体"/>
                <w:color w:val="000000"/>
                <w:sz w:val="21"/>
                <w:szCs w:val="21"/>
              </w:rPr>
              <w:t>花卉产业技术创新及孵化服务平台</w:t>
            </w:r>
          </w:p>
        </w:tc>
        <w:tc>
          <w:tcPr>
            <w:tcW w:w="938"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斗南街道</w:t>
            </w:r>
          </w:p>
        </w:tc>
        <w:tc>
          <w:tcPr>
            <w:tcW w:w="924"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农业产业发展</w:t>
            </w:r>
          </w:p>
        </w:tc>
        <w:tc>
          <w:tcPr>
            <w:tcW w:w="812"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新建</w:t>
            </w:r>
          </w:p>
        </w:tc>
        <w:tc>
          <w:tcPr>
            <w:tcW w:w="1049"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2026-2028</w:t>
            </w:r>
          </w:p>
        </w:tc>
        <w:tc>
          <w:tcPr>
            <w:tcW w:w="3206" w:type="dxa"/>
            <w:tcBorders>
              <w:top w:val="nil"/>
              <w:left w:val="nil"/>
              <w:bottom w:val="single" w:color="auto" w:sz="4" w:space="0"/>
              <w:right w:val="single" w:color="auto" w:sz="4" w:space="0"/>
            </w:tcBorders>
            <w:shd w:val="clear" w:color="000000" w:fill="FFFFFF"/>
            <w:vAlign w:val="center"/>
          </w:tcPr>
          <w:p>
            <w:pPr>
              <w:spacing w:line="0" w:lineRule="atLeast"/>
              <w:rPr>
                <w:rFonts w:ascii="Calibri" w:hAnsi="宋体" w:eastAsia="宋体" w:cs="宋体"/>
                <w:color w:val="000000"/>
                <w:sz w:val="21"/>
                <w:szCs w:val="21"/>
              </w:rPr>
            </w:pPr>
            <w:r>
              <w:rPr>
                <w:rFonts w:ascii="Calibri" w:hAnsi="宋体" w:eastAsia="宋体" w:cs="宋体"/>
                <w:color w:val="000000"/>
                <w:sz w:val="21"/>
                <w:szCs w:val="21"/>
              </w:rPr>
              <w:t>围绕花卉病虫害、栽培技术、园艺设施等方向存在的技术障碍和难点，提供各类公共技术服务。</w:t>
            </w:r>
          </w:p>
        </w:tc>
        <w:tc>
          <w:tcPr>
            <w:tcW w:w="840"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5000</w:t>
            </w:r>
          </w:p>
        </w:tc>
        <w:tc>
          <w:tcPr>
            <w:tcW w:w="756" w:type="dxa"/>
            <w:gridSpan w:val="2"/>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0</w:t>
            </w:r>
          </w:p>
        </w:tc>
        <w:tc>
          <w:tcPr>
            <w:tcW w:w="796"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5000</w:t>
            </w:r>
          </w:p>
        </w:tc>
        <w:tc>
          <w:tcPr>
            <w:tcW w:w="813"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0</w:t>
            </w:r>
          </w:p>
        </w:tc>
        <w:tc>
          <w:tcPr>
            <w:tcW w:w="854"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0</w:t>
            </w:r>
          </w:p>
        </w:tc>
        <w:tc>
          <w:tcPr>
            <w:tcW w:w="756"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5000</w:t>
            </w:r>
          </w:p>
        </w:tc>
        <w:tc>
          <w:tcPr>
            <w:tcW w:w="252"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p>
        </w:tc>
      </w:tr>
      <w:tr>
        <w:tblPrEx>
          <w:tblCellMar>
            <w:top w:w="0" w:type="dxa"/>
            <w:left w:w="57" w:type="dxa"/>
            <w:bottom w:w="0" w:type="dxa"/>
            <w:right w:w="57" w:type="dxa"/>
          </w:tblCellMar>
        </w:tblPrEx>
        <w:trPr>
          <w:trHeight w:val="849" w:hRule="atLeast"/>
        </w:trPr>
        <w:tc>
          <w:tcPr>
            <w:tcW w:w="683" w:type="dxa"/>
            <w:tcBorders>
              <w:top w:val="nil"/>
              <w:left w:val="single" w:color="auto" w:sz="4" w:space="0"/>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12</w:t>
            </w:r>
          </w:p>
        </w:tc>
        <w:tc>
          <w:tcPr>
            <w:tcW w:w="1537" w:type="dxa"/>
            <w:tcBorders>
              <w:top w:val="nil"/>
              <w:left w:val="nil"/>
              <w:bottom w:val="single" w:color="auto" w:sz="4" w:space="0"/>
              <w:right w:val="single" w:color="auto" w:sz="4" w:space="0"/>
            </w:tcBorders>
            <w:shd w:val="clear" w:color="000000" w:fill="FFFFFF"/>
            <w:vAlign w:val="center"/>
          </w:tcPr>
          <w:p>
            <w:pPr>
              <w:spacing w:line="0" w:lineRule="atLeast"/>
              <w:rPr>
                <w:rFonts w:ascii="Calibri" w:hAnsi="宋体" w:eastAsia="宋体" w:cs="宋体"/>
                <w:color w:val="000000"/>
                <w:sz w:val="21"/>
                <w:szCs w:val="21"/>
              </w:rPr>
            </w:pPr>
            <w:r>
              <w:rPr>
                <w:rFonts w:ascii="Calibri" w:hAnsi="宋体" w:eastAsia="宋体" w:cs="宋体"/>
                <w:color w:val="000000"/>
                <w:sz w:val="21"/>
                <w:szCs w:val="21"/>
              </w:rPr>
              <w:t>花卉大数据中心</w:t>
            </w:r>
          </w:p>
        </w:tc>
        <w:tc>
          <w:tcPr>
            <w:tcW w:w="938"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斗南街道</w:t>
            </w:r>
          </w:p>
        </w:tc>
        <w:tc>
          <w:tcPr>
            <w:tcW w:w="924"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大数据</w:t>
            </w:r>
          </w:p>
        </w:tc>
        <w:tc>
          <w:tcPr>
            <w:tcW w:w="812"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新建</w:t>
            </w:r>
          </w:p>
        </w:tc>
        <w:tc>
          <w:tcPr>
            <w:tcW w:w="1049"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2024-2026</w:t>
            </w:r>
          </w:p>
        </w:tc>
        <w:tc>
          <w:tcPr>
            <w:tcW w:w="3206" w:type="dxa"/>
            <w:tcBorders>
              <w:top w:val="nil"/>
              <w:left w:val="nil"/>
              <w:bottom w:val="single" w:color="auto" w:sz="4" w:space="0"/>
              <w:right w:val="single" w:color="auto" w:sz="4" w:space="0"/>
            </w:tcBorders>
            <w:shd w:val="clear" w:color="000000" w:fill="FFFFFF"/>
            <w:vAlign w:val="center"/>
          </w:tcPr>
          <w:p>
            <w:pPr>
              <w:spacing w:line="0" w:lineRule="atLeast"/>
              <w:rPr>
                <w:rFonts w:ascii="Calibri" w:hAnsi="宋体" w:eastAsia="宋体" w:cs="宋体"/>
                <w:color w:val="000000"/>
                <w:sz w:val="21"/>
                <w:szCs w:val="21"/>
              </w:rPr>
            </w:pPr>
            <w:r>
              <w:rPr>
                <w:rFonts w:ascii="Calibri" w:hAnsi="宋体" w:eastAsia="宋体" w:cs="宋体"/>
                <w:color w:val="000000"/>
                <w:sz w:val="21"/>
                <w:szCs w:val="21"/>
              </w:rPr>
              <w:t>建设花卉集信息展示、交易、办公、商贸服务等于一体的交易大数据平台。</w:t>
            </w:r>
          </w:p>
        </w:tc>
        <w:tc>
          <w:tcPr>
            <w:tcW w:w="840"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6500</w:t>
            </w:r>
          </w:p>
        </w:tc>
        <w:tc>
          <w:tcPr>
            <w:tcW w:w="756" w:type="dxa"/>
            <w:gridSpan w:val="2"/>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0</w:t>
            </w:r>
          </w:p>
        </w:tc>
        <w:tc>
          <w:tcPr>
            <w:tcW w:w="796"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6500</w:t>
            </w:r>
          </w:p>
        </w:tc>
        <w:tc>
          <w:tcPr>
            <w:tcW w:w="813"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0</w:t>
            </w:r>
          </w:p>
        </w:tc>
        <w:tc>
          <w:tcPr>
            <w:tcW w:w="854"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2000</w:t>
            </w:r>
          </w:p>
        </w:tc>
        <w:tc>
          <w:tcPr>
            <w:tcW w:w="756"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4500</w:t>
            </w:r>
          </w:p>
        </w:tc>
        <w:tc>
          <w:tcPr>
            <w:tcW w:w="252"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p>
        </w:tc>
      </w:tr>
      <w:tr>
        <w:tblPrEx>
          <w:tblCellMar>
            <w:top w:w="0" w:type="dxa"/>
            <w:left w:w="57" w:type="dxa"/>
            <w:bottom w:w="0" w:type="dxa"/>
            <w:right w:w="57" w:type="dxa"/>
          </w:tblCellMar>
        </w:tblPrEx>
        <w:trPr>
          <w:trHeight w:val="1571" w:hRule="atLeast"/>
        </w:trPr>
        <w:tc>
          <w:tcPr>
            <w:tcW w:w="683" w:type="dxa"/>
            <w:tcBorders>
              <w:top w:val="nil"/>
              <w:left w:val="single" w:color="auto" w:sz="4" w:space="0"/>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13</w:t>
            </w:r>
          </w:p>
        </w:tc>
        <w:tc>
          <w:tcPr>
            <w:tcW w:w="1537" w:type="dxa"/>
            <w:tcBorders>
              <w:top w:val="nil"/>
              <w:left w:val="nil"/>
              <w:bottom w:val="single" w:color="auto" w:sz="4" w:space="0"/>
              <w:right w:val="single" w:color="auto" w:sz="4" w:space="0"/>
            </w:tcBorders>
            <w:shd w:val="clear" w:color="000000" w:fill="FFFFFF"/>
            <w:vAlign w:val="center"/>
          </w:tcPr>
          <w:p>
            <w:pPr>
              <w:spacing w:line="0" w:lineRule="atLeast"/>
              <w:rPr>
                <w:rFonts w:ascii="Calibri" w:hAnsi="宋体" w:eastAsia="宋体" w:cs="宋体"/>
                <w:color w:val="000000"/>
                <w:sz w:val="21"/>
                <w:szCs w:val="21"/>
              </w:rPr>
            </w:pPr>
            <w:r>
              <w:rPr>
                <w:rFonts w:ascii="Calibri" w:hAnsi="宋体" w:eastAsia="宋体" w:cs="宋体"/>
                <w:color w:val="000000"/>
                <w:sz w:val="21"/>
                <w:szCs w:val="21"/>
              </w:rPr>
              <w:t>中国数码港昆明大数据产业园项目</w:t>
            </w:r>
          </w:p>
        </w:tc>
        <w:tc>
          <w:tcPr>
            <w:tcW w:w="938"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信息产业园</w:t>
            </w:r>
          </w:p>
        </w:tc>
        <w:tc>
          <w:tcPr>
            <w:tcW w:w="924"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大数据</w:t>
            </w:r>
          </w:p>
        </w:tc>
        <w:tc>
          <w:tcPr>
            <w:tcW w:w="812"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新建</w:t>
            </w:r>
          </w:p>
        </w:tc>
        <w:tc>
          <w:tcPr>
            <w:tcW w:w="1049"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2021-2023</w:t>
            </w:r>
          </w:p>
        </w:tc>
        <w:tc>
          <w:tcPr>
            <w:tcW w:w="3206" w:type="dxa"/>
            <w:tcBorders>
              <w:top w:val="nil"/>
              <w:left w:val="nil"/>
              <w:bottom w:val="single" w:color="auto" w:sz="4" w:space="0"/>
              <w:right w:val="single" w:color="auto" w:sz="4" w:space="0"/>
            </w:tcBorders>
            <w:shd w:val="clear" w:color="000000" w:fill="FFFFFF"/>
            <w:vAlign w:val="center"/>
          </w:tcPr>
          <w:p>
            <w:pPr>
              <w:spacing w:line="0" w:lineRule="atLeast"/>
              <w:rPr>
                <w:rFonts w:ascii="Calibri" w:hAnsi="宋体" w:eastAsia="宋体" w:cs="宋体"/>
                <w:color w:val="000000"/>
                <w:sz w:val="21"/>
                <w:szCs w:val="21"/>
              </w:rPr>
            </w:pPr>
            <w:r>
              <w:rPr>
                <w:rFonts w:ascii="Calibri" w:hAnsi="宋体" w:eastAsia="宋体" w:cs="宋体"/>
                <w:color w:val="000000"/>
                <w:sz w:val="21"/>
                <w:szCs w:val="21"/>
              </w:rPr>
              <w:t>总用地约220亩，主要建设：数据运营指挥中心、数据安全中心、数据综合处理中心、数据分析中心等。</w:t>
            </w:r>
          </w:p>
        </w:tc>
        <w:tc>
          <w:tcPr>
            <w:tcW w:w="840"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220000</w:t>
            </w:r>
          </w:p>
        </w:tc>
        <w:tc>
          <w:tcPr>
            <w:tcW w:w="756" w:type="dxa"/>
            <w:gridSpan w:val="2"/>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0</w:t>
            </w:r>
          </w:p>
        </w:tc>
        <w:tc>
          <w:tcPr>
            <w:tcW w:w="796"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220000</w:t>
            </w:r>
          </w:p>
        </w:tc>
        <w:tc>
          <w:tcPr>
            <w:tcW w:w="813"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0</w:t>
            </w:r>
          </w:p>
        </w:tc>
        <w:tc>
          <w:tcPr>
            <w:tcW w:w="854"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220000</w:t>
            </w:r>
          </w:p>
        </w:tc>
        <w:tc>
          <w:tcPr>
            <w:tcW w:w="756"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0</w:t>
            </w:r>
          </w:p>
        </w:tc>
        <w:tc>
          <w:tcPr>
            <w:tcW w:w="252"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p>
        </w:tc>
      </w:tr>
      <w:tr>
        <w:tblPrEx>
          <w:tblCellMar>
            <w:top w:w="0" w:type="dxa"/>
            <w:left w:w="57" w:type="dxa"/>
            <w:bottom w:w="0" w:type="dxa"/>
            <w:right w:w="57" w:type="dxa"/>
          </w:tblCellMar>
        </w:tblPrEx>
        <w:trPr>
          <w:trHeight w:val="905" w:hRule="atLeast"/>
        </w:trPr>
        <w:tc>
          <w:tcPr>
            <w:tcW w:w="683" w:type="dxa"/>
            <w:tcBorders>
              <w:top w:val="nil"/>
              <w:left w:val="single" w:color="auto" w:sz="4" w:space="0"/>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14</w:t>
            </w:r>
          </w:p>
        </w:tc>
        <w:tc>
          <w:tcPr>
            <w:tcW w:w="1537" w:type="dxa"/>
            <w:tcBorders>
              <w:top w:val="nil"/>
              <w:left w:val="nil"/>
              <w:bottom w:val="single" w:color="auto" w:sz="4" w:space="0"/>
              <w:right w:val="single" w:color="auto" w:sz="4" w:space="0"/>
            </w:tcBorders>
            <w:shd w:val="clear" w:color="000000" w:fill="FFFFFF"/>
            <w:vAlign w:val="center"/>
          </w:tcPr>
          <w:p>
            <w:pPr>
              <w:spacing w:line="0" w:lineRule="atLeast"/>
              <w:rPr>
                <w:rFonts w:ascii="Calibri" w:hAnsi="宋体" w:eastAsia="宋体" w:cs="宋体"/>
                <w:color w:val="000000"/>
                <w:sz w:val="21"/>
                <w:szCs w:val="21"/>
              </w:rPr>
            </w:pPr>
            <w:r>
              <w:rPr>
                <w:rFonts w:ascii="Calibri" w:hAnsi="宋体" w:eastAsia="宋体" w:cs="宋体"/>
                <w:color w:val="000000"/>
                <w:sz w:val="21"/>
                <w:szCs w:val="21"/>
              </w:rPr>
              <w:t>云南农业大数据昆明分中心项目</w:t>
            </w:r>
          </w:p>
        </w:tc>
        <w:tc>
          <w:tcPr>
            <w:tcW w:w="938"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信息产业园</w:t>
            </w:r>
          </w:p>
        </w:tc>
        <w:tc>
          <w:tcPr>
            <w:tcW w:w="924"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大数据</w:t>
            </w:r>
          </w:p>
        </w:tc>
        <w:tc>
          <w:tcPr>
            <w:tcW w:w="812"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新建</w:t>
            </w:r>
          </w:p>
        </w:tc>
        <w:tc>
          <w:tcPr>
            <w:tcW w:w="1049"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2021-2023</w:t>
            </w:r>
          </w:p>
        </w:tc>
        <w:tc>
          <w:tcPr>
            <w:tcW w:w="3206" w:type="dxa"/>
            <w:tcBorders>
              <w:top w:val="nil"/>
              <w:left w:val="nil"/>
              <w:bottom w:val="single" w:color="auto" w:sz="4" w:space="0"/>
              <w:right w:val="single" w:color="auto" w:sz="4" w:space="0"/>
            </w:tcBorders>
            <w:shd w:val="clear" w:color="000000" w:fill="FFFFFF"/>
            <w:vAlign w:val="center"/>
          </w:tcPr>
          <w:p>
            <w:pPr>
              <w:spacing w:line="0" w:lineRule="atLeast"/>
              <w:rPr>
                <w:rFonts w:ascii="Calibri" w:hAnsi="宋体" w:eastAsia="宋体" w:cs="宋体"/>
                <w:color w:val="000000"/>
                <w:sz w:val="21"/>
                <w:szCs w:val="21"/>
              </w:rPr>
            </w:pPr>
            <w:r>
              <w:rPr>
                <w:rFonts w:ascii="Calibri" w:hAnsi="宋体" w:eastAsia="宋体" w:cs="宋体"/>
                <w:color w:val="000000"/>
                <w:sz w:val="21"/>
                <w:szCs w:val="21"/>
              </w:rPr>
              <w:t>用地约80亩，主要建设：云南农业大数据昆明分中心，南亚东南亚农业大数据中心，国家农业部大数据中心，昆明市农、林、水指挥调度中心，未来农业研究院，林权交易中心，农业电子交易中心。</w:t>
            </w:r>
          </w:p>
        </w:tc>
        <w:tc>
          <w:tcPr>
            <w:tcW w:w="840"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75000</w:t>
            </w:r>
          </w:p>
        </w:tc>
        <w:tc>
          <w:tcPr>
            <w:tcW w:w="756" w:type="dxa"/>
            <w:gridSpan w:val="2"/>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0</w:t>
            </w:r>
          </w:p>
        </w:tc>
        <w:tc>
          <w:tcPr>
            <w:tcW w:w="796"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75000</w:t>
            </w:r>
          </w:p>
        </w:tc>
        <w:tc>
          <w:tcPr>
            <w:tcW w:w="813"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0</w:t>
            </w:r>
          </w:p>
        </w:tc>
        <w:tc>
          <w:tcPr>
            <w:tcW w:w="854"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75000</w:t>
            </w:r>
          </w:p>
        </w:tc>
        <w:tc>
          <w:tcPr>
            <w:tcW w:w="756"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0</w:t>
            </w:r>
          </w:p>
        </w:tc>
        <w:tc>
          <w:tcPr>
            <w:tcW w:w="252"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p>
        </w:tc>
      </w:tr>
      <w:tr>
        <w:tblPrEx>
          <w:tblCellMar>
            <w:top w:w="0" w:type="dxa"/>
            <w:left w:w="57" w:type="dxa"/>
            <w:bottom w:w="0" w:type="dxa"/>
            <w:right w:w="57" w:type="dxa"/>
          </w:tblCellMar>
        </w:tblPrEx>
        <w:trPr>
          <w:trHeight w:val="340" w:hRule="atLeast"/>
        </w:trPr>
        <w:tc>
          <w:tcPr>
            <w:tcW w:w="683" w:type="dxa"/>
            <w:tcBorders>
              <w:top w:val="nil"/>
              <w:left w:val="single" w:color="auto" w:sz="4" w:space="0"/>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15</w:t>
            </w:r>
          </w:p>
        </w:tc>
        <w:tc>
          <w:tcPr>
            <w:tcW w:w="1537" w:type="dxa"/>
            <w:tcBorders>
              <w:top w:val="nil"/>
              <w:left w:val="nil"/>
              <w:bottom w:val="single" w:color="auto" w:sz="4" w:space="0"/>
              <w:right w:val="single" w:color="auto" w:sz="4" w:space="0"/>
            </w:tcBorders>
            <w:shd w:val="clear" w:color="000000" w:fill="FFFFFF"/>
            <w:vAlign w:val="center"/>
          </w:tcPr>
          <w:p>
            <w:pPr>
              <w:spacing w:line="0" w:lineRule="atLeast"/>
              <w:rPr>
                <w:rFonts w:ascii="Calibri" w:hAnsi="宋体" w:eastAsia="宋体" w:cs="宋体"/>
                <w:color w:val="000000"/>
                <w:sz w:val="21"/>
                <w:szCs w:val="21"/>
              </w:rPr>
            </w:pPr>
            <w:r>
              <w:rPr>
                <w:rFonts w:ascii="Calibri" w:hAnsi="宋体" w:eastAsia="宋体" w:cs="宋体"/>
                <w:color w:val="000000"/>
                <w:sz w:val="21"/>
                <w:szCs w:val="21"/>
              </w:rPr>
              <w:t>VR文创产业园项目(福建网龙西南总部项目)</w:t>
            </w:r>
          </w:p>
        </w:tc>
        <w:tc>
          <w:tcPr>
            <w:tcW w:w="938"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信息产业园</w:t>
            </w:r>
          </w:p>
        </w:tc>
        <w:tc>
          <w:tcPr>
            <w:tcW w:w="924"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大数据</w:t>
            </w:r>
          </w:p>
        </w:tc>
        <w:tc>
          <w:tcPr>
            <w:tcW w:w="812"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新建</w:t>
            </w:r>
          </w:p>
        </w:tc>
        <w:tc>
          <w:tcPr>
            <w:tcW w:w="1049"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2021-2023</w:t>
            </w:r>
          </w:p>
        </w:tc>
        <w:tc>
          <w:tcPr>
            <w:tcW w:w="3206" w:type="dxa"/>
            <w:tcBorders>
              <w:top w:val="nil"/>
              <w:left w:val="nil"/>
              <w:bottom w:val="single" w:color="auto" w:sz="4" w:space="0"/>
              <w:right w:val="single" w:color="auto" w:sz="4" w:space="0"/>
            </w:tcBorders>
            <w:shd w:val="clear" w:color="000000" w:fill="FFFFFF"/>
            <w:vAlign w:val="center"/>
          </w:tcPr>
          <w:p>
            <w:pPr>
              <w:spacing w:line="0" w:lineRule="atLeast"/>
              <w:rPr>
                <w:rFonts w:ascii="Calibri" w:hAnsi="宋体" w:eastAsia="宋体" w:cs="宋体"/>
                <w:color w:val="000000"/>
                <w:sz w:val="21"/>
                <w:szCs w:val="21"/>
              </w:rPr>
            </w:pPr>
            <w:r>
              <w:rPr>
                <w:rFonts w:ascii="Calibri" w:hAnsi="宋体" w:eastAsia="宋体" w:cs="宋体"/>
                <w:color w:val="000000"/>
                <w:sz w:val="21"/>
                <w:szCs w:val="21"/>
              </w:rPr>
              <w:t>建设智能综合教育培训基地、VR/AR科技体验博览中心、VR/AR文创孵化集群。</w:t>
            </w:r>
          </w:p>
        </w:tc>
        <w:tc>
          <w:tcPr>
            <w:tcW w:w="840"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126000</w:t>
            </w:r>
          </w:p>
        </w:tc>
        <w:tc>
          <w:tcPr>
            <w:tcW w:w="756" w:type="dxa"/>
            <w:gridSpan w:val="2"/>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0</w:t>
            </w:r>
          </w:p>
        </w:tc>
        <w:tc>
          <w:tcPr>
            <w:tcW w:w="796"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126000</w:t>
            </w:r>
          </w:p>
        </w:tc>
        <w:tc>
          <w:tcPr>
            <w:tcW w:w="813"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0</w:t>
            </w:r>
          </w:p>
        </w:tc>
        <w:tc>
          <w:tcPr>
            <w:tcW w:w="854"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126000</w:t>
            </w:r>
          </w:p>
        </w:tc>
        <w:tc>
          <w:tcPr>
            <w:tcW w:w="756"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0</w:t>
            </w:r>
          </w:p>
        </w:tc>
        <w:tc>
          <w:tcPr>
            <w:tcW w:w="252"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p>
        </w:tc>
      </w:tr>
      <w:tr>
        <w:tblPrEx>
          <w:tblCellMar>
            <w:top w:w="0" w:type="dxa"/>
            <w:left w:w="57" w:type="dxa"/>
            <w:bottom w:w="0" w:type="dxa"/>
            <w:right w:w="57" w:type="dxa"/>
          </w:tblCellMar>
        </w:tblPrEx>
        <w:trPr>
          <w:trHeight w:val="340" w:hRule="atLeast"/>
        </w:trPr>
        <w:tc>
          <w:tcPr>
            <w:tcW w:w="683" w:type="dxa"/>
            <w:tcBorders>
              <w:top w:val="nil"/>
              <w:left w:val="single" w:color="auto" w:sz="4" w:space="0"/>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16</w:t>
            </w:r>
          </w:p>
        </w:tc>
        <w:tc>
          <w:tcPr>
            <w:tcW w:w="1537" w:type="dxa"/>
            <w:tcBorders>
              <w:top w:val="nil"/>
              <w:left w:val="nil"/>
              <w:bottom w:val="single" w:color="auto" w:sz="4" w:space="0"/>
              <w:right w:val="single" w:color="auto" w:sz="4" w:space="0"/>
            </w:tcBorders>
            <w:shd w:val="clear" w:color="000000" w:fill="FFFFFF"/>
            <w:vAlign w:val="center"/>
          </w:tcPr>
          <w:p>
            <w:pPr>
              <w:spacing w:line="0" w:lineRule="atLeast"/>
              <w:rPr>
                <w:rFonts w:ascii="Calibri" w:hAnsi="宋体" w:eastAsia="宋体" w:cs="宋体"/>
                <w:color w:val="000000"/>
                <w:sz w:val="21"/>
                <w:szCs w:val="21"/>
              </w:rPr>
            </w:pPr>
            <w:r>
              <w:rPr>
                <w:rFonts w:ascii="Calibri" w:hAnsi="宋体" w:eastAsia="宋体" w:cs="宋体"/>
                <w:color w:val="000000"/>
                <w:sz w:val="21"/>
                <w:szCs w:val="21"/>
              </w:rPr>
              <w:t>奥飞数据大数据产业园项目</w:t>
            </w:r>
          </w:p>
        </w:tc>
        <w:tc>
          <w:tcPr>
            <w:tcW w:w="938"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信息产业园</w:t>
            </w:r>
          </w:p>
        </w:tc>
        <w:tc>
          <w:tcPr>
            <w:tcW w:w="924"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大数据</w:t>
            </w:r>
          </w:p>
        </w:tc>
        <w:tc>
          <w:tcPr>
            <w:tcW w:w="812"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新建</w:t>
            </w:r>
          </w:p>
        </w:tc>
        <w:tc>
          <w:tcPr>
            <w:tcW w:w="1049"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2021-2023</w:t>
            </w:r>
          </w:p>
        </w:tc>
        <w:tc>
          <w:tcPr>
            <w:tcW w:w="3206" w:type="dxa"/>
            <w:tcBorders>
              <w:top w:val="nil"/>
              <w:left w:val="nil"/>
              <w:bottom w:val="single" w:color="auto" w:sz="4" w:space="0"/>
              <w:right w:val="single" w:color="auto" w:sz="4" w:space="0"/>
            </w:tcBorders>
            <w:shd w:val="clear" w:color="000000" w:fill="FFFFFF"/>
            <w:vAlign w:val="center"/>
          </w:tcPr>
          <w:p>
            <w:pPr>
              <w:spacing w:line="0" w:lineRule="atLeast"/>
              <w:rPr>
                <w:rFonts w:ascii="Calibri" w:hAnsi="宋体" w:eastAsia="宋体" w:cs="宋体"/>
                <w:color w:val="000000"/>
                <w:sz w:val="21"/>
                <w:szCs w:val="21"/>
              </w:rPr>
            </w:pPr>
            <w:r>
              <w:rPr>
                <w:rFonts w:ascii="Calibri" w:hAnsi="宋体" w:eastAsia="宋体" w:cs="宋体"/>
                <w:color w:val="000000"/>
                <w:sz w:val="21"/>
                <w:szCs w:val="21"/>
              </w:rPr>
              <w:t>用地面积30亩，计划总投资5亿元。西南地区最大规模的定制化互联网数据中心、研发基地及智能化运维产业化基地、云计算和大数据公共服务平台。</w:t>
            </w:r>
          </w:p>
        </w:tc>
        <w:tc>
          <w:tcPr>
            <w:tcW w:w="840"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50000</w:t>
            </w:r>
          </w:p>
        </w:tc>
        <w:tc>
          <w:tcPr>
            <w:tcW w:w="756" w:type="dxa"/>
            <w:gridSpan w:val="2"/>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0</w:t>
            </w:r>
          </w:p>
        </w:tc>
        <w:tc>
          <w:tcPr>
            <w:tcW w:w="796"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50000</w:t>
            </w:r>
          </w:p>
        </w:tc>
        <w:tc>
          <w:tcPr>
            <w:tcW w:w="813"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0</w:t>
            </w:r>
          </w:p>
        </w:tc>
        <w:tc>
          <w:tcPr>
            <w:tcW w:w="854"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50000</w:t>
            </w:r>
          </w:p>
        </w:tc>
        <w:tc>
          <w:tcPr>
            <w:tcW w:w="756"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0</w:t>
            </w:r>
          </w:p>
        </w:tc>
        <w:tc>
          <w:tcPr>
            <w:tcW w:w="252"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p>
        </w:tc>
      </w:tr>
      <w:tr>
        <w:tblPrEx>
          <w:tblCellMar>
            <w:top w:w="0" w:type="dxa"/>
            <w:left w:w="57" w:type="dxa"/>
            <w:bottom w:w="0" w:type="dxa"/>
            <w:right w:w="57" w:type="dxa"/>
          </w:tblCellMar>
        </w:tblPrEx>
        <w:trPr>
          <w:trHeight w:val="340" w:hRule="atLeast"/>
        </w:trPr>
        <w:tc>
          <w:tcPr>
            <w:tcW w:w="683" w:type="dxa"/>
            <w:tcBorders>
              <w:top w:val="nil"/>
              <w:left w:val="single" w:color="auto" w:sz="4" w:space="0"/>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17</w:t>
            </w:r>
          </w:p>
        </w:tc>
        <w:tc>
          <w:tcPr>
            <w:tcW w:w="1537" w:type="dxa"/>
            <w:tcBorders>
              <w:top w:val="nil"/>
              <w:left w:val="nil"/>
              <w:bottom w:val="single" w:color="auto" w:sz="4" w:space="0"/>
              <w:right w:val="single" w:color="auto" w:sz="4" w:space="0"/>
            </w:tcBorders>
            <w:shd w:val="clear" w:color="000000" w:fill="FFFFFF"/>
            <w:vAlign w:val="center"/>
          </w:tcPr>
          <w:p>
            <w:pPr>
              <w:spacing w:line="0" w:lineRule="atLeast"/>
              <w:rPr>
                <w:rFonts w:ascii="Calibri" w:hAnsi="宋体" w:eastAsia="宋体" w:cs="宋体"/>
                <w:color w:val="000000"/>
                <w:sz w:val="21"/>
                <w:szCs w:val="21"/>
              </w:rPr>
            </w:pPr>
            <w:r>
              <w:rPr>
                <w:rFonts w:ascii="Calibri" w:hAnsi="宋体" w:eastAsia="宋体" w:cs="宋体"/>
                <w:color w:val="000000"/>
                <w:sz w:val="21"/>
                <w:szCs w:val="21"/>
              </w:rPr>
              <w:t>猪八戒西南总部基地项目</w:t>
            </w:r>
          </w:p>
        </w:tc>
        <w:tc>
          <w:tcPr>
            <w:tcW w:w="938"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信息产业园</w:t>
            </w:r>
          </w:p>
        </w:tc>
        <w:tc>
          <w:tcPr>
            <w:tcW w:w="924"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大数据</w:t>
            </w:r>
          </w:p>
        </w:tc>
        <w:tc>
          <w:tcPr>
            <w:tcW w:w="812"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新建</w:t>
            </w:r>
          </w:p>
        </w:tc>
        <w:tc>
          <w:tcPr>
            <w:tcW w:w="1049"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2021-2023</w:t>
            </w:r>
          </w:p>
        </w:tc>
        <w:tc>
          <w:tcPr>
            <w:tcW w:w="3206" w:type="dxa"/>
            <w:tcBorders>
              <w:top w:val="nil"/>
              <w:left w:val="nil"/>
              <w:bottom w:val="single" w:color="auto" w:sz="4" w:space="0"/>
              <w:right w:val="single" w:color="auto" w:sz="4" w:space="0"/>
            </w:tcBorders>
            <w:shd w:val="clear" w:color="000000" w:fill="FFFFFF"/>
            <w:vAlign w:val="center"/>
          </w:tcPr>
          <w:p>
            <w:pPr>
              <w:spacing w:line="0" w:lineRule="atLeast"/>
              <w:rPr>
                <w:rFonts w:ascii="Calibri" w:hAnsi="宋体" w:eastAsia="宋体" w:cs="宋体"/>
                <w:color w:val="000000"/>
                <w:sz w:val="21"/>
                <w:szCs w:val="21"/>
              </w:rPr>
            </w:pPr>
            <w:r>
              <w:rPr>
                <w:rFonts w:ascii="Calibri" w:hAnsi="宋体" w:eastAsia="宋体" w:cs="宋体"/>
                <w:color w:val="000000"/>
                <w:sz w:val="21"/>
                <w:szCs w:val="21"/>
              </w:rPr>
              <w:t>用地约115亩，主要建设：网络平台建设、互联网信息服务中心等。</w:t>
            </w:r>
          </w:p>
        </w:tc>
        <w:tc>
          <w:tcPr>
            <w:tcW w:w="840"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100000</w:t>
            </w:r>
          </w:p>
        </w:tc>
        <w:tc>
          <w:tcPr>
            <w:tcW w:w="756" w:type="dxa"/>
            <w:gridSpan w:val="2"/>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0</w:t>
            </w:r>
          </w:p>
        </w:tc>
        <w:tc>
          <w:tcPr>
            <w:tcW w:w="796"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100000</w:t>
            </w:r>
          </w:p>
        </w:tc>
        <w:tc>
          <w:tcPr>
            <w:tcW w:w="813"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0</w:t>
            </w:r>
          </w:p>
        </w:tc>
        <w:tc>
          <w:tcPr>
            <w:tcW w:w="854"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100000</w:t>
            </w:r>
          </w:p>
        </w:tc>
        <w:tc>
          <w:tcPr>
            <w:tcW w:w="756"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0</w:t>
            </w:r>
          </w:p>
        </w:tc>
        <w:tc>
          <w:tcPr>
            <w:tcW w:w="252"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p>
        </w:tc>
      </w:tr>
      <w:tr>
        <w:tblPrEx>
          <w:tblCellMar>
            <w:top w:w="0" w:type="dxa"/>
            <w:left w:w="57" w:type="dxa"/>
            <w:bottom w:w="0" w:type="dxa"/>
            <w:right w:w="57" w:type="dxa"/>
          </w:tblCellMar>
        </w:tblPrEx>
        <w:trPr>
          <w:trHeight w:val="862" w:hRule="atLeast"/>
        </w:trPr>
        <w:tc>
          <w:tcPr>
            <w:tcW w:w="683" w:type="dxa"/>
            <w:tcBorders>
              <w:top w:val="nil"/>
              <w:left w:val="single" w:color="auto" w:sz="4" w:space="0"/>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18</w:t>
            </w:r>
          </w:p>
        </w:tc>
        <w:tc>
          <w:tcPr>
            <w:tcW w:w="1537" w:type="dxa"/>
            <w:tcBorders>
              <w:top w:val="nil"/>
              <w:left w:val="nil"/>
              <w:bottom w:val="single" w:color="auto" w:sz="4" w:space="0"/>
              <w:right w:val="single" w:color="auto" w:sz="4" w:space="0"/>
            </w:tcBorders>
            <w:shd w:val="clear" w:color="000000" w:fill="FFFFFF"/>
            <w:vAlign w:val="center"/>
          </w:tcPr>
          <w:p>
            <w:pPr>
              <w:spacing w:line="0" w:lineRule="atLeast"/>
              <w:rPr>
                <w:rFonts w:ascii="Calibri" w:hAnsi="宋体" w:eastAsia="宋体" w:cs="宋体"/>
                <w:color w:val="000000"/>
                <w:sz w:val="21"/>
                <w:szCs w:val="21"/>
              </w:rPr>
            </w:pPr>
            <w:r>
              <w:rPr>
                <w:rFonts w:ascii="Calibri" w:hAnsi="宋体" w:eastAsia="宋体" w:cs="宋体"/>
                <w:color w:val="000000"/>
                <w:sz w:val="21"/>
                <w:szCs w:val="21"/>
              </w:rPr>
              <w:t>昆明医科大学第一附属医院呈贡医院医-养结合高端健康养生基地</w:t>
            </w:r>
          </w:p>
        </w:tc>
        <w:tc>
          <w:tcPr>
            <w:tcW w:w="938"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洛龙街道</w:t>
            </w:r>
          </w:p>
        </w:tc>
        <w:tc>
          <w:tcPr>
            <w:tcW w:w="924"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大健康</w:t>
            </w:r>
          </w:p>
        </w:tc>
        <w:tc>
          <w:tcPr>
            <w:tcW w:w="812"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新建</w:t>
            </w:r>
          </w:p>
        </w:tc>
        <w:tc>
          <w:tcPr>
            <w:tcW w:w="1049"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2022-2028</w:t>
            </w:r>
          </w:p>
        </w:tc>
        <w:tc>
          <w:tcPr>
            <w:tcW w:w="3206" w:type="dxa"/>
            <w:tcBorders>
              <w:top w:val="nil"/>
              <w:left w:val="nil"/>
              <w:bottom w:val="single" w:color="auto" w:sz="4" w:space="0"/>
              <w:right w:val="single" w:color="auto" w:sz="4" w:space="0"/>
            </w:tcBorders>
            <w:shd w:val="clear" w:color="000000" w:fill="FFFFFF"/>
            <w:vAlign w:val="center"/>
          </w:tcPr>
          <w:p>
            <w:pPr>
              <w:spacing w:line="0" w:lineRule="atLeast"/>
              <w:rPr>
                <w:rFonts w:ascii="Calibri" w:hAnsi="宋体" w:eastAsia="宋体" w:cs="宋体"/>
                <w:color w:val="000000"/>
                <w:sz w:val="21"/>
                <w:szCs w:val="21"/>
              </w:rPr>
            </w:pPr>
            <w:r>
              <w:rPr>
                <w:rFonts w:ascii="Calibri" w:hAnsi="宋体" w:eastAsia="宋体" w:cs="宋体"/>
                <w:color w:val="000000"/>
                <w:sz w:val="21"/>
                <w:szCs w:val="21"/>
              </w:rPr>
              <w:t>建设以养老设施为主，医养强合，并提供相应的医疗延展服务的大型医、养、护理为一体的综合项目。</w:t>
            </w:r>
          </w:p>
        </w:tc>
        <w:tc>
          <w:tcPr>
            <w:tcW w:w="840"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800000</w:t>
            </w:r>
          </w:p>
        </w:tc>
        <w:tc>
          <w:tcPr>
            <w:tcW w:w="756" w:type="dxa"/>
            <w:gridSpan w:val="2"/>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0</w:t>
            </w:r>
          </w:p>
        </w:tc>
        <w:tc>
          <w:tcPr>
            <w:tcW w:w="796"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800000</w:t>
            </w:r>
          </w:p>
        </w:tc>
        <w:tc>
          <w:tcPr>
            <w:tcW w:w="813"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0</w:t>
            </w:r>
          </w:p>
        </w:tc>
        <w:tc>
          <w:tcPr>
            <w:tcW w:w="854"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300000</w:t>
            </w:r>
          </w:p>
        </w:tc>
        <w:tc>
          <w:tcPr>
            <w:tcW w:w="756"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500000</w:t>
            </w:r>
          </w:p>
        </w:tc>
        <w:tc>
          <w:tcPr>
            <w:tcW w:w="252"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p>
        </w:tc>
      </w:tr>
      <w:tr>
        <w:tblPrEx>
          <w:tblCellMar>
            <w:top w:w="0" w:type="dxa"/>
            <w:left w:w="57" w:type="dxa"/>
            <w:bottom w:w="0" w:type="dxa"/>
            <w:right w:w="57" w:type="dxa"/>
          </w:tblCellMar>
        </w:tblPrEx>
        <w:trPr>
          <w:trHeight w:val="340" w:hRule="atLeast"/>
        </w:trPr>
        <w:tc>
          <w:tcPr>
            <w:tcW w:w="683" w:type="dxa"/>
            <w:tcBorders>
              <w:top w:val="nil"/>
              <w:left w:val="single" w:color="auto" w:sz="4" w:space="0"/>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19</w:t>
            </w:r>
          </w:p>
        </w:tc>
        <w:tc>
          <w:tcPr>
            <w:tcW w:w="1537" w:type="dxa"/>
            <w:tcBorders>
              <w:top w:val="nil"/>
              <w:left w:val="nil"/>
              <w:bottom w:val="single" w:color="auto" w:sz="4" w:space="0"/>
              <w:right w:val="single" w:color="auto" w:sz="4" w:space="0"/>
            </w:tcBorders>
            <w:shd w:val="clear" w:color="000000" w:fill="FFFFFF"/>
            <w:vAlign w:val="center"/>
          </w:tcPr>
          <w:p>
            <w:pPr>
              <w:spacing w:line="0" w:lineRule="atLeast"/>
              <w:rPr>
                <w:rFonts w:ascii="Calibri" w:hAnsi="宋体" w:eastAsia="宋体" w:cs="宋体"/>
                <w:color w:val="000000"/>
                <w:sz w:val="21"/>
                <w:szCs w:val="21"/>
              </w:rPr>
            </w:pPr>
            <w:r>
              <w:rPr>
                <w:rFonts w:ascii="Calibri" w:hAnsi="宋体" w:eastAsia="宋体" w:cs="宋体"/>
                <w:color w:val="000000"/>
                <w:sz w:val="21"/>
                <w:szCs w:val="21"/>
              </w:rPr>
              <w:t>花田运动区</w:t>
            </w:r>
          </w:p>
        </w:tc>
        <w:tc>
          <w:tcPr>
            <w:tcW w:w="938"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斗南街道</w:t>
            </w:r>
          </w:p>
        </w:tc>
        <w:tc>
          <w:tcPr>
            <w:tcW w:w="924"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大健康</w:t>
            </w:r>
          </w:p>
        </w:tc>
        <w:tc>
          <w:tcPr>
            <w:tcW w:w="812"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新建</w:t>
            </w:r>
          </w:p>
        </w:tc>
        <w:tc>
          <w:tcPr>
            <w:tcW w:w="1049"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2027-2030</w:t>
            </w:r>
          </w:p>
        </w:tc>
        <w:tc>
          <w:tcPr>
            <w:tcW w:w="3206" w:type="dxa"/>
            <w:tcBorders>
              <w:top w:val="nil"/>
              <w:left w:val="nil"/>
              <w:bottom w:val="single" w:color="auto" w:sz="4" w:space="0"/>
              <w:right w:val="single" w:color="auto" w:sz="4" w:space="0"/>
            </w:tcBorders>
            <w:shd w:val="clear" w:color="000000" w:fill="FFFFFF"/>
            <w:vAlign w:val="center"/>
          </w:tcPr>
          <w:p>
            <w:pPr>
              <w:spacing w:line="0" w:lineRule="atLeast"/>
              <w:rPr>
                <w:rFonts w:ascii="Calibri" w:hAnsi="宋体" w:eastAsia="宋体" w:cs="宋体"/>
                <w:color w:val="000000"/>
                <w:sz w:val="21"/>
                <w:szCs w:val="21"/>
              </w:rPr>
            </w:pPr>
            <w:r>
              <w:rPr>
                <w:rFonts w:ascii="Calibri" w:hAnsi="宋体" w:eastAsia="宋体" w:cs="宋体"/>
                <w:color w:val="000000"/>
                <w:sz w:val="21"/>
                <w:szCs w:val="21"/>
              </w:rPr>
              <w:t>建设花海自行车、花田景观、花镜步道。</w:t>
            </w:r>
          </w:p>
        </w:tc>
        <w:tc>
          <w:tcPr>
            <w:tcW w:w="840"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8000</w:t>
            </w:r>
          </w:p>
        </w:tc>
        <w:tc>
          <w:tcPr>
            <w:tcW w:w="756" w:type="dxa"/>
            <w:gridSpan w:val="2"/>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0</w:t>
            </w:r>
          </w:p>
        </w:tc>
        <w:tc>
          <w:tcPr>
            <w:tcW w:w="796"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8000</w:t>
            </w:r>
          </w:p>
        </w:tc>
        <w:tc>
          <w:tcPr>
            <w:tcW w:w="813"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0</w:t>
            </w:r>
          </w:p>
        </w:tc>
        <w:tc>
          <w:tcPr>
            <w:tcW w:w="854"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0</w:t>
            </w:r>
          </w:p>
        </w:tc>
        <w:tc>
          <w:tcPr>
            <w:tcW w:w="756"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8000</w:t>
            </w:r>
          </w:p>
        </w:tc>
        <w:tc>
          <w:tcPr>
            <w:tcW w:w="252"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p>
        </w:tc>
      </w:tr>
      <w:tr>
        <w:tblPrEx>
          <w:tblCellMar>
            <w:top w:w="0" w:type="dxa"/>
            <w:left w:w="57" w:type="dxa"/>
            <w:bottom w:w="0" w:type="dxa"/>
            <w:right w:w="57" w:type="dxa"/>
          </w:tblCellMar>
        </w:tblPrEx>
        <w:trPr>
          <w:trHeight w:val="1143" w:hRule="atLeast"/>
        </w:trPr>
        <w:tc>
          <w:tcPr>
            <w:tcW w:w="683" w:type="dxa"/>
            <w:tcBorders>
              <w:top w:val="nil"/>
              <w:left w:val="single" w:color="auto" w:sz="4" w:space="0"/>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20</w:t>
            </w:r>
          </w:p>
        </w:tc>
        <w:tc>
          <w:tcPr>
            <w:tcW w:w="1537" w:type="dxa"/>
            <w:tcBorders>
              <w:top w:val="nil"/>
              <w:left w:val="nil"/>
              <w:bottom w:val="single" w:color="auto" w:sz="4" w:space="0"/>
              <w:right w:val="single" w:color="auto" w:sz="4" w:space="0"/>
            </w:tcBorders>
            <w:shd w:val="clear" w:color="000000" w:fill="FFFFFF"/>
            <w:vAlign w:val="center"/>
          </w:tcPr>
          <w:p>
            <w:pPr>
              <w:spacing w:line="0" w:lineRule="atLeast"/>
              <w:rPr>
                <w:rFonts w:ascii="Calibri" w:hAnsi="宋体" w:eastAsia="宋体" w:cs="宋体"/>
                <w:color w:val="000000"/>
                <w:sz w:val="21"/>
                <w:szCs w:val="21"/>
              </w:rPr>
            </w:pPr>
            <w:r>
              <w:rPr>
                <w:rFonts w:ascii="Calibri" w:hAnsi="宋体" w:eastAsia="宋体" w:cs="宋体"/>
                <w:color w:val="000000"/>
                <w:sz w:val="21"/>
                <w:szCs w:val="21"/>
              </w:rPr>
              <w:t>大师创意中心</w:t>
            </w:r>
          </w:p>
        </w:tc>
        <w:tc>
          <w:tcPr>
            <w:tcW w:w="938"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斗南街道</w:t>
            </w:r>
          </w:p>
        </w:tc>
        <w:tc>
          <w:tcPr>
            <w:tcW w:w="924"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大文创</w:t>
            </w:r>
          </w:p>
        </w:tc>
        <w:tc>
          <w:tcPr>
            <w:tcW w:w="812"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新建</w:t>
            </w:r>
          </w:p>
        </w:tc>
        <w:tc>
          <w:tcPr>
            <w:tcW w:w="1049"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2021-2025</w:t>
            </w:r>
          </w:p>
        </w:tc>
        <w:tc>
          <w:tcPr>
            <w:tcW w:w="3206" w:type="dxa"/>
            <w:tcBorders>
              <w:top w:val="nil"/>
              <w:left w:val="nil"/>
              <w:bottom w:val="single" w:color="auto" w:sz="4" w:space="0"/>
              <w:right w:val="single" w:color="auto" w:sz="4" w:space="0"/>
            </w:tcBorders>
            <w:shd w:val="clear" w:color="000000" w:fill="FFFFFF"/>
            <w:vAlign w:val="center"/>
          </w:tcPr>
          <w:p>
            <w:pPr>
              <w:spacing w:line="0" w:lineRule="atLeast"/>
              <w:rPr>
                <w:rFonts w:ascii="Calibri" w:hAnsi="宋体" w:eastAsia="宋体" w:cs="宋体"/>
                <w:color w:val="000000"/>
                <w:sz w:val="21"/>
                <w:szCs w:val="21"/>
              </w:rPr>
            </w:pPr>
            <w:r>
              <w:rPr>
                <w:rFonts w:ascii="Calibri" w:hAnsi="宋体" w:eastAsia="宋体" w:cs="宋体"/>
                <w:color w:val="000000"/>
                <w:sz w:val="21"/>
                <w:szCs w:val="21"/>
              </w:rPr>
              <w:t>引进插花、盆景、庭院设计、DIY香包、艺术拍卖；植物猎人工坊、花饰设计、花艺教学、花田摄影、婚庆造型等大师工作室。</w:t>
            </w:r>
          </w:p>
        </w:tc>
        <w:tc>
          <w:tcPr>
            <w:tcW w:w="840"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16000</w:t>
            </w:r>
          </w:p>
        </w:tc>
        <w:tc>
          <w:tcPr>
            <w:tcW w:w="756" w:type="dxa"/>
            <w:gridSpan w:val="2"/>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0</w:t>
            </w:r>
          </w:p>
        </w:tc>
        <w:tc>
          <w:tcPr>
            <w:tcW w:w="796"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16000</w:t>
            </w:r>
          </w:p>
        </w:tc>
        <w:tc>
          <w:tcPr>
            <w:tcW w:w="813"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0</w:t>
            </w:r>
          </w:p>
        </w:tc>
        <w:tc>
          <w:tcPr>
            <w:tcW w:w="854"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16000</w:t>
            </w:r>
          </w:p>
        </w:tc>
        <w:tc>
          <w:tcPr>
            <w:tcW w:w="756"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0</w:t>
            </w:r>
          </w:p>
        </w:tc>
        <w:tc>
          <w:tcPr>
            <w:tcW w:w="252"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p>
        </w:tc>
      </w:tr>
      <w:tr>
        <w:tblPrEx>
          <w:tblCellMar>
            <w:top w:w="0" w:type="dxa"/>
            <w:left w:w="57" w:type="dxa"/>
            <w:bottom w:w="0" w:type="dxa"/>
            <w:right w:w="57" w:type="dxa"/>
          </w:tblCellMar>
        </w:tblPrEx>
        <w:trPr>
          <w:trHeight w:val="340" w:hRule="atLeast"/>
        </w:trPr>
        <w:tc>
          <w:tcPr>
            <w:tcW w:w="683" w:type="dxa"/>
            <w:tcBorders>
              <w:top w:val="nil"/>
              <w:left w:val="single" w:color="auto" w:sz="4" w:space="0"/>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21</w:t>
            </w:r>
          </w:p>
        </w:tc>
        <w:tc>
          <w:tcPr>
            <w:tcW w:w="1537" w:type="dxa"/>
            <w:tcBorders>
              <w:top w:val="nil"/>
              <w:left w:val="nil"/>
              <w:bottom w:val="single" w:color="auto" w:sz="4" w:space="0"/>
              <w:right w:val="single" w:color="auto" w:sz="4" w:space="0"/>
            </w:tcBorders>
            <w:shd w:val="clear" w:color="000000" w:fill="FFFFFF"/>
            <w:vAlign w:val="center"/>
          </w:tcPr>
          <w:p>
            <w:pPr>
              <w:spacing w:line="0" w:lineRule="atLeast"/>
              <w:rPr>
                <w:rFonts w:ascii="Calibri" w:hAnsi="宋体" w:eastAsia="宋体" w:cs="宋体"/>
                <w:color w:val="000000"/>
                <w:sz w:val="21"/>
                <w:szCs w:val="21"/>
              </w:rPr>
            </w:pPr>
            <w:r>
              <w:rPr>
                <w:rFonts w:ascii="Calibri" w:hAnsi="宋体" w:eastAsia="宋体" w:cs="宋体"/>
                <w:color w:val="000000"/>
                <w:sz w:val="21"/>
                <w:szCs w:val="21"/>
              </w:rPr>
              <w:t>斗南花卉创意市集</w:t>
            </w:r>
          </w:p>
        </w:tc>
        <w:tc>
          <w:tcPr>
            <w:tcW w:w="938"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斗南街道</w:t>
            </w:r>
          </w:p>
        </w:tc>
        <w:tc>
          <w:tcPr>
            <w:tcW w:w="924"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大文创</w:t>
            </w:r>
          </w:p>
        </w:tc>
        <w:tc>
          <w:tcPr>
            <w:tcW w:w="812"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新建</w:t>
            </w:r>
          </w:p>
        </w:tc>
        <w:tc>
          <w:tcPr>
            <w:tcW w:w="1049"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2022-2026</w:t>
            </w:r>
          </w:p>
        </w:tc>
        <w:tc>
          <w:tcPr>
            <w:tcW w:w="3206" w:type="dxa"/>
            <w:tcBorders>
              <w:top w:val="nil"/>
              <w:left w:val="nil"/>
              <w:bottom w:val="single" w:color="auto" w:sz="4" w:space="0"/>
              <w:right w:val="single" w:color="auto" w:sz="4" w:space="0"/>
            </w:tcBorders>
            <w:shd w:val="clear" w:color="000000" w:fill="FFFFFF"/>
            <w:vAlign w:val="center"/>
          </w:tcPr>
          <w:p>
            <w:pPr>
              <w:spacing w:line="0" w:lineRule="atLeast"/>
              <w:rPr>
                <w:rFonts w:ascii="Calibri" w:hAnsi="宋体" w:eastAsia="宋体" w:cs="宋体"/>
                <w:color w:val="000000"/>
                <w:sz w:val="21"/>
                <w:szCs w:val="21"/>
              </w:rPr>
            </w:pPr>
            <w:r>
              <w:rPr>
                <w:rFonts w:ascii="Calibri" w:hAnsi="宋体" w:eastAsia="宋体" w:cs="宋体"/>
                <w:color w:val="000000"/>
                <w:sz w:val="21"/>
                <w:szCs w:val="21"/>
              </w:rPr>
              <w:t>花卉艺术设计和创意市场、花卉婚庆服务中心。</w:t>
            </w:r>
          </w:p>
        </w:tc>
        <w:tc>
          <w:tcPr>
            <w:tcW w:w="840"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5000</w:t>
            </w:r>
          </w:p>
        </w:tc>
        <w:tc>
          <w:tcPr>
            <w:tcW w:w="756" w:type="dxa"/>
            <w:gridSpan w:val="2"/>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0</w:t>
            </w:r>
          </w:p>
        </w:tc>
        <w:tc>
          <w:tcPr>
            <w:tcW w:w="796"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5000</w:t>
            </w:r>
          </w:p>
        </w:tc>
        <w:tc>
          <w:tcPr>
            <w:tcW w:w="813"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0</w:t>
            </w:r>
          </w:p>
        </w:tc>
        <w:tc>
          <w:tcPr>
            <w:tcW w:w="854"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3000</w:t>
            </w:r>
          </w:p>
        </w:tc>
        <w:tc>
          <w:tcPr>
            <w:tcW w:w="756"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2000</w:t>
            </w:r>
          </w:p>
        </w:tc>
        <w:tc>
          <w:tcPr>
            <w:tcW w:w="252"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p>
        </w:tc>
      </w:tr>
      <w:tr>
        <w:tblPrEx>
          <w:tblCellMar>
            <w:top w:w="0" w:type="dxa"/>
            <w:left w:w="57" w:type="dxa"/>
            <w:bottom w:w="0" w:type="dxa"/>
            <w:right w:w="57" w:type="dxa"/>
          </w:tblCellMar>
        </w:tblPrEx>
        <w:trPr>
          <w:trHeight w:val="340" w:hRule="atLeast"/>
        </w:trPr>
        <w:tc>
          <w:tcPr>
            <w:tcW w:w="683" w:type="dxa"/>
            <w:tcBorders>
              <w:top w:val="nil"/>
              <w:left w:val="single" w:color="auto" w:sz="4" w:space="0"/>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22</w:t>
            </w:r>
          </w:p>
        </w:tc>
        <w:tc>
          <w:tcPr>
            <w:tcW w:w="1537" w:type="dxa"/>
            <w:tcBorders>
              <w:top w:val="nil"/>
              <w:left w:val="nil"/>
              <w:bottom w:val="single" w:color="auto" w:sz="4" w:space="0"/>
              <w:right w:val="single" w:color="auto" w:sz="4" w:space="0"/>
            </w:tcBorders>
            <w:shd w:val="clear" w:color="000000" w:fill="FFFFFF"/>
            <w:vAlign w:val="center"/>
          </w:tcPr>
          <w:p>
            <w:pPr>
              <w:spacing w:line="0" w:lineRule="atLeast"/>
              <w:rPr>
                <w:rFonts w:ascii="Calibri" w:hAnsi="宋体" w:eastAsia="宋体" w:cs="宋体"/>
                <w:color w:val="000000"/>
                <w:sz w:val="21"/>
                <w:szCs w:val="21"/>
              </w:rPr>
            </w:pPr>
            <w:r>
              <w:rPr>
                <w:rFonts w:ascii="Calibri" w:hAnsi="宋体" w:eastAsia="宋体" w:cs="宋体"/>
                <w:color w:val="000000"/>
                <w:sz w:val="21"/>
                <w:szCs w:val="21"/>
              </w:rPr>
              <w:t>平安不动产栀云苑（A5、A7、A11、A12、A13）</w:t>
            </w:r>
          </w:p>
        </w:tc>
        <w:tc>
          <w:tcPr>
            <w:tcW w:w="938"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洛龙街道</w:t>
            </w:r>
          </w:p>
        </w:tc>
        <w:tc>
          <w:tcPr>
            <w:tcW w:w="924"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房地产</w:t>
            </w:r>
          </w:p>
        </w:tc>
        <w:tc>
          <w:tcPr>
            <w:tcW w:w="812"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新建</w:t>
            </w:r>
          </w:p>
        </w:tc>
        <w:tc>
          <w:tcPr>
            <w:tcW w:w="1049"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2021-2028</w:t>
            </w:r>
          </w:p>
        </w:tc>
        <w:tc>
          <w:tcPr>
            <w:tcW w:w="3206" w:type="dxa"/>
            <w:tcBorders>
              <w:top w:val="nil"/>
              <w:left w:val="nil"/>
              <w:bottom w:val="single" w:color="auto" w:sz="4" w:space="0"/>
              <w:right w:val="single" w:color="auto" w:sz="4" w:space="0"/>
            </w:tcBorders>
            <w:shd w:val="clear" w:color="000000" w:fill="FFFFFF"/>
            <w:vAlign w:val="center"/>
          </w:tcPr>
          <w:p>
            <w:pPr>
              <w:spacing w:line="0" w:lineRule="atLeast"/>
              <w:rPr>
                <w:rFonts w:ascii="Calibri" w:hAnsi="宋体" w:eastAsia="宋体" w:cs="宋体"/>
                <w:color w:val="000000"/>
                <w:sz w:val="21"/>
                <w:szCs w:val="21"/>
              </w:rPr>
            </w:pPr>
            <w:r>
              <w:rPr>
                <w:rFonts w:ascii="Calibri" w:hAnsi="宋体" w:eastAsia="宋体" w:cs="宋体"/>
                <w:color w:val="000000"/>
                <w:sz w:val="21"/>
                <w:szCs w:val="21"/>
              </w:rPr>
              <w:t>商业住宅及公共服务设施。</w:t>
            </w:r>
          </w:p>
        </w:tc>
        <w:tc>
          <w:tcPr>
            <w:tcW w:w="840"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462350</w:t>
            </w:r>
          </w:p>
        </w:tc>
        <w:tc>
          <w:tcPr>
            <w:tcW w:w="756" w:type="dxa"/>
            <w:gridSpan w:val="2"/>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0</w:t>
            </w:r>
          </w:p>
        </w:tc>
        <w:tc>
          <w:tcPr>
            <w:tcW w:w="796"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462350</w:t>
            </w:r>
          </w:p>
        </w:tc>
        <w:tc>
          <w:tcPr>
            <w:tcW w:w="813"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0</w:t>
            </w:r>
          </w:p>
        </w:tc>
        <w:tc>
          <w:tcPr>
            <w:tcW w:w="854"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200000</w:t>
            </w:r>
          </w:p>
        </w:tc>
        <w:tc>
          <w:tcPr>
            <w:tcW w:w="756"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262350</w:t>
            </w:r>
          </w:p>
        </w:tc>
        <w:tc>
          <w:tcPr>
            <w:tcW w:w="252"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p>
        </w:tc>
      </w:tr>
      <w:tr>
        <w:tblPrEx>
          <w:tblCellMar>
            <w:top w:w="0" w:type="dxa"/>
            <w:left w:w="57" w:type="dxa"/>
            <w:bottom w:w="0" w:type="dxa"/>
            <w:right w:w="57" w:type="dxa"/>
          </w:tblCellMar>
        </w:tblPrEx>
        <w:trPr>
          <w:trHeight w:val="905" w:hRule="atLeast"/>
        </w:trPr>
        <w:tc>
          <w:tcPr>
            <w:tcW w:w="683" w:type="dxa"/>
            <w:tcBorders>
              <w:top w:val="nil"/>
              <w:left w:val="single" w:color="auto" w:sz="4" w:space="0"/>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23</w:t>
            </w:r>
          </w:p>
        </w:tc>
        <w:tc>
          <w:tcPr>
            <w:tcW w:w="1537" w:type="dxa"/>
            <w:tcBorders>
              <w:top w:val="nil"/>
              <w:left w:val="nil"/>
              <w:bottom w:val="single" w:color="auto" w:sz="4" w:space="0"/>
              <w:right w:val="single" w:color="auto" w:sz="4" w:space="0"/>
            </w:tcBorders>
            <w:shd w:val="clear" w:color="000000" w:fill="FFFFFF"/>
            <w:vAlign w:val="center"/>
          </w:tcPr>
          <w:p>
            <w:pPr>
              <w:spacing w:line="0" w:lineRule="atLeast"/>
              <w:rPr>
                <w:rFonts w:ascii="Calibri" w:hAnsi="宋体" w:eastAsia="宋体" w:cs="宋体"/>
                <w:color w:val="000000"/>
                <w:sz w:val="21"/>
                <w:szCs w:val="21"/>
              </w:rPr>
            </w:pPr>
            <w:r>
              <w:rPr>
                <w:rFonts w:ascii="Calibri" w:hAnsi="宋体" w:eastAsia="宋体" w:cs="宋体"/>
                <w:color w:val="000000"/>
                <w:sz w:val="21"/>
                <w:szCs w:val="21"/>
              </w:rPr>
              <w:t>梦云南</w:t>
            </w:r>
          </w:p>
        </w:tc>
        <w:tc>
          <w:tcPr>
            <w:tcW w:w="938"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乌龙街道</w:t>
            </w:r>
          </w:p>
        </w:tc>
        <w:tc>
          <w:tcPr>
            <w:tcW w:w="924"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房地产</w:t>
            </w:r>
          </w:p>
        </w:tc>
        <w:tc>
          <w:tcPr>
            <w:tcW w:w="812"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新建</w:t>
            </w:r>
          </w:p>
        </w:tc>
        <w:tc>
          <w:tcPr>
            <w:tcW w:w="1049"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2021-2030</w:t>
            </w:r>
          </w:p>
        </w:tc>
        <w:tc>
          <w:tcPr>
            <w:tcW w:w="3206" w:type="dxa"/>
            <w:tcBorders>
              <w:top w:val="nil"/>
              <w:left w:val="nil"/>
              <w:bottom w:val="single" w:color="auto" w:sz="4" w:space="0"/>
              <w:right w:val="single" w:color="auto" w:sz="4" w:space="0"/>
            </w:tcBorders>
            <w:shd w:val="clear" w:color="000000" w:fill="FFFFFF"/>
            <w:vAlign w:val="center"/>
          </w:tcPr>
          <w:p>
            <w:pPr>
              <w:spacing w:line="0" w:lineRule="atLeast"/>
              <w:rPr>
                <w:rFonts w:ascii="Calibri" w:hAnsi="宋体" w:eastAsia="宋体" w:cs="宋体"/>
                <w:color w:val="000000"/>
                <w:sz w:val="21"/>
                <w:szCs w:val="21"/>
              </w:rPr>
            </w:pPr>
            <w:r>
              <w:rPr>
                <w:rFonts w:ascii="Calibri" w:hAnsi="宋体" w:eastAsia="宋体" w:cs="宋体"/>
                <w:color w:val="000000"/>
                <w:sz w:val="21"/>
                <w:szCs w:val="21"/>
              </w:rPr>
              <w:t>1800亩总用地规模（其中产业用地约800亩，商住混合用地约1000亩）。</w:t>
            </w:r>
          </w:p>
        </w:tc>
        <w:tc>
          <w:tcPr>
            <w:tcW w:w="840"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3600000</w:t>
            </w:r>
          </w:p>
        </w:tc>
        <w:tc>
          <w:tcPr>
            <w:tcW w:w="756" w:type="dxa"/>
            <w:gridSpan w:val="2"/>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0</w:t>
            </w:r>
          </w:p>
        </w:tc>
        <w:tc>
          <w:tcPr>
            <w:tcW w:w="796"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3600000</w:t>
            </w:r>
          </w:p>
        </w:tc>
        <w:tc>
          <w:tcPr>
            <w:tcW w:w="813"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0</w:t>
            </w:r>
          </w:p>
        </w:tc>
        <w:tc>
          <w:tcPr>
            <w:tcW w:w="854"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1800000</w:t>
            </w:r>
          </w:p>
        </w:tc>
        <w:tc>
          <w:tcPr>
            <w:tcW w:w="756"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1800000</w:t>
            </w:r>
          </w:p>
        </w:tc>
        <w:tc>
          <w:tcPr>
            <w:tcW w:w="252"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p>
        </w:tc>
      </w:tr>
      <w:tr>
        <w:tblPrEx>
          <w:tblCellMar>
            <w:top w:w="0" w:type="dxa"/>
            <w:left w:w="57" w:type="dxa"/>
            <w:bottom w:w="0" w:type="dxa"/>
            <w:right w:w="57" w:type="dxa"/>
          </w:tblCellMar>
        </w:tblPrEx>
        <w:trPr>
          <w:trHeight w:val="340" w:hRule="atLeast"/>
        </w:trPr>
        <w:tc>
          <w:tcPr>
            <w:tcW w:w="683" w:type="dxa"/>
            <w:tcBorders>
              <w:top w:val="nil"/>
              <w:left w:val="single" w:color="auto" w:sz="4" w:space="0"/>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24</w:t>
            </w:r>
          </w:p>
        </w:tc>
        <w:tc>
          <w:tcPr>
            <w:tcW w:w="1537" w:type="dxa"/>
            <w:tcBorders>
              <w:top w:val="nil"/>
              <w:left w:val="nil"/>
              <w:bottom w:val="single" w:color="auto" w:sz="4" w:space="0"/>
              <w:right w:val="single" w:color="auto" w:sz="4" w:space="0"/>
            </w:tcBorders>
            <w:shd w:val="clear" w:color="000000" w:fill="FFFFFF"/>
            <w:vAlign w:val="center"/>
          </w:tcPr>
          <w:p>
            <w:pPr>
              <w:spacing w:line="0" w:lineRule="atLeast"/>
              <w:rPr>
                <w:rFonts w:ascii="Calibri" w:hAnsi="宋体" w:eastAsia="宋体" w:cs="宋体"/>
                <w:color w:val="000000"/>
                <w:sz w:val="21"/>
                <w:szCs w:val="21"/>
              </w:rPr>
            </w:pPr>
            <w:r>
              <w:rPr>
                <w:rFonts w:ascii="Calibri" w:hAnsi="宋体" w:eastAsia="宋体" w:cs="宋体"/>
                <w:color w:val="000000"/>
                <w:sz w:val="21"/>
                <w:szCs w:val="21"/>
              </w:rPr>
              <w:t>洛龙公园二期</w:t>
            </w:r>
          </w:p>
        </w:tc>
        <w:tc>
          <w:tcPr>
            <w:tcW w:w="938"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龙城街道</w:t>
            </w:r>
          </w:p>
        </w:tc>
        <w:tc>
          <w:tcPr>
            <w:tcW w:w="924"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房地产</w:t>
            </w:r>
          </w:p>
        </w:tc>
        <w:tc>
          <w:tcPr>
            <w:tcW w:w="812"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新建</w:t>
            </w:r>
          </w:p>
        </w:tc>
        <w:tc>
          <w:tcPr>
            <w:tcW w:w="1049"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2022-2028</w:t>
            </w:r>
          </w:p>
        </w:tc>
        <w:tc>
          <w:tcPr>
            <w:tcW w:w="3206" w:type="dxa"/>
            <w:tcBorders>
              <w:top w:val="nil"/>
              <w:left w:val="nil"/>
              <w:bottom w:val="single" w:color="auto" w:sz="4" w:space="0"/>
              <w:right w:val="single" w:color="auto" w:sz="4" w:space="0"/>
            </w:tcBorders>
            <w:shd w:val="clear" w:color="000000" w:fill="FFFFFF"/>
            <w:vAlign w:val="center"/>
          </w:tcPr>
          <w:p>
            <w:pPr>
              <w:spacing w:line="0" w:lineRule="atLeast"/>
              <w:rPr>
                <w:rFonts w:ascii="Calibri" w:hAnsi="宋体" w:eastAsia="宋体" w:cs="宋体"/>
                <w:color w:val="000000"/>
                <w:sz w:val="21"/>
                <w:szCs w:val="21"/>
              </w:rPr>
            </w:pPr>
            <w:r>
              <w:rPr>
                <w:rFonts w:ascii="Calibri" w:hAnsi="宋体" w:eastAsia="宋体" w:cs="宋体"/>
                <w:color w:val="000000"/>
                <w:sz w:val="21"/>
                <w:szCs w:val="21"/>
              </w:rPr>
              <w:t>按照城市控制性详细规划，用地性质为商业/商务用地，面积约120亩，规划容积率4.0，建筑密度50%，绿化率25%。</w:t>
            </w:r>
          </w:p>
        </w:tc>
        <w:tc>
          <w:tcPr>
            <w:tcW w:w="840"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100000</w:t>
            </w:r>
          </w:p>
        </w:tc>
        <w:tc>
          <w:tcPr>
            <w:tcW w:w="756" w:type="dxa"/>
            <w:gridSpan w:val="2"/>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0</w:t>
            </w:r>
          </w:p>
        </w:tc>
        <w:tc>
          <w:tcPr>
            <w:tcW w:w="796"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100000</w:t>
            </w:r>
          </w:p>
        </w:tc>
        <w:tc>
          <w:tcPr>
            <w:tcW w:w="813"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0</w:t>
            </w:r>
          </w:p>
        </w:tc>
        <w:tc>
          <w:tcPr>
            <w:tcW w:w="854"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30000</w:t>
            </w:r>
          </w:p>
        </w:tc>
        <w:tc>
          <w:tcPr>
            <w:tcW w:w="756"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70000</w:t>
            </w:r>
          </w:p>
        </w:tc>
        <w:tc>
          <w:tcPr>
            <w:tcW w:w="252"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p>
        </w:tc>
      </w:tr>
      <w:tr>
        <w:tblPrEx>
          <w:tblCellMar>
            <w:top w:w="0" w:type="dxa"/>
            <w:left w:w="57" w:type="dxa"/>
            <w:bottom w:w="0" w:type="dxa"/>
            <w:right w:w="57" w:type="dxa"/>
          </w:tblCellMar>
        </w:tblPrEx>
        <w:trPr>
          <w:trHeight w:val="340" w:hRule="atLeast"/>
        </w:trPr>
        <w:tc>
          <w:tcPr>
            <w:tcW w:w="683" w:type="dxa"/>
            <w:tcBorders>
              <w:top w:val="nil"/>
              <w:left w:val="single" w:color="auto" w:sz="4" w:space="0"/>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25</w:t>
            </w:r>
          </w:p>
        </w:tc>
        <w:tc>
          <w:tcPr>
            <w:tcW w:w="1537" w:type="dxa"/>
            <w:tcBorders>
              <w:top w:val="nil"/>
              <w:left w:val="nil"/>
              <w:bottom w:val="single" w:color="auto" w:sz="4" w:space="0"/>
              <w:right w:val="single" w:color="auto" w:sz="4" w:space="0"/>
            </w:tcBorders>
            <w:shd w:val="clear" w:color="000000" w:fill="FFFFFF"/>
            <w:vAlign w:val="center"/>
          </w:tcPr>
          <w:p>
            <w:pPr>
              <w:spacing w:line="0" w:lineRule="atLeast"/>
              <w:rPr>
                <w:rFonts w:ascii="Calibri" w:hAnsi="宋体" w:eastAsia="宋体" w:cs="宋体"/>
                <w:color w:val="000000"/>
                <w:sz w:val="21"/>
                <w:szCs w:val="21"/>
              </w:rPr>
            </w:pPr>
            <w:r>
              <w:rPr>
                <w:rFonts w:ascii="Calibri" w:hAnsi="宋体" w:eastAsia="宋体" w:cs="宋体"/>
                <w:color w:val="000000"/>
                <w:sz w:val="21"/>
                <w:szCs w:val="21"/>
              </w:rPr>
              <w:t>洛龙公园西侧地块</w:t>
            </w:r>
          </w:p>
        </w:tc>
        <w:tc>
          <w:tcPr>
            <w:tcW w:w="938"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龙城街道</w:t>
            </w:r>
          </w:p>
        </w:tc>
        <w:tc>
          <w:tcPr>
            <w:tcW w:w="924"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房地产</w:t>
            </w:r>
          </w:p>
        </w:tc>
        <w:tc>
          <w:tcPr>
            <w:tcW w:w="812"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新建</w:t>
            </w:r>
          </w:p>
        </w:tc>
        <w:tc>
          <w:tcPr>
            <w:tcW w:w="1049"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2021-2025</w:t>
            </w:r>
          </w:p>
        </w:tc>
        <w:tc>
          <w:tcPr>
            <w:tcW w:w="3206" w:type="dxa"/>
            <w:tcBorders>
              <w:top w:val="nil"/>
              <w:left w:val="nil"/>
              <w:bottom w:val="single" w:color="auto" w:sz="4" w:space="0"/>
              <w:right w:val="single" w:color="auto" w:sz="4" w:space="0"/>
            </w:tcBorders>
            <w:shd w:val="clear" w:color="000000" w:fill="FFFFFF"/>
            <w:vAlign w:val="center"/>
          </w:tcPr>
          <w:p>
            <w:pPr>
              <w:spacing w:line="0" w:lineRule="atLeast"/>
              <w:rPr>
                <w:rFonts w:ascii="Calibri" w:hAnsi="宋体" w:eastAsia="宋体" w:cs="宋体"/>
                <w:color w:val="000000"/>
                <w:sz w:val="21"/>
                <w:szCs w:val="21"/>
              </w:rPr>
            </w:pPr>
            <w:r>
              <w:rPr>
                <w:rFonts w:ascii="Calibri" w:hAnsi="宋体" w:eastAsia="宋体" w:cs="宋体"/>
                <w:color w:val="000000"/>
                <w:sz w:val="21"/>
                <w:szCs w:val="21"/>
              </w:rPr>
              <w:t>现为呈贡区园林绿化局停车场，面积约19.64亩。地块按照城市总体规划，用地性质为公园绿化用地，仅能建设城市市政供水设施；按照控制性详细规划，用地性质为娱乐康体用地建筑密度40%，参考容积率4.0，绿地率25%。</w:t>
            </w:r>
          </w:p>
        </w:tc>
        <w:tc>
          <w:tcPr>
            <w:tcW w:w="840"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30000</w:t>
            </w:r>
          </w:p>
        </w:tc>
        <w:tc>
          <w:tcPr>
            <w:tcW w:w="756" w:type="dxa"/>
            <w:gridSpan w:val="2"/>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0</w:t>
            </w:r>
          </w:p>
        </w:tc>
        <w:tc>
          <w:tcPr>
            <w:tcW w:w="796"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30000</w:t>
            </w:r>
          </w:p>
        </w:tc>
        <w:tc>
          <w:tcPr>
            <w:tcW w:w="813"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0</w:t>
            </w:r>
          </w:p>
        </w:tc>
        <w:tc>
          <w:tcPr>
            <w:tcW w:w="854"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30000</w:t>
            </w:r>
          </w:p>
        </w:tc>
        <w:tc>
          <w:tcPr>
            <w:tcW w:w="756"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r>
              <w:rPr>
                <w:rFonts w:ascii="Calibri" w:hAnsi="宋体" w:eastAsia="宋体" w:cs="宋体"/>
                <w:color w:val="000000"/>
                <w:sz w:val="21"/>
                <w:szCs w:val="21"/>
              </w:rPr>
              <w:t>0</w:t>
            </w:r>
          </w:p>
        </w:tc>
        <w:tc>
          <w:tcPr>
            <w:tcW w:w="252" w:type="dxa"/>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宋体" w:eastAsia="宋体" w:cs="宋体"/>
                <w:color w:val="000000"/>
                <w:sz w:val="21"/>
                <w:szCs w:val="21"/>
              </w:rPr>
            </w:pPr>
          </w:p>
        </w:tc>
      </w:tr>
    </w:tbl>
    <w:p>
      <w:pPr>
        <w:shd w:val="clear" w:color="000000" w:fill="FFFFFF"/>
        <w:spacing w:before="375" w:line="360" w:lineRule="auto"/>
        <w:ind w:firstLine="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备注：1.上述项目将逐步进行更新；2.现代服务业具体项目待各相关部门汇拢后再逐一列出。</w:t>
      </w:r>
    </w:p>
    <w:p>
      <w:pPr>
        <w:shd w:val="clear" w:color="000000" w:fill="FFFFFF"/>
        <w:spacing w:before="375" w:line="360" w:lineRule="auto"/>
        <w:ind w:firstLine="0"/>
        <w:rPr>
          <w:rFonts w:ascii="仿宋_GB2312" w:hAnsi="仿宋_GB2312" w:eastAsia="仿宋_GB2312" w:cs="仿宋_GB2312"/>
          <w:color w:val="000000"/>
          <w:sz w:val="32"/>
          <w:szCs w:val="32"/>
        </w:rPr>
      </w:pPr>
    </w:p>
    <w:sectPr>
      <w:footerReference r:id="rId4" w:type="default"/>
      <w:pgSz w:w="11906" w:h="16838"/>
      <w:pgMar w:top="1701" w:right="1440" w:bottom="1440" w:left="1440" w:header="708" w:footer="708" w:gutter="0"/>
      <w:pgNumType w:fmt="decimal" w:start="1"/>
      <w:cols w:space="720" w:num="1"/>
      <w:docGrid w:linePitch="360" w:charSpace="61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3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algun Gothic">
    <w:altName w:val="Times New Roman"/>
    <w:panose1 w:val="020B0503020000020004"/>
    <w:charset w:val="81"/>
    <w:family w:val="auto"/>
    <w:pitch w:val="default"/>
    <w:sig w:usb0="00000000" w:usb1="00000000" w:usb2="00000012" w:usb3="00000000" w:csb0="00080001" w:csb1="00000000"/>
  </w:font>
  <w:font w:name="Malgun Gothic">
    <w:altName w:val="Segoe Print"/>
    <w:panose1 w:val="00000000000000000000"/>
    <w:charset w:val="00"/>
    <w:family w:val="auto"/>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新宋体">
    <w:panose1 w:val="02010609030101010101"/>
    <w:charset w:val="34"/>
    <w:family w:val="modern"/>
    <w:pitch w:val="default"/>
    <w:sig w:usb0="00000003" w:usb1="288F0000" w:usb2="00000006" w:usb3="00000000" w:csb0="00040001" w:csb1="00000000"/>
  </w:font>
  <w:font w:name="仿宋_GB2312">
    <w:panose1 w:val="02010609030101010101"/>
    <w:charset w:val="80"/>
    <w:family w:val="auto"/>
    <w:pitch w:val="default"/>
    <w:sig w:usb0="00000001" w:usb1="080E0000" w:usb2="00000000" w:usb3="00000000" w:csb0="00040000" w:csb1="00000000"/>
  </w:font>
  <w:font w:name="楷体_GB2312">
    <w:panose1 w:val="02010609030101010101"/>
    <w:charset w:val="80"/>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center" w:pos="4422"/>
        <w:tab w:val="clear" w:pos="4153"/>
      </w:tabs>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300" cy="13843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14300" cy="138430"/>
                      </a:xfrm>
                      <a:prstGeom prst="rect">
                        <a:avLst/>
                      </a:prstGeom>
                      <a:noFill/>
                      <a:ln>
                        <a:noFill/>
                      </a:ln>
                    </wps:spPr>
                    <wps:txbx>
                      <w:txbxContent>
                        <w:p>
                          <w:pPr>
                            <w:pStyle w:val="5"/>
                          </w:pPr>
                          <w:r>
                            <w:rPr>
                              <w:rFonts w:hint="eastAsia"/>
                            </w:rPr>
                            <w:fldChar w:fldCharType="begin"/>
                          </w:r>
                          <w:r>
                            <w:rPr>
                              <w:rFonts w:hint="eastAsia"/>
                            </w:rPr>
                            <w:instrText xml:space="preserve">PAGE  \* MERGEFORMAT</w:instrText>
                          </w:r>
                          <w: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0.9pt;width:9pt;mso-position-horizontal:center;mso-position-horizontal-relative:margin;mso-wrap-style:none;z-index:251659264;mso-width-relative:page;mso-height-relative:page;" filled="f" stroked="f" coordsize="21600,21600" o:gfxdata="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KUwoBzwAAAAMBAAAPAAAAAAAAAAEAIAAAACIAAABkcnMvZG93bnJl&#10;di54bWxQSwECFAAUAAAACACHTuJAuTZZBM0BAACaAwAADgAAAAAAAAABACAAAAAeAQAAZHJzL2Uy&#10;b0RvYy54bWxQSwUGAAAAAAYABgBZAQAAXQUAAAAA&#10;">
              <v:fill on="f" focussize="0,0"/>
              <v:stroke on="f"/>
              <v:imagedata o:title=""/>
              <o:lock v:ext="edit" aspectratio="f"/>
              <v:textbox inset="0mm,0mm,0mm,0mm" style="mso-fit-shape-to-text:t;">
                <w:txbxContent>
                  <w:p>
                    <w:pPr>
                      <w:pStyle w:val="5"/>
                    </w:pPr>
                    <w:r>
                      <w:rPr>
                        <w:rFonts w:hint="eastAsia"/>
                      </w:rPr>
                      <w:fldChar w:fldCharType="begin"/>
                    </w:r>
                    <w:r>
                      <w:rPr>
                        <w:rFonts w:hint="eastAsia"/>
                      </w:rPr>
                      <w:instrText xml:space="preserve">PAGE  \* MERGEFORMAT</w:instrText>
                    </w:r>
                    <w:r>
                      <w:fldChar w:fldCharType="separate"/>
                    </w:r>
                    <w: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documentProtection w:enforcement="0"/>
  <w:defaultTabStop w:val="800"/>
  <w:displayHorizontalDrawingGridEvery w:val="0"/>
  <w:displayVerticalDrawingGridEvery w:val="2"/>
  <w:noPunctuationKerning w:val="1"/>
  <w:characterSpacingControl w:val="doNotCompress"/>
  <w:hdrShapeDefaults>
    <o:shapelayout v:ext="edit">
      <o:idmap v:ext="edit" data="3,4"/>
    </o:shapelayout>
  </w:hdrShapeDefaults>
  <w:compat>
    <w:balanceSingleByteDoubleByteWidth/>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B1976"/>
    <w:rsid w:val="025434DB"/>
    <w:rsid w:val="1C816F98"/>
    <w:rsid w:val="2BBB2189"/>
    <w:rsid w:val="2CFD493C"/>
    <w:rsid w:val="2EAA6489"/>
    <w:rsid w:val="35715937"/>
    <w:rsid w:val="36C26951"/>
    <w:rsid w:val="395A7F51"/>
    <w:rsid w:val="418B58AF"/>
    <w:rsid w:val="44AF2414"/>
    <w:rsid w:val="44B975BD"/>
    <w:rsid w:val="47031F0F"/>
    <w:rsid w:val="606D74F4"/>
    <w:rsid w:val="64744517"/>
    <w:rsid w:val="76C83E71"/>
    <w:rsid w:val="77110391"/>
    <w:rsid w:val="7B345EBC"/>
    <w:rsid w:val="7F093A82"/>
    <w:rsid w:val="7F98616B"/>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Malgun Gothic" w:hAnsi="Malgun Gothic" w:eastAsia="Malgun Gothic"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8"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28" w:semiHidden="0" w:name="toc 1"/>
    <w:lsdException w:qFormat="1" w:unhideWhenUsed="0" w:uiPriority="2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4" w:semiHidden="0" w:name="header"/>
    <w:lsdException w:qFormat="1" w:unhideWhenUsed="0" w:uiPriority="153"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2" w:name="Default Paragraph Font"/>
    <w:lsdException w:qFormat="1" w:unhideWhenUsed="0" w:uiPriority="15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18"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155"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152" w:semiHidden="0" w:name="Balloon Text"/>
    <w:lsdException w:qFormat="1" w:unhideWhenUsed="0" w:uiPriority="37" w:semiHidden="0" w:name="Table Grid"/>
    <w:lsdException w:unhideWhenUsed="0" w:uiPriority="0" w:semiHidden="0" w:name="Table Theme"/>
    <w:lsdException w:qFormat="1" w:unhideWhenUsed="0" w:uiPriority="5"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jc w:val="both"/>
    </w:pPr>
    <w:rPr>
      <w:rFonts w:ascii="Calibri" w:hAnsi="宋体" w:eastAsia="宋体" w:cs="宋体"/>
      <w:sz w:val="21"/>
      <w:szCs w:val="21"/>
    </w:rPr>
  </w:style>
  <w:style w:type="paragraph" w:styleId="2">
    <w:name w:val="heading 2"/>
    <w:basedOn w:val="1"/>
    <w:next w:val="1"/>
    <w:qFormat/>
    <w:uiPriority w:val="8"/>
    <w:pPr>
      <w:outlineLvl w:val="0"/>
    </w:pPr>
  </w:style>
  <w:style w:type="character" w:default="1" w:styleId="12">
    <w:name w:val="Default Paragraph Font"/>
    <w:semiHidden/>
    <w:unhideWhenUsed/>
    <w:qFormat/>
    <w:uiPriority w:val="2"/>
  </w:style>
  <w:style w:type="table" w:default="1" w:styleId="10">
    <w:name w:val="Normal Table"/>
    <w:semiHidden/>
    <w:unhideWhenUsed/>
    <w:qFormat/>
    <w:uiPriority w:val="3"/>
    <w:tblPr>
      <w:tblCellMar>
        <w:top w:w="0" w:type="dxa"/>
        <w:left w:w="108" w:type="dxa"/>
        <w:bottom w:w="0" w:type="dxa"/>
        <w:right w:w="108" w:type="dxa"/>
      </w:tblCellMar>
    </w:tblPr>
  </w:style>
  <w:style w:type="paragraph" w:styleId="3">
    <w:name w:val="Body Text"/>
    <w:basedOn w:val="1"/>
    <w:qFormat/>
    <w:uiPriority w:val="151"/>
    <w:pPr>
      <w:spacing w:after="120"/>
    </w:pPr>
    <w:rPr>
      <w:rFonts w:ascii="宋体"/>
    </w:rPr>
  </w:style>
  <w:style w:type="paragraph" w:styleId="4">
    <w:name w:val="Balloon Text"/>
    <w:basedOn w:val="1"/>
    <w:qFormat/>
    <w:uiPriority w:val="152"/>
    <w:rPr>
      <w:sz w:val="18"/>
      <w:szCs w:val="18"/>
    </w:rPr>
  </w:style>
  <w:style w:type="paragraph" w:styleId="5">
    <w:name w:val="footer"/>
    <w:basedOn w:val="1"/>
    <w:qFormat/>
    <w:uiPriority w:val="153"/>
    <w:pPr>
      <w:tabs>
        <w:tab w:val="center" w:pos="4153"/>
        <w:tab w:val="right" w:pos="8306"/>
      </w:tabs>
      <w:snapToGrid w:val="0"/>
      <w:jc w:val="left"/>
    </w:pPr>
    <w:rPr>
      <w:sz w:val="18"/>
      <w:szCs w:val="18"/>
    </w:rPr>
  </w:style>
  <w:style w:type="paragraph" w:styleId="6">
    <w:name w:val="header"/>
    <w:basedOn w:val="1"/>
    <w:qFormat/>
    <w:uiPriority w:val="154"/>
    <w:pPr>
      <w:pBdr>
        <w:top w:val="none" w:color="000000" w:sz="0" w:space="1"/>
        <w:left w:val="none" w:color="000000" w:sz="0" w:space="4"/>
        <w:bottom w:val="none" w:color="000000" w:sz="0" w:space="1"/>
        <w:right w:val="none" w:color="000000" w:sz="0" w:space="4"/>
      </w:pBdr>
      <w:tabs>
        <w:tab w:val="center" w:pos="4153"/>
        <w:tab w:val="right" w:pos="8306"/>
      </w:tabs>
      <w:snapToGrid w:val="0"/>
    </w:pPr>
    <w:rPr>
      <w:sz w:val="18"/>
      <w:szCs w:val="18"/>
    </w:rPr>
  </w:style>
  <w:style w:type="paragraph" w:styleId="7">
    <w:name w:val="toc 1"/>
    <w:basedOn w:val="1"/>
    <w:next w:val="1"/>
    <w:qFormat/>
    <w:uiPriority w:val="28"/>
  </w:style>
  <w:style w:type="paragraph" w:styleId="8">
    <w:name w:val="toc 2"/>
    <w:basedOn w:val="1"/>
    <w:next w:val="1"/>
    <w:qFormat/>
    <w:uiPriority w:val="29"/>
    <w:pPr>
      <w:ind w:left="420" w:firstLine="0"/>
    </w:pPr>
  </w:style>
  <w:style w:type="paragraph" w:styleId="9">
    <w:name w:val="Normal (Web)"/>
    <w:basedOn w:val="1"/>
    <w:qFormat/>
    <w:uiPriority w:val="155"/>
    <w:pPr>
      <w:spacing w:beforeAutospacing="1" w:afterAutospacing="1"/>
      <w:jc w:val="left"/>
    </w:pPr>
    <w:rPr>
      <w:rFonts w:ascii="宋体"/>
      <w:sz w:val="24"/>
      <w:szCs w:val="24"/>
    </w:rPr>
  </w:style>
  <w:style w:type="table" w:styleId="11">
    <w:name w:val="Table Grid"/>
    <w:basedOn w:val="10"/>
    <w:qFormat/>
    <w:uiPriority w:val="37"/>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Emphasis"/>
    <w:basedOn w:val="12"/>
    <w:qFormat/>
    <w:uiPriority w:val="18"/>
    <w:rPr>
      <w:i/>
    </w:rPr>
  </w:style>
  <w:style w:type="paragraph" w:styleId="14">
    <w:name w:val="No Spacing"/>
    <w:next w:val="1"/>
    <w:qFormat/>
    <w:uiPriority w:val="5"/>
    <w:pPr>
      <w:spacing w:after="0" w:line="240" w:lineRule="auto"/>
      <w:jc w:val="both"/>
    </w:pPr>
    <w:rPr>
      <w:rFonts w:ascii="Times New Roman" w:hAnsi="Times New Roman" w:eastAsia="宋体" w:cs="Times New Roman"/>
      <w:sz w:val="21"/>
      <w:szCs w:val="21"/>
    </w:rPr>
  </w:style>
  <w:style w:type="paragraph" w:customStyle="1" w:styleId="15">
    <w:name w:val="WPSOffice手动目录 1"/>
    <w:qFormat/>
    <w:uiPriority w:val="156"/>
    <w:rPr>
      <w:rFonts w:asciiTheme="minorHAnsi" w:hAnsiTheme="minorHAnsi" w:eastAsiaTheme="minorEastAsia" w:cstheme="minorBidi"/>
    </w:rPr>
  </w:style>
  <w:style w:type="paragraph" w:customStyle="1" w:styleId="16">
    <w:name w:val="WPSOffice手动目录 2"/>
    <w:qFormat/>
    <w:uiPriority w:val="157"/>
    <w:pPr>
      <w:ind w:left="200" w:firstLine="0"/>
    </w:pPr>
    <w:rPr>
      <w:rFonts w:asciiTheme="minorHAnsi" w:hAnsiTheme="minorHAnsi" w:eastAsiaTheme="minorEastAsia" w:cstheme="minorBidi"/>
    </w:rPr>
  </w:style>
  <w:style w:type="character" w:customStyle="1" w:styleId="17">
    <w:name w:val="批注框文本 Char"/>
    <w:basedOn w:val="12"/>
    <w:qFormat/>
    <w:uiPriority w:val="158"/>
    <w:rPr>
      <w:rFonts w:ascii="Calibri" w:hAnsi="宋体" w:eastAsia="宋体" w:cs="宋体"/>
      <w:sz w:val="18"/>
      <w:szCs w:val="18"/>
    </w:rPr>
  </w:style>
  <w:style w:type="paragraph" w:customStyle="1" w:styleId="18">
    <w:name w:val="WPSOffice手动目录 3"/>
    <w:qFormat/>
    <w:uiPriority w:val="159"/>
    <w:pPr>
      <w:ind w:left="400" w:firstLine="0"/>
    </w:pPr>
    <w:rPr>
      <w:rFonts w:asciiTheme="minorHAnsi" w:hAnsiTheme="minorHAnsi" w:eastAsiaTheme="minorEastAsia" w:cstheme="minorBidi"/>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AkzoNobel</Company>
  <Pages>54</Pages>
  <Words>29365</Words>
  <Characters>0</Characters>
  <Lines>84</Lines>
  <Paragraphs>78</Paragraphs>
  <TotalTime>27</TotalTime>
  <ScaleCrop>false</ScaleCrop>
  <LinksUpToDate>false</LinksUpToDate>
  <CharactersWithSpaces>0</CharactersWithSpaces>
  <Application>WPS Office_11.8.2.12265_F1E327BC-269C-435d-A152-05C5408002CA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2021-03-02T07:22:00Z</dcterms:created>
  <dc:creator>Administrator</dc:creator>
  <cp:lastModifiedBy>Administrator</cp:lastModifiedBy>
  <dcterms:modified xsi:type="dcterms:W3CDTF">2026-01-20T02:17:54Z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2052-11.8.2.12265</vt:lpwstr>
  </property>
  <property fmtid="{D5CDD505-2E9C-101B-9397-08002B2CF9AE}" pid="3" name="ICV">
    <vt:lpwstr>C6772C8E522745D99277D99378E78FFE</vt:lpwstr>
  </property>
</Properties>
</file>