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b/>
          <w:bCs/>
          <w:color w:val="000000" w:themeColor="text1"/>
          <w:spacing w:val="-4"/>
          <w:sz w:val="40"/>
          <w:szCs w:val="40"/>
          <w14:textFill>
            <w14:solidFill>
              <w14:schemeClr w14:val="tx1"/>
            </w14:solidFill>
          </w14:textFill>
        </w:rPr>
      </w:pPr>
    </w:p>
    <w:p>
      <w:pPr>
        <w:autoSpaceDE w:val="0"/>
        <w:autoSpaceDN w:val="0"/>
        <w:adjustRightInd w:val="0"/>
        <w:jc w:val="center"/>
        <w:rPr>
          <w:rFonts w:hint="eastAsia" w:ascii="宋体" w:hAnsi="宋体" w:cs="宋体"/>
          <w:b/>
          <w:bCs/>
          <w:kern w:val="0"/>
          <w:sz w:val="36"/>
          <w:szCs w:val="36"/>
        </w:rPr>
      </w:pPr>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autoSpaceDE w:val="0"/>
        <w:autoSpaceDN w:val="0"/>
        <w:adjustRightInd w:val="0"/>
        <w:jc w:val="center"/>
        <w:rPr>
          <w:rFonts w:hint="eastAsia" w:asciiTheme="minorEastAsia" w:hAnsiTheme="minorEastAsia" w:eastAsiaTheme="minorEastAsia" w:cstheme="minorEastAsia"/>
          <w:b/>
          <w:bCs/>
          <w:kern w:val="0"/>
          <w:sz w:val="24"/>
          <w:lang w:val="zh-CN"/>
        </w:rPr>
      </w:pPr>
    </w:p>
    <w:p>
      <w:pPr>
        <w:jc w:val="center"/>
        <w:rPr>
          <w:rFonts w:hint="eastAsia" w:asciiTheme="minorEastAsia" w:hAnsiTheme="minorEastAsia" w:eastAsiaTheme="minorEastAsia" w:cstheme="minorEastAsia"/>
          <w:b/>
          <w:sz w:val="72"/>
          <w:szCs w:val="72"/>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pPr>
        <w:tabs>
          <w:tab w:val="left" w:pos="0"/>
          <w:tab w:val="left" w:pos="8295"/>
        </w:tabs>
        <w:autoSpaceDE w:val="0"/>
        <w:autoSpaceDN w:val="0"/>
        <w:adjustRightInd w:val="0"/>
        <w:spacing w:line="360" w:lineRule="auto"/>
        <w:jc w:val="center"/>
        <w:rPr>
          <w:rFonts w:hint="eastAsia" w:asciiTheme="minorEastAsia" w:hAnsiTheme="minorEastAsia" w:eastAsiaTheme="minorEastAsia" w:cstheme="minorEastAsia"/>
          <w:bCs/>
          <w:kern w:val="0"/>
          <w:sz w:val="24"/>
          <w:lang w:val="zh-CN"/>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autoSpaceDE w:val="0"/>
        <w:autoSpaceDN w:val="0"/>
        <w:adjustRightInd w:val="0"/>
        <w:jc w:val="center"/>
        <w:rPr>
          <w:rFonts w:hint="eastAsia" w:asciiTheme="minorEastAsia" w:hAnsiTheme="minorEastAsia" w:eastAsiaTheme="minorEastAsia" w:cstheme="minorEastAsia"/>
          <w:kern w:val="0"/>
          <w:sz w:val="24"/>
        </w:rPr>
      </w:pPr>
    </w:p>
    <w:p>
      <w:pPr>
        <w:tabs>
          <w:tab w:val="left" w:pos="0"/>
          <w:tab w:val="left" w:pos="8295"/>
        </w:tabs>
        <w:autoSpaceDE w:val="0"/>
        <w:autoSpaceDN w:val="0"/>
        <w:adjustRightInd w:val="0"/>
        <w:spacing w:line="600" w:lineRule="auto"/>
        <w:ind w:firstLine="1967" w:firstLineChars="700"/>
        <w:rPr>
          <w:rFonts w:hint="eastAsia" w:asciiTheme="minorEastAsia" w:hAnsiTheme="minorEastAsia" w:eastAsiaTheme="minorEastAsia" w:cstheme="minorEastAsia"/>
          <w:b/>
          <w:bCs/>
          <w:spacing w:val="21"/>
          <w:kern w:val="21"/>
          <w:sz w:val="28"/>
          <w:szCs w:val="28"/>
        </w:rPr>
      </w:pPr>
      <w:r>
        <w:rPr>
          <w:rFonts w:hint="eastAsia" w:asciiTheme="minorEastAsia" w:hAnsiTheme="minorEastAsia" w:eastAsiaTheme="minorEastAsia" w:cstheme="minorEastAsia"/>
          <w:b/>
          <w:bCs/>
          <w:kern w:val="0"/>
          <w:sz w:val="28"/>
          <w:szCs w:val="28"/>
          <w:lang w:val="zh-CN"/>
        </w:rPr>
        <w:t>采 购 人：</w:t>
      </w:r>
      <w:r>
        <w:rPr>
          <w:rFonts w:hint="eastAsia" w:asciiTheme="minorEastAsia" w:hAnsiTheme="minorEastAsia" w:eastAsiaTheme="minorEastAsia" w:cstheme="minorEastAsia"/>
          <w:b/>
          <w:bCs/>
          <w:spacing w:val="21"/>
          <w:kern w:val="21"/>
          <w:sz w:val="28"/>
          <w:szCs w:val="28"/>
        </w:rPr>
        <w:t>昆明市呈贡区住房和城乡建设局</w:t>
      </w:r>
    </w:p>
    <w:p>
      <w:pPr>
        <w:pStyle w:val="14"/>
        <w:spacing w:line="600" w:lineRule="auto"/>
        <w:ind w:firstLine="1967" w:firstLineChars="700"/>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rPr>
        <w:t>时    间：</w:t>
      </w:r>
      <w:r>
        <w:rPr>
          <w:rFonts w:hint="eastAsia" w:asciiTheme="minorEastAsia" w:hAnsiTheme="minorEastAsia" w:eastAsiaTheme="minorEastAsia" w:cstheme="minorEastAsia"/>
          <w:b/>
          <w:bCs/>
          <w:kern w:val="0"/>
          <w:sz w:val="28"/>
          <w:szCs w:val="28"/>
          <w:lang w:val="zh-CN"/>
        </w:rPr>
        <w:t>202</w:t>
      </w:r>
      <w:r>
        <w:rPr>
          <w:rFonts w:hint="eastAsia" w:asciiTheme="minorEastAsia" w:hAnsiTheme="minorEastAsia" w:eastAsiaTheme="minorEastAsia" w:cstheme="minorEastAsia"/>
          <w:b/>
          <w:bCs/>
          <w:kern w:val="0"/>
          <w:sz w:val="28"/>
          <w:szCs w:val="28"/>
        </w:rPr>
        <w:t>4</w:t>
      </w:r>
      <w:r>
        <w:rPr>
          <w:rFonts w:hint="eastAsia" w:asciiTheme="minorEastAsia" w:hAnsiTheme="minorEastAsia" w:eastAsiaTheme="minorEastAsia" w:cstheme="minorEastAsia"/>
          <w:b/>
          <w:bCs/>
          <w:kern w:val="0"/>
          <w:sz w:val="28"/>
          <w:szCs w:val="28"/>
          <w:lang w:val="zh-CN"/>
        </w:rPr>
        <w:t>年</w:t>
      </w:r>
      <w:r>
        <w:rPr>
          <w:rFonts w:hint="eastAsia" w:asciiTheme="minorEastAsia" w:hAnsiTheme="minorEastAsia" w:eastAsiaTheme="minorEastAsia" w:cstheme="minorEastAsia"/>
          <w:b/>
          <w:bCs/>
          <w:kern w:val="0"/>
          <w:sz w:val="28"/>
          <w:szCs w:val="28"/>
        </w:rPr>
        <w:t>1</w:t>
      </w:r>
      <w:r>
        <w:rPr>
          <w:rFonts w:hint="eastAsia" w:asciiTheme="minorEastAsia" w:hAnsiTheme="minorEastAsia" w:eastAsiaTheme="minorEastAsia" w:cstheme="minorEastAsia"/>
          <w:b/>
          <w:bCs/>
          <w:kern w:val="0"/>
          <w:sz w:val="28"/>
          <w:szCs w:val="28"/>
          <w:lang w:val="en-US" w:eastAsia="zh-CN"/>
        </w:rPr>
        <w:t>2</w:t>
      </w:r>
      <w:r>
        <w:rPr>
          <w:rFonts w:hint="eastAsia" w:asciiTheme="minorEastAsia" w:hAnsiTheme="minorEastAsia" w:eastAsiaTheme="minorEastAsia" w:cstheme="minorEastAsia"/>
          <w:b/>
          <w:bCs/>
          <w:kern w:val="0"/>
          <w:sz w:val="28"/>
          <w:szCs w:val="28"/>
          <w:lang w:val="zh-CN"/>
        </w:rPr>
        <w:t>月</w:t>
      </w:r>
    </w:p>
    <w:p>
      <w:pP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br w:type="page"/>
      </w:r>
    </w:p>
    <w:p>
      <w:pPr>
        <w:pStyle w:val="27"/>
        <w:spacing w:line="360" w:lineRule="auto"/>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zh-CN"/>
        </w:rPr>
        <w:t>目录</w:t>
      </w:r>
    </w:p>
    <w:p>
      <w:pPr>
        <w:pStyle w:val="18"/>
        <w:tabs>
          <w:tab w:val="right" w:leader="dot" w:pos="9072"/>
          <w:tab w:val="clear" w:pos="9628"/>
        </w:tabs>
        <w:ind w:firstLine="156"/>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\u </w:instrText>
      </w:r>
      <w:r>
        <w:rPr>
          <w:rFonts w:hint="eastAsia" w:asciiTheme="minorEastAsia" w:hAnsiTheme="minorEastAsia" w:eastAsiaTheme="minorEastAsia" w:cstheme="minorEastAsia"/>
          <w:sz w:val="21"/>
          <w:szCs w:val="21"/>
        </w:rPr>
        <w:fldChar w:fldCharType="separate"/>
      </w:r>
      <w:r>
        <w:fldChar w:fldCharType="begin"/>
      </w:r>
      <w:r>
        <w:instrText xml:space="preserve"> HYPERLINK \l "_Toc20149" </w:instrText>
      </w:r>
      <w:r>
        <w:fldChar w:fldCharType="separate"/>
      </w:r>
      <w:r>
        <w:rPr>
          <w:rFonts w:hint="eastAsia" w:asciiTheme="minorEastAsia" w:hAnsiTheme="minorEastAsia" w:eastAsiaTheme="minorEastAsia" w:cstheme="minorEastAsia"/>
          <w:szCs w:val="48"/>
        </w:rPr>
        <w:t>第一章  竞争性磋商公告</w:t>
      </w:r>
      <w:r>
        <w:tab/>
      </w:r>
      <w:r>
        <w:fldChar w:fldCharType="begin"/>
      </w:r>
      <w:r>
        <w:instrText xml:space="preserve"> PAGEREF _Toc20149 \h </w:instrText>
      </w:r>
      <w:r>
        <w:fldChar w:fldCharType="separate"/>
      </w:r>
      <w:r>
        <w:t>- 3 -</w:t>
      </w:r>
      <w:r>
        <w:fldChar w:fldCharType="end"/>
      </w:r>
      <w:r>
        <w:fldChar w:fldCharType="end"/>
      </w:r>
    </w:p>
    <w:p>
      <w:pPr>
        <w:pStyle w:val="18"/>
        <w:tabs>
          <w:tab w:val="right" w:leader="dot" w:pos="9072"/>
          <w:tab w:val="clear" w:pos="9628"/>
        </w:tabs>
      </w:pPr>
      <w:r>
        <w:fldChar w:fldCharType="begin"/>
      </w:r>
      <w:r>
        <w:instrText xml:space="preserve"> HYPERLINK \l "_Toc29096" </w:instrText>
      </w:r>
      <w:r>
        <w:fldChar w:fldCharType="separate"/>
      </w:r>
      <w:r>
        <w:rPr>
          <w:rFonts w:hint="eastAsia" w:asciiTheme="minorEastAsia" w:hAnsiTheme="minorEastAsia" w:eastAsiaTheme="minorEastAsia" w:cstheme="minorEastAsia"/>
          <w:szCs w:val="44"/>
        </w:rPr>
        <w:t>第二章  供应商须知</w:t>
      </w:r>
      <w:r>
        <w:tab/>
      </w:r>
      <w:r>
        <w:fldChar w:fldCharType="begin"/>
      </w:r>
      <w:r>
        <w:instrText xml:space="preserve"> PAGEREF _Toc29096 \h </w:instrText>
      </w:r>
      <w:r>
        <w:fldChar w:fldCharType="separate"/>
      </w:r>
      <w:r>
        <w:t>- 7 -</w:t>
      </w:r>
      <w:r>
        <w:fldChar w:fldCharType="end"/>
      </w:r>
      <w:r>
        <w:fldChar w:fldCharType="end"/>
      </w:r>
    </w:p>
    <w:p>
      <w:pPr>
        <w:pStyle w:val="13"/>
        <w:tabs>
          <w:tab w:val="right" w:leader="dot" w:pos="9072"/>
        </w:tabs>
      </w:pPr>
      <w:r>
        <w:fldChar w:fldCharType="begin"/>
      </w:r>
      <w:r>
        <w:instrText xml:space="preserve"> HYPERLINK \l "_Toc7638" </w:instrText>
      </w:r>
      <w:r>
        <w:fldChar w:fldCharType="separate"/>
      </w:r>
      <w:r>
        <w:rPr>
          <w:rFonts w:hint="eastAsia" w:asciiTheme="minorEastAsia" w:hAnsiTheme="minorEastAsia" w:eastAsiaTheme="minorEastAsia" w:cstheme="minorEastAsia"/>
          <w:szCs w:val="44"/>
        </w:rPr>
        <w:t>供应商须知前附表</w:t>
      </w:r>
      <w:r>
        <w:tab/>
      </w:r>
      <w:r>
        <w:fldChar w:fldCharType="begin"/>
      </w:r>
      <w:r>
        <w:instrText xml:space="preserve"> PAGEREF _Toc7638 \h </w:instrText>
      </w:r>
      <w:r>
        <w:fldChar w:fldCharType="separate"/>
      </w:r>
      <w:r>
        <w:t>- 7 -</w:t>
      </w:r>
      <w:r>
        <w:fldChar w:fldCharType="end"/>
      </w:r>
      <w:r>
        <w:fldChar w:fldCharType="end"/>
      </w:r>
    </w:p>
    <w:p>
      <w:pPr>
        <w:pStyle w:val="13"/>
        <w:tabs>
          <w:tab w:val="right" w:leader="dot" w:pos="9072"/>
        </w:tabs>
      </w:pPr>
      <w:r>
        <w:fldChar w:fldCharType="begin"/>
      </w:r>
      <w:r>
        <w:instrText xml:space="preserve"> HYPERLINK \l "_Toc26796" </w:instrText>
      </w:r>
      <w:r>
        <w:fldChar w:fldCharType="separate"/>
      </w:r>
      <w:r>
        <w:rPr>
          <w:rFonts w:hint="eastAsia" w:asciiTheme="minorEastAsia" w:hAnsiTheme="minorEastAsia" w:eastAsiaTheme="minorEastAsia" w:cstheme="minorEastAsia"/>
          <w:szCs w:val="36"/>
        </w:rPr>
        <w:t>一、总  则</w:t>
      </w:r>
      <w:r>
        <w:tab/>
      </w:r>
      <w:r>
        <w:fldChar w:fldCharType="begin"/>
      </w:r>
      <w:r>
        <w:instrText xml:space="preserve"> PAGEREF _Toc26796 \h </w:instrText>
      </w:r>
      <w:r>
        <w:fldChar w:fldCharType="separate"/>
      </w:r>
      <w:r>
        <w:t>- 11 -</w:t>
      </w:r>
      <w:r>
        <w:fldChar w:fldCharType="end"/>
      </w:r>
      <w:r>
        <w:fldChar w:fldCharType="end"/>
      </w:r>
    </w:p>
    <w:p>
      <w:pPr>
        <w:pStyle w:val="13"/>
        <w:tabs>
          <w:tab w:val="right" w:leader="dot" w:pos="9072"/>
        </w:tabs>
      </w:pPr>
      <w:r>
        <w:fldChar w:fldCharType="begin"/>
      </w:r>
      <w:r>
        <w:instrText xml:space="preserve"> HYPERLINK \l "_Toc22015" </w:instrText>
      </w:r>
      <w:r>
        <w:fldChar w:fldCharType="separate"/>
      </w:r>
      <w:r>
        <w:rPr>
          <w:rFonts w:hint="eastAsia" w:asciiTheme="minorEastAsia" w:hAnsiTheme="minorEastAsia" w:eastAsiaTheme="minorEastAsia" w:cstheme="minorEastAsia"/>
        </w:rPr>
        <w:t>二、竞争性磋商文件</w:t>
      </w:r>
      <w:r>
        <w:tab/>
      </w:r>
      <w:r>
        <w:fldChar w:fldCharType="begin"/>
      </w:r>
      <w:r>
        <w:instrText xml:space="preserve"> PAGEREF _Toc22015 \h </w:instrText>
      </w:r>
      <w:r>
        <w:fldChar w:fldCharType="separate"/>
      </w:r>
      <w:r>
        <w:t>- 11 -</w:t>
      </w:r>
      <w:r>
        <w:fldChar w:fldCharType="end"/>
      </w:r>
      <w:r>
        <w:fldChar w:fldCharType="end"/>
      </w:r>
    </w:p>
    <w:p>
      <w:pPr>
        <w:pStyle w:val="13"/>
        <w:tabs>
          <w:tab w:val="right" w:leader="dot" w:pos="9072"/>
        </w:tabs>
      </w:pPr>
      <w:r>
        <w:fldChar w:fldCharType="begin"/>
      </w:r>
      <w:r>
        <w:instrText xml:space="preserve"> HYPERLINK \l "_Toc12469" </w:instrText>
      </w:r>
      <w:r>
        <w:fldChar w:fldCharType="separate"/>
      </w:r>
      <w:r>
        <w:rPr>
          <w:rFonts w:hint="eastAsia" w:asciiTheme="minorEastAsia" w:hAnsiTheme="minorEastAsia" w:eastAsiaTheme="minorEastAsia" w:cstheme="minorEastAsia"/>
        </w:rPr>
        <w:t>三、响应文件的编制</w:t>
      </w:r>
      <w:r>
        <w:tab/>
      </w:r>
      <w:r>
        <w:fldChar w:fldCharType="begin"/>
      </w:r>
      <w:r>
        <w:instrText xml:space="preserve"> PAGEREF _Toc12469 \h </w:instrText>
      </w:r>
      <w:r>
        <w:fldChar w:fldCharType="separate"/>
      </w:r>
      <w:r>
        <w:t>- 12 -</w:t>
      </w:r>
      <w:r>
        <w:fldChar w:fldCharType="end"/>
      </w:r>
      <w:r>
        <w:fldChar w:fldCharType="end"/>
      </w:r>
    </w:p>
    <w:p>
      <w:pPr>
        <w:pStyle w:val="13"/>
        <w:tabs>
          <w:tab w:val="right" w:leader="dot" w:pos="9072"/>
        </w:tabs>
      </w:pPr>
      <w:r>
        <w:fldChar w:fldCharType="begin"/>
      </w:r>
      <w:r>
        <w:instrText xml:space="preserve"> HYPERLINK \l "_Toc21490" </w:instrText>
      </w:r>
      <w:r>
        <w:fldChar w:fldCharType="separate"/>
      </w:r>
      <w:r>
        <w:rPr>
          <w:rFonts w:hint="eastAsia" w:asciiTheme="minorEastAsia" w:hAnsiTheme="minorEastAsia" w:eastAsiaTheme="minorEastAsia" w:cstheme="minorEastAsia"/>
        </w:rPr>
        <w:t>四、响应文件的提交</w:t>
      </w:r>
      <w:r>
        <w:tab/>
      </w:r>
      <w:r>
        <w:fldChar w:fldCharType="begin"/>
      </w:r>
      <w:r>
        <w:instrText xml:space="preserve"> PAGEREF _Toc21490 \h </w:instrText>
      </w:r>
      <w:r>
        <w:fldChar w:fldCharType="separate"/>
      </w:r>
      <w:r>
        <w:t>- 14 -</w:t>
      </w:r>
      <w:r>
        <w:fldChar w:fldCharType="end"/>
      </w:r>
      <w:r>
        <w:fldChar w:fldCharType="end"/>
      </w:r>
    </w:p>
    <w:p>
      <w:pPr>
        <w:pStyle w:val="13"/>
        <w:tabs>
          <w:tab w:val="right" w:leader="dot" w:pos="9072"/>
        </w:tabs>
      </w:pPr>
      <w:r>
        <w:fldChar w:fldCharType="begin"/>
      </w:r>
      <w:r>
        <w:instrText xml:space="preserve"> HYPERLINK \l "_Toc15819" </w:instrText>
      </w:r>
      <w:r>
        <w:fldChar w:fldCharType="separate"/>
      </w:r>
      <w:r>
        <w:rPr>
          <w:rFonts w:hint="eastAsia" w:asciiTheme="minorEastAsia" w:hAnsiTheme="minorEastAsia" w:eastAsiaTheme="minorEastAsia" w:cstheme="minorEastAsia"/>
        </w:rPr>
        <w:t>五、开标与评标</w:t>
      </w:r>
      <w:r>
        <w:tab/>
      </w:r>
      <w:r>
        <w:fldChar w:fldCharType="begin"/>
      </w:r>
      <w:r>
        <w:instrText xml:space="preserve"> PAGEREF _Toc15819 \h </w:instrText>
      </w:r>
      <w:r>
        <w:fldChar w:fldCharType="separate"/>
      </w:r>
      <w:r>
        <w:t>- 15 -</w:t>
      </w:r>
      <w:r>
        <w:fldChar w:fldCharType="end"/>
      </w:r>
      <w:r>
        <w:fldChar w:fldCharType="end"/>
      </w:r>
    </w:p>
    <w:p>
      <w:pPr>
        <w:pStyle w:val="13"/>
        <w:tabs>
          <w:tab w:val="right" w:leader="dot" w:pos="9072"/>
        </w:tabs>
      </w:pPr>
      <w:r>
        <w:fldChar w:fldCharType="begin"/>
      </w:r>
      <w:r>
        <w:instrText xml:space="preserve"> HYPERLINK \l "_Toc31870" </w:instrText>
      </w:r>
      <w:r>
        <w:fldChar w:fldCharType="separate"/>
      </w:r>
      <w:r>
        <w:rPr>
          <w:rFonts w:hint="eastAsia" w:asciiTheme="minorEastAsia" w:hAnsiTheme="minorEastAsia" w:eastAsiaTheme="minorEastAsia" w:cstheme="minorEastAsia"/>
        </w:rPr>
        <w:t>六、重新招标和不再招标</w:t>
      </w:r>
      <w:r>
        <w:tab/>
      </w:r>
      <w:r>
        <w:fldChar w:fldCharType="begin"/>
      </w:r>
      <w:r>
        <w:instrText xml:space="preserve"> PAGEREF _Toc31870 \h </w:instrText>
      </w:r>
      <w:r>
        <w:fldChar w:fldCharType="separate"/>
      </w:r>
      <w:r>
        <w:t>- 17 -</w:t>
      </w:r>
      <w:r>
        <w:fldChar w:fldCharType="end"/>
      </w:r>
      <w:r>
        <w:fldChar w:fldCharType="end"/>
      </w:r>
    </w:p>
    <w:p>
      <w:pPr>
        <w:pStyle w:val="13"/>
        <w:tabs>
          <w:tab w:val="right" w:leader="dot" w:pos="9072"/>
        </w:tabs>
      </w:pPr>
      <w:r>
        <w:fldChar w:fldCharType="begin"/>
      </w:r>
      <w:r>
        <w:instrText xml:space="preserve"> HYPERLINK \l "_Toc9952" </w:instrText>
      </w:r>
      <w:r>
        <w:fldChar w:fldCharType="separate"/>
      </w:r>
      <w:r>
        <w:rPr>
          <w:rFonts w:hint="eastAsia" w:asciiTheme="minorEastAsia" w:hAnsiTheme="minorEastAsia" w:eastAsiaTheme="minorEastAsia" w:cstheme="minorEastAsia"/>
        </w:rPr>
        <w:t>七、中标结果</w:t>
      </w:r>
      <w:r>
        <w:tab/>
      </w:r>
      <w:r>
        <w:fldChar w:fldCharType="begin"/>
      </w:r>
      <w:r>
        <w:instrText xml:space="preserve"> PAGEREF _Toc9952 \h </w:instrText>
      </w:r>
      <w:r>
        <w:fldChar w:fldCharType="separate"/>
      </w:r>
      <w:r>
        <w:t>- 17 -</w:t>
      </w:r>
      <w:r>
        <w:fldChar w:fldCharType="end"/>
      </w:r>
      <w:r>
        <w:fldChar w:fldCharType="end"/>
      </w:r>
    </w:p>
    <w:p>
      <w:pPr>
        <w:pStyle w:val="13"/>
        <w:tabs>
          <w:tab w:val="right" w:leader="dot" w:pos="9072"/>
        </w:tabs>
      </w:pPr>
      <w:r>
        <w:fldChar w:fldCharType="begin"/>
      </w:r>
      <w:r>
        <w:instrText xml:space="preserve"> HYPERLINK \l "_Toc8894" </w:instrText>
      </w:r>
      <w:r>
        <w:fldChar w:fldCharType="separate"/>
      </w:r>
      <w:r>
        <w:rPr>
          <w:rFonts w:hint="eastAsia" w:asciiTheme="minorEastAsia" w:hAnsiTheme="minorEastAsia" w:eastAsiaTheme="minorEastAsia" w:cstheme="minorEastAsia"/>
        </w:rPr>
        <w:t>八、其他事项</w:t>
      </w:r>
      <w:r>
        <w:tab/>
      </w:r>
      <w:r>
        <w:fldChar w:fldCharType="begin"/>
      </w:r>
      <w:r>
        <w:instrText xml:space="preserve"> PAGEREF _Toc8894 \h </w:instrText>
      </w:r>
      <w:r>
        <w:fldChar w:fldCharType="separate"/>
      </w:r>
      <w:r>
        <w:t>- 18 -</w:t>
      </w:r>
      <w:r>
        <w:fldChar w:fldCharType="end"/>
      </w:r>
      <w:r>
        <w:fldChar w:fldCharType="end"/>
      </w:r>
    </w:p>
    <w:p>
      <w:pPr>
        <w:pStyle w:val="18"/>
        <w:tabs>
          <w:tab w:val="right" w:leader="dot" w:pos="9072"/>
          <w:tab w:val="clear" w:pos="9628"/>
        </w:tabs>
      </w:pPr>
      <w:r>
        <w:fldChar w:fldCharType="begin"/>
      </w:r>
      <w:r>
        <w:instrText xml:space="preserve"> HYPERLINK \l "_Toc29378" </w:instrText>
      </w:r>
      <w:r>
        <w:fldChar w:fldCharType="separate"/>
      </w:r>
      <w:r>
        <w:rPr>
          <w:rFonts w:hint="eastAsia" w:asciiTheme="minorEastAsia" w:hAnsiTheme="minorEastAsia" w:eastAsiaTheme="minorEastAsia" w:cstheme="minorEastAsia"/>
          <w:szCs w:val="32"/>
        </w:rPr>
        <w:t>第三章  合同条款及合同格式</w:t>
      </w:r>
      <w:r>
        <w:tab/>
      </w:r>
      <w:r>
        <w:fldChar w:fldCharType="begin"/>
      </w:r>
      <w:r>
        <w:instrText xml:space="preserve"> PAGEREF _Toc29378 \h </w:instrText>
      </w:r>
      <w:r>
        <w:fldChar w:fldCharType="separate"/>
      </w:r>
      <w:r>
        <w:t>- 19 -</w:t>
      </w:r>
      <w:r>
        <w:fldChar w:fldCharType="end"/>
      </w:r>
      <w:r>
        <w:fldChar w:fldCharType="end"/>
      </w:r>
    </w:p>
    <w:p>
      <w:pPr>
        <w:pStyle w:val="18"/>
        <w:tabs>
          <w:tab w:val="right" w:leader="dot" w:pos="9072"/>
          <w:tab w:val="clear" w:pos="9628"/>
        </w:tabs>
      </w:pPr>
      <w:r>
        <w:fldChar w:fldCharType="begin"/>
      </w:r>
      <w:r>
        <w:instrText xml:space="preserve"> HYPERLINK \l "_Toc22983" </w:instrText>
      </w:r>
      <w:r>
        <w:fldChar w:fldCharType="separate"/>
      </w:r>
      <w:r>
        <w:rPr>
          <w:rFonts w:hint="eastAsia" w:asciiTheme="minorEastAsia" w:hAnsiTheme="minorEastAsia" w:eastAsiaTheme="minorEastAsia" w:cstheme="minorEastAsia"/>
          <w:szCs w:val="28"/>
        </w:rPr>
        <w:t>第一部分  协议书</w:t>
      </w:r>
      <w:r>
        <w:tab/>
      </w:r>
      <w:r>
        <w:fldChar w:fldCharType="begin"/>
      </w:r>
      <w:r>
        <w:instrText xml:space="preserve"> PAGEREF _Toc22983 \h </w:instrText>
      </w:r>
      <w:r>
        <w:fldChar w:fldCharType="separate"/>
      </w:r>
      <w:r>
        <w:t>- 20 -</w:t>
      </w:r>
      <w:r>
        <w:fldChar w:fldCharType="end"/>
      </w:r>
      <w:r>
        <w:fldChar w:fldCharType="end"/>
      </w:r>
    </w:p>
    <w:p>
      <w:pPr>
        <w:pStyle w:val="18"/>
        <w:tabs>
          <w:tab w:val="right" w:leader="dot" w:pos="9072"/>
          <w:tab w:val="clear" w:pos="9628"/>
        </w:tabs>
      </w:pPr>
      <w:r>
        <w:fldChar w:fldCharType="begin"/>
      </w:r>
      <w:r>
        <w:instrText xml:space="preserve"> HYPERLINK \l "_Toc31159" </w:instrText>
      </w:r>
      <w:r>
        <w:fldChar w:fldCharType="separate"/>
      </w:r>
      <w:r>
        <w:rPr>
          <w:rFonts w:hint="eastAsia" w:asciiTheme="minorEastAsia" w:hAnsiTheme="minorEastAsia" w:eastAsiaTheme="minorEastAsia" w:cstheme="minorEastAsia"/>
          <w:szCs w:val="28"/>
        </w:rPr>
        <w:t>第二部分  通用条件</w:t>
      </w:r>
      <w:r>
        <w:tab/>
      </w:r>
      <w:r>
        <w:fldChar w:fldCharType="begin"/>
      </w:r>
      <w:r>
        <w:instrText xml:space="preserve"> PAGEREF _Toc31159 \h </w:instrText>
      </w:r>
      <w:r>
        <w:fldChar w:fldCharType="separate"/>
      </w:r>
      <w:r>
        <w:t>- 22 -</w:t>
      </w:r>
      <w:r>
        <w:fldChar w:fldCharType="end"/>
      </w:r>
      <w:r>
        <w:fldChar w:fldCharType="end"/>
      </w:r>
    </w:p>
    <w:p>
      <w:pPr>
        <w:pStyle w:val="18"/>
        <w:tabs>
          <w:tab w:val="right" w:leader="dot" w:pos="9072"/>
          <w:tab w:val="clear" w:pos="9628"/>
        </w:tabs>
      </w:pPr>
      <w:r>
        <w:fldChar w:fldCharType="begin"/>
      </w:r>
      <w:r>
        <w:instrText xml:space="preserve"> HYPERLINK \l "_Toc14896" </w:instrText>
      </w:r>
      <w:r>
        <w:fldChar w:fldCharType="separate"/>
      </w:r>
      <w:r>
        <w:rPr>
          <w:rFonts w:hint="eastAsia" w:asciiTheme="minorEastAsia" w:hAnsiTheme="minorEastAsia" w:eastAsiaTheme="minorEastAsia" w:cstheme="minorEastAsia"/>
          <w:szCs w:val="44"/>
        </w:rPr>
        <w:t>第四章  响应文件格式</w:t>
      </w:r>
      <w:r>
        <w:tab/>
      </w:r>
      <w:r>
        <w:fldChar w:fldCharType="begin"/>
      </w:r>
      <w:r>
        <w:instrText xml:space="preserve"> PAGEREF _Toc14896 \h </w:instrText>
      </w:r>
      <w:r>
        <w:fldChar w:fldCharType="separate"/>
      </w:r>
      <w:r>
        <w:t>- 35 -</w:t>
      </w:r>
      <w:r>
        <w:fldChar w:fldCharType="end"/>
      </w:r>
      <w:r>
        <w:fldChar w:fldCharType="end"/>
      </w:r>
    </w:p>
    <w:p>
      <w:pPr>
        <w:pStyle w:val="13"/>
        <w:tabs>
          <w:tab w:val="right" w:leader="dot" w:pos="9072"/>
        </w:tabs>
      </w:pPr>
      <w:r>
        <w:fldChar w:fldCharType="begin"/>
      </w:r>
      <w:r>
        <w:instrText xml:space="preserve"> HYPERLINK \l "_Toc30844" </w:instrText>
      </w:r>
      <w:r>
        <w:fldChar w:fldCharType="separate"/>
      </w:r>
      <w:r>
        <w:rPr>
          <w:rFonts w:hint="eastAsia" w:ascii="宋体" w:hAnsi="宋体" w:cs="宋体"/>
        </w:rPr>
        <w:t>第一节  磋商函部分格式</w:t>
      </w:r>
      <w:r>
        <w:tab/>
      </w:r>
      <w:r>
        <w:fldChar w:fldCharType="begin"/>
      </w:r>
      <w:r>
        <w:instrText xml:space="preserve"> PAGEREF _Toc30844 \h </w:instrText>
      </w:r>
      <w:r>
        <w:fldChar w:fldCharType="separate"/>
      </w:r>
      <w:r>
        <w:t>- 37 -</w:t>
      </w:r>
      <w:r>
        <w:fldChar w:fldCharType="end"/>
      </w:r>
      <w:r>
        <w:fldChar w:fldCharType="end"/>
      </w:r>
    </w:p>
    <w:p>
      <w:pPr>
        <w:pStyle w:val="13"/>
        <w:tabs>
          <w:tab w:val="right" w:leader="dot" w:pos="9072"/>
        </w:tabs>
      </w:pPr>
      <w:r>
        <w:fldChar w:fldCharType="begin"/>
      </w:r>
      <w:r>
        <w:instrText xml:space="preserve"> HYPERLINK \l "_Toc32045" </w:instrText>
      </w:r>
      <w:r>
        <w:fldChar w:fldCharType="separate"/>
      </w:r>
      <w:r>
        <w:rPr>
          <w:rFonts w:hint="eastAsia" w:ascii="宋体" w:hAnsi="宋体" w:cs="宋体"/>
        </w:rPr>
        <w:t>第二节  响应文件商务部分格式</w:t>
      </w:r>
      <w:r>
        <w:tab/>
      </w:r>
      <w:r>
        <w:fldChar w:fldCharType="begin"/>
      </w:r>
      <w:r>
        <w:instrText xml:space="preserve"> PAGEREF _Toc32045 \h </w:instrText>
      </w:r>
      <w:r>
        <w:fldChar w:fldCharType="separate"/>
      </w:r>
      <w:r>
        <w:t>- 41 -</w:t>
      </w:r>
      <w:r>
        <w:fldChar w:fldCharType="end"/>
      </w:r>
      <w:r>
        <w:fldChar w:fldCharType="end"/>
      </w:r>
    </w:p>
    <w:p>
      <w:pPr>
        <w:pStyle w:val="13"/>
        <w:tabs>
          <w:tab w:val="right" w:leader="dot" w:pos="9072"/>
        </w:tabs>
      </w:pPr>
      <w:r>
        <w:fldChar w:fldCharType="begin"/>
      </w:r>
      <w:r>
        <w:instrText xml:space="preserve"> HYPERLINK \l "_Toc10127" </w:instrText>
      </w:r>
      <w:r>
        <w:fldChar w:fldCharType="separate"/>
      </w:r>
      <w:r>
        <w:rPr>
          <w:rFonts w:hint="eastAsia" w:ascii="宋体" w:hAnsi="宋体" w:cs="宋体"/>
        </w:rPr>
        <w:t>第</w:t>
      </w:r>
      <w:r>
        <w:rPr>
          <w:rFonts w:hint="eastAsia" w:hAnsi="宋体" w:cs="宋体"/>
        </w:rPr>
        <w:t>三</w:t>
      </w:r>
      <w:r>
        <w:rPr>
          <w:rFonts w:hint="eastAsia" w:ascii="宋体" w:hAnsi="宋体" w:cs="宋体"/>
        </w:rPr>
        <w:t>节  响应文件技术部分格式</w:t>
      </w:r>
      <w:r>
        <w:tab/>
      </w:r>
      <w:r>
        <w:fldChar w:fldCharType="begin"/>
      </w:r>
      <w:r>
        <w:instrText xml:space="preserve"> PAGEREF _Toc10127 \h </w:instrText>
      </w:r>
      <w:r>
        <w:fldChar w:fldCharType="separate"/>
      </w:r>
      <w:r>
        <w:t>- 42 -</w:t>
      </w:r>
      <w:r>
        <w:fldChar w:fldCharType="end"/>
      </w:r>
      <w:r>
        <w:fldChar w:fldCharType="end"/>
      </w:r>
    </w:p>
    <w:p>
      <w:pPr>
        <w:pStyle w:val="13"/>
        <w:tabs>
          <w:tab w:val="right" w:leader="dot" w:pos="9072"/>
        </w:tabs>
      </w:pPr>
      <w:r>
        <w:fldChar w:fldCharType="begin"/>
      </w:r>
      <w:r>
        <w:instrText xml:space="preserve"> HYPERLINK \l "_Toc22908" </w:instrText>
      </w:r>
      <w:r>
        <w:fldChar w:fldCharType="separate"/>
      </w:r>
      <w:r>
        <w:rPr>
          <w:rFonts w:hint="eastAsia" w:ascii="宋体" w:hAnsi="宋体" w:cs="宋体"/>
        </w:rPr>
        <w:t>一、</w:t>
      </w:r>
      <w:r>
        <w:rPr>
          <w:rFonts w:hint="eastAsia" w:ascii="宋体" w:hAnsi="宋体" w:cs="宋体"/>
          <w:lang w:eastAsia="zh-CN"/>
        </w:rPr>
        <w:t>工程结算审核</w:t>
      </w:r>
      <w:r>
        <w:rPr>
          <w:rFonts w:hint="eastAsia" w:ascii="宋体" w:hAnsi="宋体" w:cs="宋体"/>
        </w:rPr>
        <w:t>技术服务方案</w:t>
      </w:r>
      <w:r>
        <w:tab/>
      </w:r>
      <w:r>
        <w:fldChar w:fldCharType="begin"/>
      </w:r>
      <w:r>
        <w:instrText xml:space="preserve"> PAGEREF _Toc22908 \h </w:instrText>
      </w:r>
      <w:r>
        <w:fldChar w:fldCharType="separate"/>
      </w:r>
      <w:r>
        <w:t>- 43 -</w:t>
      </w:r>
      <w:r>
        <w:fldChar w:fldCharType="end"/>
      </w:r>
      <w:r>
        <w:fldChar w:fldCharType="end"/>
      </w:r>
    </w:p>
    <w:p>
      <w:pPr>
        <w:pStyle w:val="13"/>
        <w:tabs>
          <w:tab w:val="right" w:leader="dot" w:pos="9072"/>
        </w:tabs>
      </w:pPr>
      <w:r>
        <w:fldChar w:fldCharType="begin"/>
      </w:r>
      <w:r>
        <w:instrText xml:space="preserve"> HYPERLINK \l "_Toc24872" </w:instrText>
      </w:r>
      <w:r>
        <w:fldChar w:fldCharType="separate"/>
      </w:r>
      <w:r>
        <w:rPr>
          <w:rFonts w:hint="eastAsia" w:ascii="宋体" w:hAnsi="宋体" w:cs="宋体"/>
        </w:rPr>
        <w:t>（格式自拟）</w:t>
      </w:r>
      <w:r>
        <w:tab/>
      </w:r>
      <w:r>
        <w:fldChar w:fldCharType="begin"/>
      </w:r>
      <w:r>
        <w:instrText xml:space="preserve"> PAGEREF _Toc24872 \h </w:instrText>
      </w:r>
      <w:r>
        <w:fldChar w:fldCharType="separate"/>
      </w:r>
      <w:r>
        <w:t>- 43 -</w:t>
      </w:r>
      <w:r>
        <w:fldChar w:fldCharType="end"/>
      </w:r>
      <w:r>
        <w:fldChar w:fldCharType="end"/>
      </w:r>
    </w:p>
    <w:p>
      <w:pPr>
        <w:pStyle w:val="13"/>
        <w:tabs>
          <w:tab w:val="right" w:leader="dot" w:pos="9072"/>
        </w:tabs>
      </w:pPr>
      <w:r>
        <w:fldChar w:fldCharType="begin"/>
      </w:r>
      <w:r>
        <w:instrText xml:space="preserve"> HYPERLINK \l "_Toc8124" </w:instrText>
      </w:r>
      <w:r>
        <w:fldChar w:fldCharType="separate"/>
      </w:r>
      <w:r>
        <w:rPr>
          <w:rFonts w:hint="eastAsia" w:ascii="宋体" w:hAnsi="宋体" w:cs="宋体"/>
        </w:rPr>
        <w:t>二、项目目标控制措施</w:t>
      </w:r>
      <w:r>
        <w:tab/>
      </w:r>
      <w:r>
        <w:fldChar w:fldCharType="begin"/>
      </w:r>
      <w:r>
        <w:instrText xml:space="preserve"> PAGEREF _Toc8124 \h </w:instrText>
      </w:r>
      <w:r>
        <w:fldChar w:fldCharType="separate"/>
      </w:r>
      <w:r>
        <w:t>- 44 -</w:t>
      </w:r>
      <w:r>
        <w:fldChar w:fldCharType="end"/>
      </w:r>
      <w:r>
        <w:fldChar w:fldCharType="end"/>
      </w:r>
    </w:p>
    <w:p>
      <w:pPr>
        <w:pStyle w:val="13"/>
        <w:tabs>
          <w:tab w:val="right" w:leader="dot" w:pos="9072"/>
        </w:tabs>
      </w:pPr>
      <w:r>
        <w:fldChar w:fldCharType="begin"/>
      </w:r>
      <w:r>
        <w:instrText xml:space="preserve"> HYPERLINK \l "_Toc6505" </w:instrText>
      </w:r>
      <w:r>
        <w:fldChar w:fldCharType="separate"/>
      </w:r>
      <w:r>
        <w:rPr>
          <w:rFonts w:hint="eastAsia" w:ascii="宋体" w:hAnsi="宋体" w:cs="宋体"/>
        </w:rPr>
        <w:t>格式自拟，至少应包括</w:t>
      </w:r>
      <w:r>
        <w:rPr>
          <w:rFonts w:hint="eastAsia" w:ascii="宋体" w:hAnsi="宋体" w:cs="宋体"/>
          <w:lang w:eastAsia="zh-CN"/>
        </w:rPr>
        <w:t>工程结算审核</w:t>
      </w:r>
      <w:r>
        <w:rPr>
          <w:rFonts w:hint="eastAsia" w:ascii="宋体" w:hAnsi="宋体" w:cs="宋体"/>
        </w:rPr>
        <w:t>服务质量承诺及保证措施、工作期限承诺及保证措施。</w:t>
      </w:r>
      <w:r>
        <w:tab/>
      </w:r>
      <w:r>
        <w:fldChar w:fldCharType="begin"/>
      </w:r>
      <w:r>
        <w:instrText xml:space="preserve"> PAGEREF _Toc6505 \h </w:instrText>
      </w:r>
      <w:r>
        <w:fldChar w:fldCharType="separate"/>
      </w:r>
      <w:r>
        <w:t>- 44 -</w:t>
      </w:r>
      <w:r>
        <w:fldChar w:fldCharType="end"/>
      </w:r>
      <w:r>
        <w:fldChar w:fldCharType="end"/>
      </w:r>
    </w:p>
    <w:p>
      <w:pPr>
        <w:pStyle w:val="13"/>
        <w:tabs>
          <w:tab w:val="right" w:leader="dot" w:pos="9072"/>
        </w:tabs>
      </w:pPr>
      <w:r>
        <w:fldChar w:fldCharType="begin"/>
      </w:r>
      <w:r>
        <w:instrText xml:space="preserve"> HYPERLINK \l "_Toc10647" </w:instrText>
      </w:r>
      <w:r>
        <w:fldChar w:fldCharType="separate"/>
      </w:r>
      <w:r>
        <w:rPr>
          <w:rFonts w:hint="eastAsia" w:ascii="宋体" w:hAnsi="宋体" w:cs="宋体"/>
        </w:rPr>
        <w:t>三、后续服务工作安排及承诺</w:t>
      </w:r>
      <w:r>
        <w:tab/>
      </w:r>
      <w:r>
        <w:fldChar w:fldCharType="begin"/>
      </w:r>
      <w:r>
        <w:instrText xml:space="preserve"> PAGEREF _Toc10647 \h </w:instrText>
      </w:r>
      <w:r>
        <w:fldChar w:fldCharType="separate"/>
      </w:r>
      <w:r>
        <w:t>- 45 -</w:t>
      </w:r>
      <w:r>
        <w:fldChar w:fldCharType="end"/>
      </w:r>
      <w:r>
        <w:fldChar w:fldCharType="end"/>
      </w:r>
    </w:p>
    <w:p>
      <w:pPr>
        <w:pStyle w:val="13"/>
        <w:tabs>
          <w:tab w:val="right" w:leader="dot" w:pos="9072"/>
        </w:tabs>
      </w:pPr>
      <w:r>
        <w:fldChar w:fldCharType="begin"/>
      </w:r>
      <w:r>
        <w:instrText xml:space="preserve"> HYPERLINK \l "_Toc26908" </w:instrText>
      </w:r>
      <w:r>
        <w:fldChar w:fldCharType="separate"/>
      </w:r>
      <w:r>
        <w:rPr>
          <w:rFonts w:hint="eastAsia" w:ascii="宋体" w:hAnsi="宋体" w:cs="宋体"/>
        </w:rPr>
        <w:t>四、申请人认为须提供的其他材料或承诺</w:t>
      </w:r>
      <w:r>
        <w:tab/>
      </w:r>
      <w:r>
        <w:fldChar w:fldCharType="begin"/>
      </w:r>
      <w:r>
        <w:instrText xml:space="preserve"> PAGEREF _Toc26908 \h </w:instrText>
      </w:r>
      <w:r>
        <w:fldChar w:fldCharType="separate"/>
      </w:r>
      <w:r>
        <w:t>- 46 -</w:t>
      </w:r>
      <w:r>
        <w:fldChar w:fldCharType="end"/>
      </w:r>
      <w:r>
        <w:fldChar w:fldCharType="end"/>
      </w:r>
    </w:p>
    <w:p>
      <w:pPr>
        <w:pStyle w:val="13"/>
        <w:tabs>
          <w:tab w:val="right" w:leader="dot" w:pos="9072"/>
        </w:tabs>
      </w:pPr>
      <w:r>
        <w:fldChar w:fldCharType="begin"/>
      </w:r>
      <w:r>
        <w:instrText xml:space="preserve"> HYPERLINK \l "_Toc25427" </w:instrText>
      </w:r>
      <w:r>
        <w:fldChar w:fldCharType="separate"/>
      </w:r>
      <w:r>
        <w:rPr>
          <w:rFonts w:hint="eastAsia" w:ascii="宋体" w:hAnsi="宋体" w:cs="宋体"/>
        </w:rPr>
        <w:t>第</w:t>
      </w:r>
      <w:r>
        <w:rPr>
          <w:rFonts w:hint="eastAsia" w:hAnsi="宋体" w:cs="宋体"/>
        </w:rPr>
        <w:t>四</w:t>
      </w:r>
      <w:r>
        <w:rPr>
          <w:rFonts w:hint="eastAsia" w:ascii="宋体" w:hAnsi="宋体" w:cs="宋体"/>
        </w:rPr>
        <w:t>节  响应文件资格审查部分格式</w:t>
      </w:r>
      <w:r>
        <w:tab/>
      </w:r>
      <w:r>
        <w:fldChar w:fldCharType="begin"/>
      </w:r>
      <w:r>
        <w:instrText xml:space="preserve"> PAGEREF _Toc25427 \h </w:instrText>
      </w:r>
      <w:r>
        <w:fldChar w:fldCharType="separate"/>
      </w:r>
      <w:r>
        <w:t>- 47 -</w:t>
      </w:r>
      <w:r>
        <w:fldChar w:fldCharType="end"/>
      </w:r>
      <w:r>
        <w:fldChar w:fldCharType="end"/>
      </w:r>
    </w:p>
    <w:p>
      <w:pPr>
        <w:pStyle w:val="13"/>
        <w:tabs>
          <w:tab w:val="right" w:leader="dot" w:pos="9072"/>
        </w:tabs>
      </w:pPr>
      <w:r>
        <w:fldChar w:fldCharType="begin"/>
      </w:r>
      <w:r>
        <w:instrText xml:space="preserve"> HYPERLINK \l "_Toc10242" </w:instrText>
      </w:r>
      <w:r>
        <w:fldChar w:fldCharType="separate"/>
      </w:r>
      <w:r>
        <w:rPr>
          <w:rFonts w:hint="eastAsia" w:asciiTheme="minorEastAsia" w:hAnsiTheme="minorEastAsia" w:eastAsiaTheme="minorEastAsia" w:cstheme="minorEastAsia"/>
        </w:rPr>
        <w:t>附件1：第二次报价表</w:t>
      </w:r>
      <w:r>
        <w:tab/>
      </w:r>
      <w:r>
        <w:fldChar w:fldCharType="begin"/>
      </w:r>
      <w:r>
        <w:instrText xml:space="preserve"> PAGEREF _Toc10242 \h </w:instrText>
      </w:r>
      <w:r>
        <w:fldChar w:fldCharType="separate"/>
      </w:r>
      <w:r>
        <w:t>60</w:t>
      </w:r>
      <w:r>
        <w:fldChar w:fldCharType="end"/>
      </w:r>
      <w:r>
        <w:fldChar w:fldCharType="end"/>
      </w:r>
    </w:p>
    <w:p>
      <w:pPr>
        <w:pStyle w:val="18"/>
        <w:tabs>
          <w:tab w:val="right" w:leader="dot" w:pos="9072"/>
          <w:tab w:val="clear" w:pos="9628"/>
        </w:tabs>
      </w:pPr>
      <w:r>
        <w:fldChar w:fldCharType="begin"/>
      </w:r>
      <w:r>
        <w:instrText xml:space="preserve"> HYPERLINK \l "_Toc30535" </w:instrText>
      </w:r>
      <w:r>
        <w:fldChar w:fldCharType="separate"/>
      </w:r>
      <w:r>
        <w:rPr>
          <w:rFonts w:hint="eastAsia" w:asciiTheme="minorEastAsia" w:hAnsiTheme="minorEastAsia" w:eastAsiaTheme="minorEastAsia" w:cstheme="minorEastAsia"/>
          <w:szCs w:val="36"/>
        </w:rPr>
        <w:t>第五章 技术要求</w:t>
      </w:r>
      <w:r>
        <w:tab/>
      </w:r>
      <w:r>
        <w:fldChar w:fldCharType="begin"/>
      </w:r>
      <w:r>
        <w:instrText xml:space="preserve"> PAGEREF _Toc30535 \h </w:instrText>
      </w:r>
      <w:r>
        <w:fldChar w:fldCharType="separate"/>
      </w:r>
      <w:r>
        <w:t>62</w:t>
      </w:r>
      <w:r>
        <w:fldChar w:fldCharType="end"/>
      </w:r>
      <w:r>
        <w:fldChar w:fldCharType="end"/>
      </w:r>
    </w:p>
    <w:p>
      <w:pPr>
        <w:pStyle w:val="18"/>
        <w:tabs>
          <w:tab w:val="right" w:leader="dot" w:pos="9072"/>
          <w:tab w:val="clear" w:pos="9628"/>
        </w:tabs>
      </w:pPr>
      <w:r>
        <w:fldChar w:fldCharType="begin"/>
      </w:r>
      <w:r>
        <w:instrText xml:space="preserve"> HYPERLINK \l "_Toc30975" </w:instrText>
      </w:r>
      <w:r>
        <w:fldChar w:fldCharType="separate"/>
      </w:r>
      <w:r>
        <w:rPr>
          <w:rFonts w:hint="eastAsia" w:asciiTheme="minorEastAsia" w:hAnsiTheme="minorEastAsia" w:eastAsiaTheme="minorEastAsia" w:cstheme="minorEastAsia"/>
          <w:szCs w:val="36"/>
        </w:rPr>
        <w:t>第六章  磋商办法（综合评估法）</w:t>
      </w:r>
      <w:r>
        <w:tab/>
      </w:r>
      <w:r>
        <w:fldChar w:fldCharType="begin"/>
      </w:r>
      <w:r>
        <w:instrText xml:space="preserve"> PAGEREF _Toc30975 \h </w:instrText>
      </w:r>
      <w:r>
        <w:fldChar w:fldCharType="separate"/>
      </w:r>
      <w:r>
        <w:t>63</w:t>
      </w:r>
      <w:r>
        <w:fldChar w:fldCharType="end"/>
      </w:r>
      <w:r>
        <w:fldChar w:fldCharType="end"/>
      </w:r>
    </w:p>
    <w:p>
      <w:pPr>
        <w:pStyle w:val="13"/>
        <w:tabs>
          <w:tab w:val="right" w:leader="dot" w:pos="9072"/>
        </w:tabs>
      </w:pPr>
      <w:r>
        <w:fldChar w:fldCharType="begin"/>
      </w:r>
      <w:r>
        <w:instrText xml:space="preserve"> HYPERLINK \l "_Toc6323" </w:instrText>
      </w:r>
      <w:r>
        <w:fldChar w:fldCharType="separate"/>
      </w:r>
      <w:r>
        <w:rPr>
          <w:rFonts w:hint="eastAsia" w:asciiTheme="minorEastAsia" w:hAnsiTheme="minorEastAsia" w:eastAsiaTheme="minorEastAsia" w:cstheme="minorEastAsia"/>
        </w:rPr>
        <w:t>磋商办法前附表</w:t>
      </w:r>
      <w:r>
        <w:tab/>
      </w:r>
      <w:r>
        <w:fldChar w:fldCharType="begin"/>
      </w:r>
      <w:r>
        <w:instrText xml:space="preserve"> PAGEREF _Toc6323 \h </w:instrText>
      </w:r>
      <w:r>
        <w:fldChar w:fldCharType="separate"/>
      </w:r>
      <w:r>
        <w:t>63</w:t>
      </w:r>
      <w:r>
        <w:fldChar w:fldCharType="end"/>
      </w:r>
      <w:r>
        <w:fldChar w:fldCharType="end"/>
      </w:r>
    </w:p>
    <w:p>
      <w:pPr>
        <w:pStyle w:val="13"/>
        <w:tabs>
          <w:tab w:val="right" w:leader="dot" w:pos="9072"/>
        </w:tabs>
      </w:pPr>
      <w:r>
        <w:fldChar w:fldCharType="begin"/>
      </w:r>
      <w:r>
        <w:instrText xml:space="preserve"> HYPERLINK \l "_Toc12461" </w:instrText>
      </w:r>
      <w:r>
        <w:fldChar w:fldCharType="separate"/>
      </w:r>
      <w:r>
        <w:rPr>
          <w:rFonts w:hint="eastAsia" w:asciiTheme="minorEastAsia" w:hAnsiTheme="minorEastAsia" w:eastAsiaTheme="minorEastAsia" w:cstheme="minorEastAsia"/>
        </w:rPr>
        <w:t>一、评标方法</w:t>
      </w:r>
      <w:r>
        <w:tab/>
      </w:r>
      <w:r>
        <w:fldChar w:fldCharType="begin"/>
      </w:r>
      <w:r>
        <w:instrText xml:space="preserve"> PAGEREF _Toc12461 \h </w:instrText>
      </w:r>
      <w:r>
        <w:fldChar w:fldCharType="separate"/>
      </w:r>
      <w:r>
        <w:t>66</w:t>
      </w:r>
      <w:r>
        <w:fldChar w:fldCharType="end"/>
      </w:r>
      <w:r>
        <w:fldChar w:fldCharType="end"/>
      </w:r>
    </w:p>
    <w:p>
      <w:pPr>
        <w:pStyle w:val="13"/>
        <w:tabs>
          <w:tab w:val="right" w:leader="dot" w:pos="9072"/>
        </w:tabs>
      </w:pPr>
      <w:r>
        <w:fldChar w:fldCharType="begin"/>
      </w:r>
      <w:r>
        <w:instrText xml:space="preserve"> HYPERLINK \l "_Toc4716" </w:instrText>
      </w:r>
      <w:r>
        <w:fldChar w:fldCharType="separate"/>
      </w:r>
      <w:r>
        <w:rPr>
          <w:rFonts w:hint="eastAsia" w:asciiTheme="minorEastAsia" w:hAnsiTheme="minorEastAsia" w:eastAsiaTheme="minorEastAsia" w:cstheme="minorEastAsia"/>
        </w:rPr>
        <w:t>二、评审标准</w:t>
      </w:r>
      <w:r>
        <w:tab/>
      </w:r>
      <w:r>
        <w:fldChar w:fldCharType="begin"/>
      </w:r>
      <w:r>
        <w:instrText xml:space="preserve"> PAGEREF _Toc4716 \h </w:instrText>
      </w:r>
      <w:r>
        <w:fldChar w:fldCharType="separate"/>
      </w:r>
      <w:r>
        <w:t>66</w:t>
      </w:r>
      <w:r>
        <w:fldChar w:fldCharType="end"/>
      </w:r>
      <w:r>
        <w:fldChar w:fldCharType="end"/>
      </w:r>
    </w:p>
    <w:p>
      <w:pPr>
        <w:pStyle w:val="13"/>
        <w:tabs>
          <w:tab w:val="right" w:leader="dot" w:pos="9072"/>
        </w:tabs>
      </w:pPr>
      <w:r>
        <w:fldChar w:fldCharType="begin"/>
      </w:r>
      <w:r>
        <w:instrText xml:space="preserve"> HYPERLINK \l "_Toc862" </w:instrText>
      </w:r>
      <w:r>
        <w:fldChar w:fldCharType="separate"/>
      </w:r>
      <w:r>
        <w:rPr>
          <w:rFonts w:hint="eastAsia" w:asciiTheme="minorEastAsia" w:hAnsiTheme="minorEastAsia" w:eastAsiaTheme="minorEastAsia" w:cstheme="minorEastAsia"/>
        </w:rPr>
        <w:t>三、评标程序</w:t>
      </w:r>
      <w:r>
        <w:tab/>
      </w:r>
      <w:r>
        <w:fldChar w:fldCharType="begin"/>
      </w:r>
      <w:r>
        <w:instrText xml:space="preserve"> PAGEREF _Toc862 \h </w:instrText>
      </w:r>
      <w:r>
        <w:fldChar w:fldCharType="separate"/>
      </w:r>
      <w:r>
        <w:t>66</w:t>
      </w:r>
      <w:r>
        <w:fldChar w:fldCharType="end"/>
      </w:r>
      <w:r>
        <w:fldChar w:fldCharType="end"/>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lang w:val="zh-CN"/>
        </w:rPr>
        <w:fldChar w:fldCharType="end"/>
      </w:r>
    </w:p>
    <w:p>
      <w:pPr>
        <w:widowControl/>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360" w:lineRule="auto"/>
        <w:jc w:val="center"/>
        <w:outlineLvl w:val="0"/>
        <w:rPr>
          <w:rFonts w:hint="eastAsia" w:asciiTheme="minorEastAsia" w:hAnsiTheme="minorEastAsia" w:eastAsiaTheme="minorEastAsia" w:cstheme="minorEastAsia"/>
          <w:b/>
          <w:sz w:val="48"/>
          <w:szCs w:val="48"/>
        </w:rPr>
      </w:pPr>
      <w:bookmarkStart w:id="0" w:name="_Toc24934"/>
      <w:bookmarkStart w:id="1" w:name="_Toc20149"/>
      <w:bookmarkStart w:id="2" w:name="_Toc15019"/>
      <w:r>
        <w:rPr>
          <w:rFonts w:hint="eastAsia" w:asciiTheme="minorEastAsia" w:hAnsiTheme="minorEastAsia" w:eastAsiaTheme="minorEastAsia" w:cstheme="minorEastAsia"/>
          <w:b/>
          <w:sz w:val="48"/>
          <w:szCs w:val="48"/>
        </w:rPr>
        <w:t>第一章  竞争性磋商公告</w:t>
      </w:r>
      <w:bookmarkEnd w:id="0"/>
      <w:bookmarkEnd w:id="1"/>
      <w:bookmarkEnd w:id="2"/>
    </w:p>
    <w:p>
      <w:pPr>
        <w:autoSpaceDE w:val="0"/>
        <w:autoSpaceDN w:val="0"/>
        <w:adjustRightInd w:val="0"/>
        <w:jc w:val="center"/>
        <w:rPr>
          <w:rFonts w:hint="eastAsia" w:ascii="宋体" w:hAnsi="宋体" w:cs="宋体"/>
          <w:b/>
          <w:bCs/>
          <w:kern w:val="0"/>
          <w:sz w:val="36"/>
          <w:szCs w:val="36"/>
        </w:rPr>
      </w:pPr>
      <w:bookmarkStart w:id="3" w:name="_Toc35393797"/>
      <w:bookmarkStart w:id="4" w:name="_Toc28359011"/>
      <w:bookmarkStart w:id="5" w:name="_Hlk88143925"/>
      <w:bookmarkStart w:id="6" w:name="_Hlk92381736"/>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竞争性磋商公告</w:t>
      </w:r>
      <w:bookmarkEnd w:id="3"/>
      <w:bookmarkEnd w:id="4"/>
    </w:p>
    <w:p>
      <w:pPr>
        <w:spacing w:line="560" w:lineRule="exact"/>
        <w:ind w:firstLine="420" w:firstLineChars="200"/>
        <w:rPr>
          <w:rFonts w:hint="eastAsia" w:asciiTheme="minorEastAsia" w:hAnsiTheme="minorEastAsia" w:eastAsiaTheme="minorEastAsia" w:cstheme="minorEastAsia"/>
          <w:szCs w:val="21"/>
        </w:rPr>
      </w:pPr>
    </w:p>
    <w:p>
      <w:pPr>
        <w:pStyle w:val="6"/>
        <w:spacing w:before="0" w:after="0" w:line="560" w:lineRule="exact"/>
        <w:ind w:firstLine="421" w:firstLineChars="200"/>
        <w:rPr>
          <w:rFonts w:hint="eastAsia" w:asciiTheme="minorEastAsia" w:hAnsiTheme="minorEastAsia" w:eastAsiaTheme="minorEastAsia" w:cstheme="minorEastAsia"/>
          <w:sz w:val="21"/>
          <w:szCs w:val="21"/>
        </w:rPr>
      </w:pPr>
      <w:bookmarkStart w:id="7" w:name="_Toc92461553"/>
      <w:bookmarkStart w:id="8" w:name="_Toc35393798"/>
      <w:bookmarkStart w:id="9" w:name="_Toc35393629"/>
      <w:bookmarkStart w:id="10" w:name="_Toc25164"/>
      <w:bookmarkStart w:id="11" w:name="_Toc28359012"/>
      <w:bookmarkStart w:id="12" w:name="_Toc28359089"/>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280160"/>
                <wp:effectExtent l="4445" t="4445" r="14605" b="10795"/>
                <wp:wrapSquare wrapText="bothSides"/>
                <wp:docPr id="2" name="文本框 2"/>
                <wp:cNvGraphicFramePr/>
                <a:graphic xmlns:a="http://schemas.openxmlformats.org/drawingml/2006/main">
                  <a:graphicData uri="http://schemas.microsoft.com/office/word/2010/wordprocessingShape">
                    <wps:wsp>
                      <wps:cNvSpPr txBox="1"/>
                      <wps:spPr>
                        <a:xfrm>
                          <a:off x="0" y="0"/>
                          <a:ext cx="1828800" cy="1280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地块净用地面积67亩，总建筑面积20.05万㎡，住宅11.81万㎡，1045户，商业3.64万㎡。其中KCC2019-18号8#、10#、11#楼为安置房，总建筑面积约6.78万㎡，安置住宅4.0075万㎡，378户，10#安置商业1.5764万㎡，地下车位400个（约1.2万㎡）。</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00.8pt;width:144pt;mso-wrap-distance-bottom:0pt;mso-wrap-distance-left:9pt;mso-wrap-distance-right:9pt;mso-wrap-distance-top:0pt;mso-wrap-style:none;z-index:251659264;mso-width-relative:page;mso-height-relative:page;" fillcolor="#FFFFFF [3201]" filled="t" stroked="t" coordsize="21600,21600" o:gfxdata="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OmyVfXVAAAABQEAAA8A&#10;AAAAAAAAAQAgAAAAOAAAAGRycy9kb3ducmV2LnhtbFBLAQIUABQAAAAIAIdO4kDVzgAuPQIAAGgE&#10;AAAOAAAAAAAAAAEAIAAAADoBAABkcnMvZTJvRG9jLnhtbFBLBQYAAAAABgAGAFkBAADpBQAAAAA=&#10;">
                <v:fill on="t" focussize="0,0"/>
                <v:stroke weight="0.5pt" color="#000000 [3204]" joinstyle="round"/>
                <v:imagedata o:title=""/>
                <o:lock v:ext="edit" aspectratio="f"/>
                <v:textbox>
                  <w:txbxContent>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地块净用地面积67亩，总建筑面积20.05万㎡，住宅11.81万㎡，1045户，商业3.64万㎡。其中KCC2019-18号8#、10#、11#楼为安置房，总建筑面积约6.78万㎡，安置住宅4.0075万㎡，378户，10#安置商业1.5764万㎡，地下车位400个（约1.2万㎡）。</w:t>
                      </w:r>
                    </w:p>
                  </w:txbxContent>
                </v:textbox>
                <w10:wrap type="square"/>
              </v:shape>
            </w:pict>
          </mc:Fallback>
        </mc:AlternateContent>
      </w:r>
      <w:r>
        <w:rPr>
          <w:rFonts w:hint="eastAsia" w:asciiTheme="minorEastAsia" w:hAnsiTheme="minorEastAsia" w:eastAsiaTheme="minorEastAsia" w:cstheme="minorEastAsia"/>
          <w:sz w:val="21"/>
          <w:szCs w:val="21"/>
        </w:rPr>
        <w:t>一、项目基本情况</w:t>
      </w:r>
      <w:bookmarkEnd w:id="7"/>
      <w:bookmarkEnd w:id="8"/>
      <w:bookmarkEnd w:id="9"/>
      <w:bookmarkEnd w:id="10"/>
      <w:bookmarkEnd w:id="11"/>
      <w:bookmarkEnd w:id="12"/>
    </w:p>
    <w:p>
      <w:pPr>
        <w:autoSpaceDE w:val="0"/>
        <w:autoSpaceDN w:val="0"/>
        <w:adjustRightIn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bookmarkStart w:id="13" w:name="_Hlk180756558"/>
      <w:r>
        <w:rPr>
          <w:rFonts w:hint="eastAsia" w:asciiTheme="minorEastAsia" w:hAnsiTheme="minorEastAsia" w:eastAsiaTheme="minorEastAsia" w:cstheme="minorEastAsia"/>
          <w:szCs w:val="21"/>
        </w:rPr>
        <w:t>项目名称：呈贡区彩龙村二期项目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bookmarkEnd w:id="13"/>
    </w:p>
    <w:p>
      <w:pPr>
        <w:spacing w:line="560" w:lineRule="exact"/>
        <w:ind w:firstLine="420" w:firstLineChars="200"/>
        <w:rPr>
          <w:rFonts w:eastAsiaTheme="minorEastAsia"/>
        </w:rPr>
      </w:pPr>
      <w:r>
        <w:rPr>
          <w:rFonts w:hint="eastAsia" w:asciiTheme="minorEastAsia" w:hAnsiTheme="minorEastAsia" w:eastAsiaTheme="minorEastAsia" w:cstheme="minorEastAsia"/>
          <w:szCs w:val="21"/>
        </w:rPr>
        <w:t>2.采购方式：□竞争性谈判   ☑竞争性磋商   □询价</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3.建设地点：云南省昆明市。</w:t>
      </w:r>
    </w:p>
    <w:p>
      <w:pPr>
        <w:spacing w:line="560" w:lineRule="exact"/>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rPr>
        <w:t>4. 项目概况：</w:t>
      </w:r>
      <w:r>
        <w:rPr>
          <w:rFonts w:hint="eastAsia" w:ascii="宋体" w:hAnsi="宋体" w:cs="宋体"/>
          <w:szCs w:val="21"/>
          <w:highlight w:val="none"/>
        </w:rPr>
        <w:t>项目建安成本约33000万元；本次招标规模暂估价约</w:t>
      </w:r>
      <w:r>
        <w:rPr>
          <w:rFonts w:hint="eastAsia" w:ascii="宋体" w:hAnsi="宋体" w:cs="宋体"/>
          <w:szCs w:val="21"/>
          <w:highlight w:val="none"/>
          <w:lang w:val="en-US" w:eastAsia="zh-CN"/>
        </w:rPr>
        <w:t>40</w:t>
      </w:r>
      <w:r>
        <w:rPr>
          <w:rFonts w:hint="eastAsia" w:ascii="宋体" w:hAnsi="宋体" w:cs="宋体"/>
          <w:szCs w:val="21"/>
          <w:highlight w:val="none"/>
        </w:rPr>
        <w:t>万元。</w:t>
      </w:r>
    </w:p>
    <w:p>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 质量要求：符合《建设工程造价咨询成果文件质量标准》（CECA/GC 7-2012）、《中华人民共和国审计法》、《企业会计准则》及国家、地方、行业现行的相关造价审计服务标准、项目造价管理规定及审计管理的有关规定及规范的要求，且需满足后期政府审计针对本项目设施运行管理及行政管理工作提出的审计意见及要求。符合招标人要求。以确保成果资料完整、真实准确、清晰有据。</w:t>
      </w:r>
    </w:p>
    <w:p>
      <w:pPr>
        <w:spacing w:line="560" w:lineRule="exact"/>
        <w:ind w:firstLine="420" w:firstLineChars="200"/>
        <w:rPr>
          <w:rFonts w:hint="eastAsia" w:asciiTheme="minorEastAsia" w:hAnsiTheme="minorEastAsia" w:eastAsiaTheme="minorEastAsia" w:cstheme="minorEastAsia"/>
          <w:szCs w:val="21"/>
          <w:highlight w:val="none"/>
        </w:rPr>
      </w:pPr>
      <w:r>
        <w:rPr>
          <w:rFonts w:hint="default" w:asciiTheme="minorEastAsia" w:hAnsiTheme="minorEastAsia" w:eastAsiaTheme="minorEastAsia" w:cstheme="minorEastAsia"/>
          <w:szCs w:val="21"/>
          <w:highlight w:val="none"/>
          <w:lang w:val="en"/>
        </w:rPr>
        <w:t>6</w:t>
      </w:r>
      <w:r>
        <w:rPr>
          <w:rFonts w:hint="eastAsia" w:asciiTheme="minorEastAsia" w:hAnsiTheme="minorEastAsia" w:eastAsiaTheme="minorEastAsia" w:cstheme="minorEastAsia"/>
          <w:szCs w:val="21"/>
          <w:highlight w:val="none"/>
        </w:rPr>
        <w:t>.服务周期：咨询合同签订后至完成本项目采购范围内所约定的咨询服务内容，并出具</w:t>
      </w:r>
      <w:r>
        <w:rPr>
          <w:rFonts w:hint="eastAsia" w:asciiTheme="minorEastAsia" w:hAnsiTheme="minorEastAsia" w:eastAsiaTheme="minorEastAsia" w:cstheme="minorEastAsia"/>
          <w:szCs w:val="21"/>
          <w:highlight w:val="none"/>
          <w:lang w:eastAsia="zh-CN"/>
        </w:rPr>
        <w:t>工程结算</w:t>
      </w:r>
      <w:r>
        <w:rPr>
          <w:rFonts w:hint="eastAsia" w:asciiTheme="minorEastAsia" w:hAnsiTheme="minorEastAsia" w:eastAsiaTheme="minorEastAsia" w:cstheme="minorEastAsia"/>
          <w:szCs w:val="21"/>
          <w:highlight w:val="none"/>
        </w:rPr>
        <w:t>审核报告后终止。</w:t>
      </w:r>
    </w:p>
    <w:p>
      <w:pPr>
        <w:spacing w:line="560" w:lineRule="exact"/>
        <w:ind w:firstLine="420" w:firstLineChars="200"/>
        <w:rPr>
          <w:rFonts w:hint="eastAsia" w:ascii="宋体" w:hAnsi="宋体" w:cs="宋体"/>
          <w:color w:val="000000"/>
          <w:szCs w:val="21"/>
          <w:highlight w:val="yellow"/>
        </w:rPr>
      </w:pPr>
      <w:r>
        <w:rPr>
          <w:rFonts w:hint="default" w:asciiTheme="minorEastAsia" w:hAnsiTheme="minorEastAsia" w:eastAsiaTheme="minorEastAsia" w:cstheme="minorEastAsia"/>
          <w:szCs w:val="21"/>
          <w:highlight w:val="none"/>
          <w:lang w:val="en"/>
        </w:rPr>
        <w:t>7</w:t>
      </w:r>
      <w:r>
        <w:rPr>
          <w:rFonts w:hint="eastAsia" w:asciiTheme="minorEastAsia" w:hAnsiTheme="minorEastAsia" w:eastAsiaTheme="minorEastAsia" w:cstheme="minorEastAsia"/>
          <w:szCs w:val="21"/>
          <w:highlight w:val="none"/>
        </w:rPr>
        <w:t>.采购范围：开展彩龙村二期项目</w:t>
      </w:r>
      <w:r>
        <w:rPr>
          <w:rFonts w:hint="eastAsia" w:asciiTheme="minorEastAsia" w:hAnsiTheme="minorEastAsia" w:eastAsiaTheme="minorEastAsia" w:cstheme="minorEastAsia"/>
          <w:szCs w:val="21"/>
          <w:highlight w:val="none"/>
          <w:lang w:eastAsia="zh-CN"/>
        </w:rPr>
        <w:t>工程结算审核</w:t>
      </w:r>
      <w:r>
        <w:rPr>
          <w:rFonts w:hint="eastAsia" w:asciiTheme="minorEastAsia" w:hAnsiTheme="minorEastAsia" w:eastAsiaTheme="minorEastAsia" w:cstheme="minorEastAsia"/>
          <w:szCs w:val="21"/>
          <w:highlight w:val="none"/>
        </w:rPr>
        <w:t>工作并出具审核报告（</w:t>
      </w:r>
      <w:r>
        <w:rPr>
          <w:rFonts w:hint="eastAsia" w:ascii="宋体" w:hAnsi="宋体"/>
          <w:szCs w:val="21"/>
          <w:highlight w:val="none"/>
        </w:rPr>
        <w:t>具体的工作范围采购人在</w:t>
      </w: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szCs w:val="21"/>
          <w:highlight w:val="none"/>
          <w:lang w:eastAsia="zh-CN"/>
        </w:rPr>
        <w:t>工程结算审核</w:t>
      </w:r>
      <w:r>
        <w:rPr>
          <w:rFonts w:hint="eastAsia" w:asciiTheme="minorEastAsia" w:hAnsiTheme="minorEastAsia" w:eastAsiaTheme="minorEastAsia" w:cstheme="minorEastAsia"/>
          <w:szCs w:val="21"/>
          <w:highlight w:val="none"/>
        </w:rPr>
        <w:t>工作</w:t>
      </w:r>
      <w:r>
        <w:rPr>
          <w:rFonts w:hint="eastAsia" w:ascii="宋体" w:hAnsi="宋体"/>
          <w:szCs w:val="21"/>
          <w:highlight w:val="none"/>
        </w:rPr>
        <w:t>中可根据项目具体情况进行调整，须配合供应商工作且不得以此作为索赔、调整价格的理由），</w:t>
      </w:r>
      <w:r>
        <w:rPr>
          <w:rFonts w:hint="eastAsia" w:ascii="宋体" w:hAnsi="宋体" w:cs="宋体"/>
          <w:szCs w:val="21"/>
          <w:highlight w:val="none"/>
        </w:rPr>
        <w:t>造价咨询单位根据采购人的委托内容提供相应服务、提交工作成果报告，并在授权范围内实施控</w:t>
      </w:r>
      <w:r>
        <w:rPr>
          <w:rFonts w:hint="eastAsia" w:ascii="宋体" w:hAnsi="宋体" w:cs="宋体"/>
          <w:szCs w:val="21"/>
        </w:rPr>
        <w:t>制管理。</w:t>
      </w:r>
    </w:p>
    <w:p>
      <w:pPr>
        <w:pStyle w:val="6"/>
        <w:spacing w:before="0" w:after="0" w:line="560" w:lineRule="exact"/>
        <w:ind w:firstLine="421" w:firstLineChars="200"/>
        <w:rPr>
          <w:rFonts w:hint="eastAsia" w:asciiTheme="minorEastAsia" w:hAnsiTheme="minorEastAsia" w:eastAsiaTheme="minorEastAsia" w:cstheme="minorEastAsia"/>
          <w:sz w:val="21"/>
          <w:szCs w:val="21"/>
        </w:rPr>
      </w:pPr>
      <w:bookmarkStart w:id="14" w:name="_Toc92461554"/>
      <w:bookmarkStart w:id="15" w:name="_Toc35393799"/>
      <w:bookmarkStart w:id="16" w:name="_Toc28359013"/>
      <w:bookmarkStart w:id="17" w:name="_Toc22847"/>
      <w:bookmarkStart w:id="18" w:name="_Toc35393630"/>
      <w:bookmarkStart w:id="19" w:name="_Toc28359090"/>
      <w:r>
        <w:rPr>
          <w:rFonts w:hint="eastAsia" w:asciiTheme="minorEastAsia" w:hAnsiTheme="minorEastAsia" w:eastAsiaTheme="minorEastAsia" w:cstheme="minorEastAsia"/>
          <w:sz w:val="21"/>
          <w:szCs w:val="21"/>
        </w:rPr>
        <w:t>二、供应商的资格要求</w:t>
      </w:r>
      <w:bookmarkEnd w:id="14"/>
      <w:bookmarkEnd w:id="15"/>
      <w:bookmarkEnd w:id="16"/>
      <w:bookmarkEnd w:id="17"/>
      <w:bookmarkEnd w:id="18"/>
      <w:bookmarkEnd w:id="19"/>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pPr>
        <w:spacing w:line="560" w:lineRule="exact"/>
        <w:ind w:firstLine="420" w:firstLineChars="200"/>
      </w:pPr>
      <w:r>
        <w:rPr>
          <w:rFonts w:hint="eastAsia" w:asciiTheme="minorEastAsia" w:hAnsiTheme="minorEastAsia" w:eastAsiaTheme="minorEastAsia" w:cstheme="minorEastAsia"/>
          <w:szCs w:val="21"/>
        </w:rPr>
        <w:t>2.落实政府采购政策需满足的资格要求：</w:t>
      </w:r>
    </w:p>
    <w:p>
      <w:pPr>
        <w:spacing w:line="560" w:lineRule="exact"/>
        <w:ind w:firstLine="420" w:firstLineChars="200"/>
        <w:rPr>
          <w:rFonts w:hint="eastAsia" w:ascii="宋体" w:hAnsi="宋体"/>
          <w:b/>
          <w:szCs w:val="21"/>
        </w:rPr>
      </w:pPr>
      <w:bookmarkStart w:id="20" w:name="_Toc28359014"/>
      <w:bookmarkStart w:id="21" w:name="_Toc28359091"/>
      <w:r>
        <w:rPr>
          <w:rFonts w:hint="eastAsia" w:asciiTheme="minorEastAsia" w:hAnsiTheme="minorEastAsia" w:eastAsiaTheme="minorEastAsia" w:cstheme="minorEastAsia"/>
          <w:szCs w:val="21"/>
        </w:rPr>
        <w:t>（1）</w:t>
      </w:r>
      <w:r>
        <w:rPr>
          <w:szCs w:val="21"/>
        </w:rPr>
        <w:t>应具备各级市场监督管理部门登记注册的独立企业法人</w:t>
      </w:r>
      <w:r>
        <w:rPr>
          <w:rFonts w:hint="eastAsia"/>
          <w:szCs w:val="21"/>
        </w:rPr>
        <w:t>，</w:t>
      </w:r>
      <w:r>
        <w:rPr>
          <w:szCs w:val="21"/>
        </w:rPr>
        <w:t>具备有效的营业执照或事业单位法人证书或其他类似的法定证明文件</w:t>
      </w:r>
      <w:r>
        <w:rPr>
          <w:rFonts w:hint="eastAsia"/>
          <w:szCs w:val="21"/>
        </w:rPr>
        <w:t>，</w:t>
      </w:r>
      <w:r>
        <w:rPr>
          <w:szCs w:val="21"/>
        </w:rPr>
        <w:t>独立承担民事责任能力的单位</w:t>
      </w:r>
      <w:r>
        <w:rPr>
          <w:rFonts w:hint="eastAsia"/>
          <w:szCs w:val="21"/>
        </w:rPr>
        <w:t>；</w:t>
      </w:r>
      <w:r>
        <w:rPr>
          <w:rFonts w:hint="eastAsia" w:ascii="宋体" w:hAnsi="宋体" w:cs="宋体"/>
          <w:color w:val="000000"/>
          <w:szCs w:val="21"/>
        </w:rPr>
        <w:t>具备工程造价咨询能力，</w:t>
      </w:r>
      <w:r>
        <w:rPr>
          <w:rFonts w:hint="eastAsia" w:asciiTheme="minorEastAsia" w:hAnsiTheme="minorEastAsia" w:eastAsiaTheme="minorEastAsia" w:cstheme="minorEastAsia"/>
          <w:szCs w:val="21"/>
        </w:rPr>
        <w:t>并在人员、设备、资金等方面具有相应的造价咨询能力。</w:t>
      </w:r>
      <w:r>
        <w:rPr>
          <w:rFonts w:hint="eastAsia" w:ascii="宋体" w:hAnsi="宋体"/>
          <w:szCs w:val="21"/>
        </w:rPr>
        <w:t>注：</w:t>
      </w:r>
      <w:r>
        <w:rPr>
          <w:rFonts w:hint="eastAsia" w:ascii="宋体" w:hAnsi="宋体"/>
          <w:b/>
          <w:szCs w:val="21"/>
        </w:rPr>
        <w:t>投标人不能为曾参与或现与该项目有任何审计、造价及其他相关工作联系的单位。</w:t>
      </w:r>
    </w:p>
    <w:p>
      <w:pPr>
        <w:spacing w:line="560" w:lineRule="exact"/>
        <w:ind w:firstLine="420" w:firstLineChars="200"/>
        <w:rPr>
          <w:rFonts w:hint="eastAsia" w:asciiTheme="minorEastAsia" w:hAnsiTheme="minorEastAsia" w:cstheme="minorEastAsia"/>
          <w:szCs w:val="21"/>
        </w:rPr>
      </w:pPr>
      <w:r>
        <w:rPr>
          <w:rFonts w:hint="eastAsia" w:ascii="宋体" w:hAnsi="宋体"/>
          <w:szCs w:val="21"/>
        </w:rPr>
        <w:t>（2）企业业绩要求：无。</w:t>
      </w:r>
    </w:p>
    <w:p>
      <w:pPr>
        <w:spacing w:line="560" w:lineRule="exact"/>
        <w:ind w:firstLine="420" w:firstLineChars="200"/>
        <w:rPr>
          <w:rFonts w:hint="eastAsia" w:asciiTheme="minorEastAsia" w:hAnsiTheme="minorEastAsia" w:cstheme="minorEastAsia"/>
          <w:szCs w:val="21"/>
        </w:rPr>
      </w:pPr>
      <w:r>
        <w:rPr>
          <w:rFonts w:hint="eastAsia" w:asciiTheme="minorEastAsia" w:hAnsiTheme="minorEastAsia" w:eastAsiaTheme="minorEastAsia" w:cstheme="minorEastAsia"/>
          <w:szCs w:val="21"/>
        </w:rPr>
        <w:t>（3）</w:t>
      </w:r>
      <w:r>
        <w:rPr>
          <w:rFonts w:hint="eastAsia" w:ascii="宋体" w:hAnsi="宋体"/>
          <w:szCs w:val="21"/>
        </w:rPr>
        <w:t>造价项目负责人资格要求：</w:t>
      </w:r>
      <w:r>
        <w:rPr>
          <w:rFonts w:hint="eastAsia"/>
          <w:szCs w:val="21"/>
        </w:rPr>
        <w:t>拟派往本项目</w:t>
      </w:r>
      <w:r>
        <w:rPr>
          <w:rFonts w:hint="eastAsia" w:ascii="宋体" w:hAnsi="宋体"/>
          <w:szCs w:val="21"/>
        </w:rPr>
        <w:t>的造价项目负责人</w:t>
      </w:r>
      <w:r>
        <w:rPr>
          <w:rFonts w:hint="eastAsia"/>
          <w:szCs w:val="21"/>
        </w:rPr>
        <w:t>具备建设行政主管部门核发的一级</w:t>
      </w:r>
      <w:r>
        <w:rPr>
          <w:rFonts w:hint="eastAsia" w:ascii="宋体" w:hAnsi="宋体"/>
          <w:szCs w:val="21"/>
        </w:rPr>
        <w:t>造价工程师资格证(或原注册造价工程师资格证）</w:t>
      </w:r>
      <w:r>
        <w:rPr>
          <w:rFonts w:hint="eastAsia"/>
          <w:szCs w:val="21"/>
        </w:rPr>
        <w:t>资格且注册在投标人本单位，具备高级及其以上职称，并提供</w:t>
      </w:r>
      <w:r>
        <w:rPr>
          <w:rFonts w:hint="eastAsia" w:ascii="宋体" w:hAnsi="宋体"/>
          <w:szCs w:val="21"/>
        </w:rPr>
        <w:t>造价项目负责人</w:t>
      </w:r>
      <w:r>
        <w:rPr>
          <w:rFonts w:hint="eastAsia"/>
          <w:szCs w:val="21"/>
        </w:rPr>
        <w:t>关系在本单位劳动保障部门出具的社保证明。</w:t>
      </w:r>
    </w:p>
    <w:p>
      <w:pPr>
        <w:spacing w:line="360" w:lineRule="auto"/>
        <w:ind w:firstLine="420" w:firstLineChars="200"/>
        <w:rPr>
          <w:rFonts w:hint="eastAsia" w:ascii="宋体" w:hAnsi="宋体"/>
          <w:szCs w:val="21"/>
        </w:rPr>
      </w:pPr>
      <w:r>
        <w:rPr>
          <w:rFonts w:hint="eastAsia" w:asciiTheme="minorEastAsia" w:hAnsiTheme="minorEastAsia" w:eastAsiaTheme="minorEastAsia" w:cstheme="minorEastAsia"/>
          <w:szCs w:val="21"/>
        </w:rPr>
        <w:t>（4）项目组其他成员配置要求：拟派往本项目组成员不得少于3人（</w:t>
      </w:r>
      <w:r>
        <w:rPr>
          <w:rFonts w:hint="eastAsia" w:ascii="宋体" w:hAnsi="宋体"/>
          <w:szCs w:val="21"/>
        </w:rPr>
        <w:t>不包含造价项目负责人）</w:t>
      </w:r>
      <w:r>
        <w:rPr>
          <w:rFonts w:hint="eastAsia" w:asciiTheme="minorEastAsia" w:hAnsiTheme="minorEastAsia" w:eastAsiaTheme="minorEastAsia" w:cstheme="minorEastAsia"/>
          <w:szCs w:val="21"/>
        </w:rPr>
        <w:t>。拟派往本项目的项目组成员中，须包含但不限于（项目负责人除外）：①</w:t>
      </w:r>
      <w:r>
        <w:rPr>
          <w:rFonts w:hint="eastAsia" w:ascii="宋体" w:hAnsi="宋体"/>
          <w:szCs w:val="21"/>
        </w:rPr>
        <w:t>工程造价审计人员2名及以上人员须具备一级造价工程师资格证(或原注册造价工程师资格证），其中1名安装专业、1名土建专业，有相关工作经验；</w:t>
      </w:r>
      <w:r>
        <w:rPr>
          <w:rFonts w:hint="eastAsia" w:ascii="汉仪书宋二S" w:hAnsi="汉仪书宋二S" w:eastAsia="汉仪书宋二S" w:cs="汉仪书宋二S"/>
          <w:szCs w:val="21"/>
        </w:rPr>
        <w:t>②</w:t>
      </w:r>
      <w:r>
        <w:rPr>
          <w:rFonts w:hint="eastAsia" w:ascii="宋体" w:hAnsi="宋体"/>
          <w:szCs w:val="21"/>
        </w:rPr>
        <w:t>项目组成员须提供劳动合同或关系在本单位劳动保障部门出具的社保证明。</w:t>
      </w:r>
    </w:p>
    <w:p>
      <w:pPr>
        <w:spacing w:line="560" w:lineRule="exact"/>
        <w:ind w:firstLine="420" w:firstLineChars="200"/>
        <w:rPr>
          <w:rFonts w:hint="eastAsia" w:ascii="宋体" w:hAnsi="宋体"/>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5</w:t>
      </w:r>
      <w:r>
        <w:rPr>
          <w:rFonts w:hint="eastAsia" w:asciiTheme="minorEastAsia" w:hAnsiTheme="minorEastAsia" w:eastAsiaTheme="minorEastAsia" w:cstheme="minorEastAsia"/>
          <w:szCs w:val="21"/>
        </w:rPr>
        <w:t>）财务要求：</w:t>
      </w:r>
      <w:r>
        <w:rPr>
          <w:rFonts w:hint="eastAsia" w:ascii="宋体" w:hAnsi="宋体"/>
          <w:szCs w:val="21"/>
        </w:rPr>
        <w:t>投标人财务状况良好，提供近三年（2021年～2023年）经第三方机构审计的审计报告及财务报表（包括资产负债表、现金流量表和利润表）。投标人若为事业单位的，不需提供利润表；新成立企业不满三年的须提供成立至今经第三方机构审计的审计报告及财务报表（包括资产负债表、现金流量表和利润表）。</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6</w:t>
      </w:r>
      <w:r>
        <w:rPr>
          <w:rFonts w:hint="eastAsia" w:asciiTheme="minorEastAsia" w:hAnsiTheme="minorEastAsia" w:eastAsiaTheme="minorEastAsia" w:cstheme="minorEastAsia"/>
          <w:szCs w:val="21"/>
        </w:rPr>
        <w:t>）提供2023年1月至今任意3个月缴纳税金和社保资金的证明材料（成立未满3个月的提供成立以来的税收和社保资金缴纳凭证或相关情况说明；依法免税或不需要缴纳社会保障资金的供应商，应提供相应文件证明其依法免税或不需要缴纳社会保障资金）。</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7</w:t>
      </w:r>
      <w:r>
        <w:rPr>
          <w:rFonts w:hint="eastAsia" w:asciiTheme="minorEastAsia" w:hAnsiTheme="minorEastAsia" w:eastAsiaTheme="minorEastAsia" w:cstheme="minorEastAsia"/>
          <w:szCs w:val="21"/>
        </w:rPr>
        <w:t>）信誉要求：</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1）履约情况：无因供应商违约或不恰当履约引起的合同中止、纠纷、争议、仲裁和诉讼记录，无竞标资格被取消的情形（供应商自行承诺）；</w:t>
      </w:r>
    </w:p>
    <w:p>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2）信誉情况：供应商</w:t>
      </w:r>
      <w:r>
        <w:rPr>
          <w:rFonts w:hint="eastAsia" w:ascii="宋体" w:hAnsi="宋体"/>
          <w:szCs w:val="21"/>
        </w:rPr>
        <w:t>2019年至今未有当事人不良行为名单公告等情况，具有良好的商业信誉，没有处</w:t>
      </w:r>
      <w:r>
        <w:rPr>
          <w:rFonts w:hint="eastAsia" w:ascii="宋体" w:hAnsi="宋体"/>
          <w:szCs w:val="21"/>
          <w:highlight w:val="none"/>
        </w:rPr>
        <w:t>于被责令停产，财产被冻结、接管、破产状态，2019年至今无违法违纪经营行为。</w:t>
      </w:r>
    </w:p>
    <w:p>
      <w:pPr>
        <w:spacing w:line="560" w:lineRule="exact"/>
        <w:ind w:firstLine="420" w:firstLineChars="200"/>
        <w:rPr>
          <w:rFonts w:hint="eastAsia" w:asciiTheme="minorEastAsia" w:hAnsiTheme="minorEastAsia" w:cstheme="minorEastAsia"/>
          <w:szCs w:val="21"/>
          <w:highlight w:val="none"/>
        </w:rPr>
      </w:pPr>
      <w:r>
        <w:rPr>
          <w:rFonts w:hint="eastAsia" w:asciiTheme="minorEastAsia" w:hAnsiTheme="minorEastAsia" w:eastAsiaTheme="minorEastAsia" w:cstheme="minorEastAsia"/>
          <w:szCs w:val="21"/>
          <w:highlight w:val="none"/>
        </w:rPr>
        <w:t>3）供应商在“信用中国”网站(www.creditchina.gov.cn)无失信被执行人记录、重大税收违法案件当事人记录，且在中国政府采购网(www.ccgp.gov.cn)没有政府采购严重违法失信行为记录（被禁止在一定期限内参加政府采购活动但期限届满的除外），</w:t>
      </w:r>
      <w:r>
        <w:rPr>
          <w:rFonts w:hint="eastAsia" w:ascii="宋体" w:hAnsi="宋体"/>
          <w:szCs w:val="21"/>
          <w:highlight w:val="none"/>
        </w:rPr>
        <w:t>“中国裁判文书网https://wenshu.court.gov.cn/”行贿、受贿记录查询（查询对象包含公司、法定代表人及项目负责人）</w:t>
      </w:r>
      <w:r>
        <w:rPr>
          <w:rFonts w:hint="eastAsia" w:asciiTheme="minorEastAsia" w:hAnsiTheme="minorEastAsia" w:eastAsiaTheme="minorEastAsia" w:cstheme="minorEastAsia"/>
          <w:szCs w:val="21"/>
          <w:highlight w:val="none"/>
        </w:rPr>
        <w:t>。</w:t>
      </w:r>
      <w:bookmarkStart w:id="22" w:name="_Hlk180756917"/>
      <w:r>
        <w:rPr>
          <w:rFonts w:hint="eastAsia" w:asciiTheme="minorEastAsia" w:hAnsiTheme="minorEastAsia" w:eastAsiaTheme="minorEastAsia" w:cstheme="minorEastAsia"/>
          <w:szCs w:val="21"/>
          <w:highlight w:val="none"/>
        </w:rPr>
        <w:t>提供本项目公告发布以后（含发布当日）至响应文件提交截止时间前的查询结果网页打印件，查询结果以采购人查询结果为准</w:t>
      </w:r>
      <w:r>
        <w:rPr>
          <w:rFonts w:hint="eastAsia" w:ascii="宋体" w:hAnsi="宋体"/>
          <w:bCs/>
          <w:color w:val="000000"/>
          <w:szCs w:val="21"/>
          <w:highlight w:val="none"/>
        </w:rPr>
        <w:t>；</w:t>
      </w:r>
      <w:bookmarkEnd w:id="22"/>
    </w:p>
    <w:p>
      <w:pPr>
        <w:autoSpaceDE w:val="0"/>
        <w:autoSpaceDN w:val="0"/>
        <w:adjustRightInd w:val="0"/>
        <w:spacing w:line="560" w:lineRule="exact"/>
        <w:ind w:firstLine="421" w:firstLineChars="200"/>
        <w:rPr>
          <w:rFonts w:hint="eastAsia" w:asciiTheme="minorEastAsia" w:hAnsiTheme="minorEastAsia" w:eastAsiaTheme="minorEastAsia" w:cstheme="minorEastAsia"/>
          <w:b/>
          <w:bCs/>
          <w:color w:val="auto"/>
          <w:szCs w:val="21"/>
          <w:highlight w:val="none"/>
        </w:rPr>
      </w:pPr>
      <w:bookmarkStart w:id="23" w:name="_Toc35393631"/>
      <w:bookmarkStart w:id="24" w:name="_Toc92461555"/>
      <w:bookmarkStart w:id="25" w:name="_Toc6129"/>
      <w:bookmarkStart w:id="26" w:name="_Toc35393800"/>
      <w:r>
        <w:rPr>
          <w:rFonts w:hint="eastAsia" w:asciiTheme="minorEastAsia" w:hAnsiTheme="minorEastAsia" w:eastAsiaTheme="minorEastAsia" w:cstheme="minorEastAsia"/>
          <w:b/>
          <w:bCs/>
          <w:color w:val="auto"/>
          <w:szCs w:val="21"/>
          <w:highlight w:val="none"/>
        </w:rPr>
        <w:t>三、落实政府采购政策需满足的资格要求：</w:t>
      </w:r>
    </w:p>
    <w:p>
      <w:pPr>
        <w:spacing w:line="560" w:lineRule="exact"/>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根据《政府采购促进中小企业发展管理办法》（财库〔2020〕46号）及《关于进一步加大政府采购支持中小企业力度的通知》（财库[2022]19号）的规定，对符合采购文件要求的小型和微型企业给予价格扣除10%，用扣除后的价格参与评审；</w:t>
      </w:r>
      <w:bookmarkStart w:id="27" w:name="_Hlk180757021"/>
      <w:r>
        <w:rPr>
          <w:rFonts w:hint="eastAsia" w:ascii="宋体" w:hAnsi="宋体"/>
          <w:color w:val="auto"/>
          <w:szCs w:val="21"/>
          <w:highlight w:val="none"/>
        </w:rPr>
        <w:t xml:space="preserve"> 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根据《关于促进残疾人就业政府采购政策的通知》(财库[2017]141号)的规定，残疾人福利性单位优惠政策，残疾人福利性单位参与本项目投标时，提供《残疾人福利性单位声明函》并对声明的真实性负责，视同小型、微型企业。</w:t>
      </w:r>
    </w:p>
    <w:bookmarkEnd w:id="20"/>
    <w:bookmarkEnd w:id="21"/>
    <w:bookmarkEnd w:id="23"/>
    <w:bookmarkEnd w:id="24"/>
    <w:bookmarkEnd w:id="25"/>
    <w:bookmarkEnd w:id="26"/>
    <w:bookmarkEnd w:id="27"/>
    <w:p>
      <w:pPr>
        <w:pageBreakBefore w:val="0"/>
        <w:kinsoku/>
        <w:wordWrap/>
        <w:overflowPunct/>
        <w:topLinePunct w:val="0"/>
        <w:bidi w:val="0"/>
        <w:snapToGrid/>
        <w:spacing w:line="560" w:lineRule="exact"/>
        <w:ind w:left="0" w:leftChars="0" w:right="0" w:rightChars="0" w:firstLine="421" w:firstLineChars="200"/>
        <w:textAlignment w:val="auto"/>
        <w:rPr>
          <w:rFonts w:hint="eastAsia" w:asciiTheme="minorEastAsia" w:hAnsiTheme="minorEastAsia" w:eastAsiaTheme="minorEastAsia" w:cstheme="minorEastAsia"/>
          <w:b/>
          <w:bCs/>
          <w:sz w:val="21"/>
          <w:szCs w:val="21"/>
        </w:rPr>
      </w:pPr>
      <w:bookmarkStart w:id="28" w:name="_Toc1830"/>
      <w:bookmarkStart w:id="29" w:name="_Toc28359015"/>
      <w:bookmarkStart w:id="30" w:name="_Toc92461556"/>
      <w:bookmarkStart w:id="31" w:name="_Toc35393632"/>
      <w:bookmarkStart w:id="32" w:name="_Toc35393801"/>
      <w:bookmarkStart w:id="33" w:name="_Toc28359092"/>
      <w:r>
        <w:rPr>
          <w:rFonts w:hint="eastAsia" w:asciiTheme="minorEastAsia" w:hAnsiTheme="minorEastAsia" w:eastAsiaTheme="minorEastAsia" w:cstheme="minorEastAsia"/>
          <w:b/>
          <w:bCs/>
          <w:sz w:val="21"/>
          <w:szCs w:val="21"/>
          <w:lang w:val="en-US" w:eastAsia="zh-CN"/>
        </w:rPr>
        <w:t>四、获取采购文件</w:t>
      </w:r>
    </w:p>
    <w:p>
      <w:pPr>
        <w:pageBreakBefore w:val="0"/>
        <w:kinsoku/>
        <w:wordWrap/>
        <w:overflowPunct/>
        <w:topLinePunct w:val="0"/>
        <w:bidi w:val="0"/>
        <w:snapToGrid/>
        <w:spacing w:line="560" w:lineRule="exact"/>
        <w:ind w:left="0" w:leftChars="0" w:right="0" w:rightChars="0"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shd w:val="clear" w:color="auto" w:fill="FFFFFF"/>
        </w:rPr>
        <w:t>凡有意参与该项目的供应商</w:t>
      </w:r>
      <w:r>
        <w:rPr>
          <w:rFonts w:hint="eastAsia" w:asciiTheme="majorEastAsia" w:hAnsiTheme="majorEastAsia" w:eastAsiaTheme="majorEastAsia" w:cstheme="majorEastAsia"/>
          <w:sz w:val="21"/>
          <w:szCs w:val="21"/>
          <w:shd w:val="clear" w:color="auto" w:fill="FFFFFF"/>
          <w:lang w:eastAsia="zh-CN"/>
        </w:rPr>
        <w:t>自行登录</w:t>
      </w:r>
      <w:r>
        <w:rPr>
          <w:rFonts w:hint="eastAsia" w:asciiTheme="minorEastAsia" w:hAnsiTheme="minorEastAsia" w:eastAsiaTheme="minorEastAsia" w:cstheme="minorEastAsia"/>
          <w:sz w:val="21"/>
          <w:szCs w:val="21"/>
          <w:lang w:eastAsia="zh-CN"/>
        </w:rPr>
        <w:t>昆明市呈贡区人民政府官网（</w:t>
      </w:r>
      <w:r>
        <w:rPr>
          <w:rFonts w:hint="eastAsia" w:asciiTheme="minorEastAsia" w:hAnsiTheme="minorEastAsia" w:eastAsiaTheme="minorEastAsia" w:cstheme="minorEastAsia"/>
          <w:sz w:val="21"/>
          <w:szCs w:val="21"/>
        </w:rPr>
        <w:t>http://www.</w:t>
      </w:r>
      <w:r>
        <w:rPr>
          <w:rFonts w:hint="eastAsia" w:asciiTheme="minorEastAsia" w:hAnsiTheme="minorEastAsia" w:eastAsiaTheme="minorEastAsia" w:cstheme="minorEastAsia"/>
          <w:sz w:val="21"/>
          <w:szCs w:val="21"/>
          <w:lang w:val="en-US" w:eastAsia="zh-CN"/>
        </w:rPr>
        <w:t>kmcg.gov.cn</w:t>
      </w:r>
      <w:r>
        <w:rPr>
          <w:rFonts w:hint="eastAsia" w:asciiTheme="minorEastAsia" w:hAnsiTheme="minorEastAsia" w:eastAsiaTheme="minorEastAsia" w:cstheme="minorEastAsia"/>
          <w:sz w:val="21"/>
          <w:szCs w:val="21"/>
        </w:rPr>
        <w:t>/）</w:t>
      </w:r>
      <w:r>
        <w:rPr>
          <w:rFonts w:hint="eastAsia" w:asciiTheme="majorEastAsia" w:hAnsiTheme="majorEastAsia" w:eastAsiaTheme="majorEastAsia" w:cstheme="majorEastAsia"/>
          <w:sz w:val="21"/>
          <w:szCs w:val="21"/>
          <w:shd w:val="clear" w:color="auto" w:fill="FFFFFF"/>
          <w:lang w:eastAsia="zh-CN"/>
        </w:rPr>
        <w:t>下载本项目竞争性磋商文件，按照竞争性磋商文件的要求编制响应文件。</w:t>
      </w:r>
    </w:p>
    <w:p>
      <w:pPr>
        <w:numPr>
          <w:ilvl w:val="-1"/>
          <w:numId w:val="0"/>
        </w:numPr>
        <w:spacing w:line="560" w:lineRule="exact"/>
        <w:ind w:firstLine="421"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五、报名响应时间</w:t>
      </w:r>
    </w:p>
    <w:p>
      <w:pPr>
        <w:pStyle w:val="2"/>
        <w:spacing w:line="56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highlight w:val="none"/>
          <w:lang w:eastAsia="zh-CN"/>
        </w:rPr>
        <w:t>凡有意参加的各位供应商，请于</w:t>
      </w:r>
      <w:r>
        <w:rPr>
          <w:rFonts w:hint="eastAsia" w:asciiTheme="minorEastAsia" w:hAnsiTheme="minorEastAsia" w:eastAsiaTheme="minorEastAsia" w:cstheme="minorEastAsia"/>
          <w:b w:val="0"/>
          <w:bCs w:val="0"/>
          <w:sz w:val="21"/>
          <w:szCs w:val="21"/>
          <w:highlight w:val="none"/>
          <w:lang w:val="en-US" w:eastAsia="zh-CN"/>
        </w:rPr>
        <w:t>2024年12月23日17：00前电话报名进行登记。</w:t>
      </w:r>
    </w:p>
    <w:p>
      <w:pPr>
        <w:numPr>
          <w:ilvl w:val="-1"/>
          <w:numId w:val="0"/>
        </w:numPr>
        <w:spacing w:line="560" w:lineRule="exact"/>
        <w:ind w:firstLine="421"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六、</w:t>
      </w:r>
      <w:r>
        <w:rPr>
          <w:rFonts w:hint="eastAsia" w:asciiTheme="minorEastAsia" w:hAnsiTheme="minorEastAsia" w:eastAsiaTheme="minorEastAsia" w:cstheme="minorEastAsia"/>
          <w:b/>
          <w:bCs/>
          <w:szCs w:val="21"/>
          <w:highlight w:val="none"/>
        </w:rPr>
        <w:t>响应文件提交</w:t>
      </w:r>
      <w:bookmarkEnd w:id="28"/>
      <w:bookmarkEnd w:id="29"/>
      <w:bookmarkEnd w:id="30"/>
      <w:bookmarkEnd w:id="31"/>
      <w:bookmarkEnd w:id="32"/>
      <w:bookmarkEnd w:id="33"/>
      <w:r>
        <w:rPr>
          <w:rFonts w:hint="eastAsia" w:asciiTheme="minorEastAsia" w:hAnsiTheme="minorEastAsia" w:eastAsiaTheme="minorEastAsia" w:cstheme="minorEastAsia"/>
          <w:b/>
          <w:bCs/>
          <w:szCs w:val="21"/>
          <w:highlight w:val="none"/>
          <w:lang w:eastAsia="zh-CN"/>
        </w:rPr>
        <w:t>时间</w:t>
      </w:r>
    </w:p>
    <w:p>
      <w:pPr>
        <w:numPr>
          <w:ilvl w:val="-1"/>
          <w:numId w:val="0"/>
        </w:numPr>
        <w:spacing w:line="560" w:lineRule="exact"/>
        <w:ind w:firstLine="420" w:firstLineChars="200"/>
        <w:rPr>
          <w:rFonts w:hint="eastAsia"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截止时间：</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bCs/>
          <w:szCs w:val="21"/>
          <w:highlight w:val="none"/>
        </w:rPr>
        <w:t>（北京时间）。</w:t>
      </w:r>
    </w:p>
    <w:p>
      <w:pPr>
        <w:spacing w:line="560" w:lineRule="exact"/>
        <w:ind w:firstLine="420"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u w:val="single"/>
        </w:rPr>
        <w:t>昆明呈贡区住房和城乡建设局（呈贡区惠景园D7栋1228室）</w:t>
      </w:r>
    </w:p>
    <w:p>
      <w:pPr>
        <w:numPr>
          <w:ilvl w:val="-1"/>
          <w:numId w:val="0"/>
        </w:numPr>
        <w:spacing w:line="560" w:lineRule="exact"/>
        <w:ind w:firstLine="421"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七、开启时间</w:t>
      </w:r>
    </w:p>
    <w:p>
      <w:pPr>
        <w:spacing w:line="560" w:lineRule="exact"/>
        <w:ind w:firstLine="420" w:firstLineChars="200"/>
        <w:rPr>
          <w:rFonts w:hint="eastAsia"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1"/>
          <w:highlight w:val="none"/>
        </w:rPr>
        <w:t>时间：</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bCs/>
          <w:szCs w:val="21"/>
          <w:highlight w:val="none"/>
        </w:rPr>
        <w:t>（北京时间）</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u w:val="single"/>
        </w:rPr>
        <w:t>昆明呈贡区住房和城乡建设局（呈贡区惠景园D7栋1228室）</w:t>
      </w:r>
      <w:bookmarkStart w:id="34" w:name="_Toc35393802"/>
      <w:bookmarkStart w:id="35" w:name="_Toc28359093"/>
      <w:bookmarkStart w:id="36" w:name="_Toc13787"/>
      <w:bookmarkStart w:id="37" w:name="_Toc35393633"/>
      <w:bookmarkStart w:id="38" w:name="_Toc28359016"/>
      <w:bookmarkStart w:id="39" w:name="_Toc92461557"/>
    </w:p>
    <w:bookmarkEnd w:id="34"/>
    <w:bookmarkEnd w:id="35"/>
    <w:bookmarkEnd w:id="36"/>
    <w:bookmarkEnd w:id="37"/>
    <w:bookmarkEnd w:id="38"/>
    <w:bookmarkEnd w:id="39"/>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磋商方式：本项目采用“综合评估法”。</w:t>
      </w:r>
      <w:bookmarkStart w:id="40" w:name="_Toc28359094"/>
      <w:bookmarkStart w:id="41" w:name="_Toc28359017"/>
      <w:bookmarkStart w:id="42" w:name="_Toc35393803"/>
      <w:bookmarkStart w:id="43" w:name="_Toc31283"/>
      <w:bookmarkStart w:id="44" w:name="_Toc92461558"/>
      <w:bookmarkStart w:id="45" w:name="_Toc35393634"/>
    </w:p>
    <w:bookmarkEnd w:id="40"/>
    <w:bookmarkEnd w:id="41"/>
    <w:bookmarkEnd w:id="42"/>
    <w:bookmarkEnd w:id="43"/>
    <w:bookmarkEnd w:id="44"/>
    <w:bookmarkEnd w:id="45"/>
    <w:p>
      <w:pPr>
        <w:pageBreakBefore w:val="0"/>
        <w:kinsoku/>
        <w:wordWrap/>
        <w:overflowPunct/>
        <w:topLinePunct w:val="0"/>
        <w:bidi w:val="0"/>
        <w:snapToGrid/>
        <w:spacing w:line="560" w:lineRule="exact"/>
        <w:ind w:left="0" w:leftChars="0" w:right="0" w:rightChars="0" w:firstLine="421" w:firstLineChars="200"/>
        <w:textAlignment w:val="auto"/>
        <w:rPr>
          <w:rFonts w:asciiTheme="minorEastAsia" w:hAnsiTheme="minorEastAsia" w:eastAsiaTheme="minorEastAsia" w:cstheme="minorEastAsia"/>
          <w:b/>
          <w:bCs/>
          <w:sz w:val="21"/>
          <w:szCs w:val="21"/>
        </w:rPr>
      </w:pPr>
      <w:bookmarkStart w:id="46" w:name="_Toc35393805"/>
      <w:bookmarkStart w:id="47" w:name="_Toc28359018"/>
      <w:bookmarkStart w:id="48" w:name="_Toc35393636"/>
      <w:bookmarkStart w:id="49" w:name="_Toc92461560"/>
      <w:bookmarkStart w:id="50" w:name="_Toc28359095"/>
      <w:bookmarkStart w:id="51" w:name="_Toc3531"/>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rPr>
        <w:t>、其他补充事宜</w:t>
      </w:r>
    </w:p>
    <w:p>
      <w:pPr>
        <w:pageBreakBefore w:val="0"/>
        <w:kinsoku/>
        <w:wordWrap/>
        <w:overflowPunct/>
        <w:topLinePunct w:val="0"/>
        <w:bidi w:val="0"/>
        <w:snapToGrid/>
        <w:spacing w:line="560" w:lineRule="exact"/>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本项目竞争性磋商公告在</w:t>
      </w:r>
      <w:r>
        <w:rPr>
          <w:rFonts w:hint="eastAsia" w:asciiTheme="minorEastAsia" w:hAnsiTheme="minorEastAsia" w:eastAsiaTheme="minorEastAsia" w:cstheme="minorEastAsia"/>
          <w:sz w:val="21"/>
          <w:szCs w:val="21"/>
          <w:lang w:eastAsia="zh-CN"/>
        </w:rPr>
        <w:t>昆明市呈贡区人民政府官网（</w:t>
      </w:r>
      <w:r>
        <w:rPr>
          <w:rFonts w:hint="eastAsia" w:asciiTheme="minorEastAsia" w:hAnsiTheme="minorEastAsia" w:eastAsiaTheme="minorEastAsia" w:cstheme="minorEastAsia"/>
          <w:sz w:val="21"/>
          <w:szCs w:val="21"/>
        </w:rPr>
        <w:t>http://www.</w:t>
      </w:r>
      <w:r>
        <w:rPr>
          <w:rFonts w:hint="eastAsia" w:asciiTheme="minorEastAsia" w:hAnsiTheme="minorEastAsia" w:eastAsiaTheme="minorEastAsia" w:cstheme="minorEastAsia"/>
          <w:sz w:val="21"/>
          <w:szCs w:val="21"/>
          <w:lang w:val="en-US" w:eastAsia="zh-CN"/>
        </w:rPr>
        <w:t>kmcg.gov.cn</w:t>
      </w:r>
      <w:r>
        <w:rPr>
          <w:rFonts w:hint="eastAsia" w:asciiTheme="minorEastAsia" w:hAnsiTheme="minorEastAsia" w:eastAsiaTheme="minorEastAsia" w:cstheme="minorEastAsia"/>
          <w:sz w:val="21"/>
          <w:szCs w:val="21"/>
        </w:rPr>
        <w:t>/）网上发布（注：我</w:t>
      </w:r>
      <w:r>
        <w:rPr>
          <w:rFonts w:hint="eastAsia" w:asciiTheme="minorEastAsia" w:hAnsiTheme="minorEastAsia" w:eastAsiaTheme="minorEastAsia" w:cstheme="minorEastAsia"/>
          <w:sz w:val="21"/>
          <w:szCs w:val="21"/>
          <w:lang w:eastAsia="zh-CN"/>
        </w:rPr>
        <w:t>局</w:t>
      </w:r>
      <w:r>
        <w:rPr>
          <w:rFonts w:hint="eastAsia" w:asciiTheme="minorEastAsia" w:hAnsiTheme="minorEastAsia" w:eastAsiaTheme="minorEastAsia" w:cstheme="minorEastAsia"/>
          <w:sz w:val="21"/>
          <w:szCs w:val="21"/>
        </w:rPr>
        <w:t>对其他网站或媒体转载的公告及公告内容不承担任何责任）。</w:t>
      </w:r>
    </w:p>
    <w:p>
      <w:pPr>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eastAsia="zh-CN"/>
        </w:rPr>
        <w:t>九</w:t>
      </w:r>
      <w:r>
        <w:rPr>
          <w:rFonts w:hint="eastAsia" w:asciiTheme="minorEastAsia" w:hAnsiTheme="minorEastAsia" w:eastAsiaTheme="minorEastAsia" w:cstheme="minorEastAsia"/>
          <w:b/>
          <w:bCs/>
          <w:szCs w:val="21"/>
        </w:rPr>
        <w:t>、凡对本次采购提出询问，请按以下方式联系</w:t>
      </w:r>
      <w:bookmarkEnd w:id="46"/>
      <w:bookmarkEnd w:id="47"/>
      <w:bookmarkEnd w:id="48"/>
      <w:bookmarkEnd w:id="49"/>
      <w:bookmarkEnd w:id="50"/>
      <w:bookmarkEnd w:id="51"/>
    </w:p>
    <w:p>
      <w:pPr>
        <w:spacing w:line="560" w:lineRule="exact"/>
        <w:ind w:firstLine="420" w:firstLineChars="200"/>
        <w:rPr>
          <w:rFonts w:hint="eastAsia" w:asciiTheme="minorEastAsia" w:hAnsiTheme="minorEastAsia" w:eastAsiaTheme="minorEastAsia" w:cstheme="minorEastAsia"/>
          <w:b/>
          <w:szCs w:val="21"/>
        </w:rPr>
      </w:pPr>
      <w:bookmarkStart w:id="52" w:name="_Toc35393637"/>
      <w:bookmarkStart w:id="53" w:name="_Toc35393806"/>
      <w:bookmarkStart w:id="54" w:name="_Toc28359019"/>
      <w:bookmarkStart w:id="55" w:name="_Toc28359096"/>
      <w:r>
        <w:rPr>
          <w:rFonts w:hint="eastAsia" w:asciiTheme="minorEastAsia" w:hAnsiTheme="minorEastAsia" w:eastAsiaTheme="minorEastAsia" w:cstheme="minorEastAsia"/>
          <w:szCs w:val="21"/>
        </w:rPr>
        <w:t>采购人信息</w:t>
      </w:r>
      <w:bookmarkEnd w:id="52"/>
      <w:bookmarkEnd w:id="53"/>
      <w:bookmarkEnd w:id="54"/>
      <w:bookmarkEnd w:id="55"/>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称：昆明市呈贡区住房和城乡建设局</w:t>
      </w:r>
    </w:p>
    <w:p>
      <w:pPr>
        <w:pStyle w:val="9"/>
        <w:spacing w:line="560" w:lineRule="exact"/>
        <w:ind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址：云南省昆明市呈贡区惠景园D7栋12楼</w:t>
      </w:r>
    </w:p>
    <w:p>
      <w:pPr>
        <w:pStyle w:val="9"/>
        <w:spacing w:line="560" w:lineRule="exact"/>
        <w:ind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联系人：杨老师</w:t>
      </w:r>
    </w:p>
    <w:p>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联系方式：0871-67478374</w:t>
      </w:r>
    </w:p>
    <w:bookmarkEnd w:id="5"/>
    <w:bookmarkEnd w:id="6"/>
    <w:p>
      <w:pPr>
        <w:spacing w:line="560" w:lineRule="exact"/>
        <w:ind w:firstLine="421" w:firstLineChars="200"/>
        <w:jc w:val="both"/>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Cs w:val="21"/>
        </w:rPr>
        <w:br w:type="page"/>
      </w:r>
      <w:bookmarkStart w:id="56" w:name="_Toc436942607"/>
      <w:bookmarkStart w:id="57" w:name="_Toc21724"/>
      <w:bookmarkStart w:id="58" w:name="_Toc7568"/>
      <w:bookmarkStart w:id="59" w:name="_Toc20046"/>
      <w:bookmarkStart w:id="60" w:name="_Toc30129"/>
      <w:bookmarkStart w:id="61" w:name="_Toc20992"/>
      <w:bookmarkStart w:id="62" w:name="_Toc12730"/>
      <w:bookmarkStart w:id="63" w:name="_Toc29096"/>
      <w:r>
        <w:rPr>
          <w:rFonts w:hint="eastAsia" w:asciiTheme="minorEastAsia" w:hAnsiTheme="minorEastAsia" w:eastAsiaTheme="minorEastAsia" w:cstheme="minorEastAsia"/>
          <w:b/>
          <w:sz w:val="44"/>
          <w:szCs w:val="44"/>
        </w:rPr>
        <w:t xml:space="preserve">第二章  </w:t>
      </w:r>
      <w:bookmarkEnd w:id="56"/>
      <w:bookmarkEnd w:id="57"/>
      <w:bookmarkEnd w:id="58"/>
      <w:bookmarkEnd w:id="59"/>
      <w:bookmarkEnd w:id="60"/>
      <w:bookmarkEnd w:id="61"/>
      <w:bookmarkEnd w:id="62"/>
      <w:r>
        <w:rPr>
          <w:rFonts w:hint="eastAsia" w:asciiTheme="minorEastAsia" w:hAnsiTheme="minorEastAsia" w:eastAsiaTheme="minorEastAsia" w:cstheme="minorEastAsia"/>
          <w:b/>
          <w:sz w:val="44"/>
          <w:szCs w:val="44"/>
        </w:rPr>
        <w:t>供应商须知</w:t>
      </w:r>
      <w:bookmarkEnd w:id="63"/>
    </w:p>
    <w:p>
      <w:pPr>
        <w:pStyle w:val="6"/>
        <w:spacing w:before="120" w:after="120" w:line="360" w:lineRule="auto"/>
        <w:ind w:firstLine="0"/>
        <w:jc w:val="center"/>
        <w:rPr>
          <w:rFonts w:hint="eastAsia" w:asciiTheme="minorEastAsia" w:hAnsiTheme="minorEastAsia" w:eastAsiaTheme="minorEastAsia" w:cstheme="minorEastAsia"/>
          <w:b w:val="0"/>
          <w:bCs w:val="0"/>
          <w:sz w:val="44"/>
          <w:szCs w:val="44"/>
        </w:rPr>
      </w:pPr>
      <w:bookmarkStart w:id="64" w:name="_Toc7638"/>
      <w:r>
        <w:rPr>
          <w:rFonts w:hint="eastAsia" w:asciiTheme="minorEastAsia" w:hAnsiTheme="minorEastAsia" w:eastAsiaTheme="minorEastAsia" w:cstheme="minorEastAsia"/>
          <w:b w:val="0"/>
          <w:bCs w:val="0"/>
          <w:sz w:val="44"/>
          <w:szCs w:val="44"/>
        </w:rPr>
        <w:t>供应商须知前附表</w:t>
      </w:r>
      <w:bookmarkEnd w:id="64"/>
    </w:p>
    <w:tbl>
      <w:tblPr>
        <w:tblStyle w:val="2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00"/>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71" w:type="dxa"/>
            <w:vAlign w:val="center"/>
          </w:tcPr>
          <w:p>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条款号</w:t>
            </w:r>
          </w:p>
        </w:tc>
        <w:tc>
          <w:tcPr>
            <w:tcW w:w="2400" w:type="dxa"/>
            <w:vAlign w:val="center"/>
          </w:tcPr>
          <w:p>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 款 名 称</w:t>
            </w:r>
          </w:p>
        </w:tc>
        <w:tc>
          <w:tcPr>
            <w:tcW w:w="6889" w:type="dxa"/>
            <w:vAlign w:val="center"/>
          </w:tcPr>
          <w:p>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1" w:type="dxa"/>
            <w:vMerge w:val="restart"/>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400" w:type="dxa"/>
            <w:vAlign w:val="center"/>
          </w:tcPr>
          <w:p>
            <w:pPr>
              <w:pStyle w:val="14"/>
              <w:spacing w:line="360" w:lineRule="auto"/>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bCs/>
                <w:szCs w:val="21"/>
              </w:rPr>
              <w:t>采购人</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采购人：昆明市呈贡区住房和城乡建设局</w:t>
            </w:r>
          </w:p>
          <w:p>
            <w:pPr>
              <w:widowControl/>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联系人：杨老师</w:t>
            </w:r>
          </w:p>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联系电话：0871-67478374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71" w:type="dxa"/>
            <w:vMerge w:val="continue"/>
            <w:vAlign w:val="center"/>
          </w:tcPr>
          <w:p>
            <w:pPr>
              <w:spacing w:line="360" w:lineRule="auto"/>
              <w:rPr>
                <w:rFonts w:hint="eastAsia" w:asciiTheme="minorEastAsia" w:hAnsiTheme="minorEastAsia" w:eastAsiaTheme="minorEastAsia" w:cstheme="minorEastAsia"/>
                <w:szCs w:val="21"/>
              </w:rPr>
            </w:pP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6889" w:type="dxa"/>
            <w:vAlign w:val="center"/>
          </w:tcPr>
          <w:p>
            <w:pPr>
              <w:autoSpaceDE w:val="0"/>
              <w:autoSpaceDN w:val="0"/>
              <w:adjustRightIn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资金来源</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2400"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详见第一章 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2400"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服务周期</w:t>
            </w:r>
          </w:p>
        </w:tc>
        <w:tc>
          <w:tcPr>
            <w:tcW w:w="6889" w:type="dxa"/>
            <w:vAlign w:val="center"/>
          </w:tcPr>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合同签订后至完成本项目采购范围内所约定的编审服务内容，并出具审核报告后终止。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质量要求</w:t>
            </w:r>
          </w:p>
        </w:tc>
        <w:tc>
          <w:tcPr>
            <w:tcW w:w="6889" w:type="dxa"/>
            <w:vAlign w:val="center"/>
          </w:tcPr>
          <w:p>
            <w:pPr>
              <w:pStyle w:val="14"/>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符合《建设工程造价咨询成果文件质量标准》（CECA/GC 7-2012）、《中华人民共和国审计法》、《企业会计准则》及国家、地方、行业现行的相关造价审计服务标准、项目造价管理规定及审计管理的有关规定及规范的要求，且需满足后期政府审计针对本项目设施运行管理及行政管理工作提出的审计意见及要求，同时符合采购人要求。以确保成果资料完整、真实准确、清晰有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最高限价</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万元（</w:t>
            </w:r>
            <w:r>
              <w:rPr>
                <w:rFonts w:hint="eastAsia" w:asciiTheme="minorEastAsia" w:hAnsiTheme="minorEastAsia" w:eastAsiaTheme="minorEastAsia" w:cstheme="minorEastAsia"/>
                <w:szCs w:val="21"/>
                <w:lang w:eastAsia="zh-CN"/>
              </w:rPr>
              <w:t>肆拾万元整</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供应商资格</w:t>
            </w:r>
          </w:p>
        </w:tc>
        <w:tc>
          <w:tcPr>
            <w:tcW w:w="6889" w:type="dxa"/>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详见第一章竞争性磋商公告“二”项要求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w:t>
            </w:r>
          </w:p>
        </w:tc>
        <w:tc>
          <w:tcPr>
            <w:tcW w:w="2400" w:type="dxa"/>
            <w:vAlign w:val="center"/>
          </w:tcPr>
          <w:p>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政府采购优惠政策</w:t>
            </w:r>
          </w:p>
        </w:tc>
        <w:tc>
          <w:tcPr>
            <w:tcW w:w="6889" w:type="dxa"/>
          </w:tcPr>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落实政府采购政策需满足的资格要求：</w:t>
            </w:r>
          </w:p>
          <w:p>
            <w:pPr>
              <w:spacing w:line="5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根据《政府采购促进中小企业发展管理办法》（财库〔2020〕46号）及《关于进一步加大政府采购支持中小企业力度的通知》（财库[2022]19号）的规定，对符合采购文件要求的小型和微型企业给予价格扣除10%，用扣除后的价格参与评审； </w:t>
            </w:r>
            <w:r>
              <w:rPr>
                <w:rFonts w:hint="eastAsia" w:ascii="宋体" w:hAnsi="宋体"/>
                <w:color w:val="auto"/>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根据《关于促进残疾人就业政府采购政策的通知》(财库[2017]141号)的规定，残疾人福利性单位优惠政策，残疾人福利性单位参与本项目投标时，提供《残疾人福利性单位声明函》并对声明的真实性负责，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4.4</w:t>
            </w:r>
          </w:p>
        </w:tc>
        <w:tc>
          <w:tcPr>
            <w:tcW w:w="2400" w:type="dxa"/>
            <w:vAlign w:val="center"/>
          </w:tcPr>
          <w:p>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是否接受联合体竞标</w:t>
            </w:r>
          </w:p>
        </w:tc>
        <w:tc>
          <w:tcPr>
            <w:tcW w:w="6889" w:type="dxa"/>
            <w:vAlign w:val="center"/>
          </w:tcPr>
          <w:p>
            <w:pPr>
              <w:pStyle w:val="14"/>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不</w:t>
            </w:r>
            <w:r>
              <w:rPr>
                <w:rFonts w:hint="eastAsia" w:asciiTheme="minorEastAsia" w:hAnsiTheme="minorEastAsia" w:eastAsiaTheme="minorEastAsia" w:cstheme="minorEastAsia"/>
                <w:color w:val="auto"/>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w:t>
            </w:r>
          </w:p>
        </w:tc>
        <w:tc>
          <w:tcPr>
            <w:tcW w:w="2400" w:type="dxa"/>
            <w:vAlign w:val="center"/>
          </w:tcPr>
          <w:p>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竞争性磋商文件澄清</w:t>
            </w:r>
          </w:p>
          <w:p>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截止时间</w:t>
            </w:r>
          </w:p>
        </w:tc>
        <w:tc>
          <w:tcPr>
            <w:tcW w:w="6889" w:type="dxa"/>
            <w:vAlign w:val="center"/>
          </w:tcPr>
          <w:p>
            <w:pPr>
              <w:autoSpaceDE w:val="0"/>
              <w:autoSpaceDN w:val="0"/>
              <w:snapToGrid w:val="0"/>
              <w:spacing w:line="360" w:lineRule="auto"/>
              <w:textAlignment w:val="bottom"/>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竞标截止时间前5日。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竞标报价</w:t>
            </w:r>
          </w:p>
        </w:tc>
        <w:tc>
          <w:tcPr>
            <w:tcW w:w="6889" w:type="dxa"/>
            <w:vAlign w:val="center"/>
          </w:tcPr>
          <w:p>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本次招标内容计费基数为：最高限价：</w:t>
            </w: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万元</w:t>
            </w:r>
          </w:p>
          <w:p>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专业调整系数为：1.0</w:t>
            </w:r>
          </w:p>
          <w:p>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（１）竞标报价应包括完成磋商文件中所确定的委托的范围和业务所需的全部费用，最终于实际发生类别计算。</w:t>
            </w:r>
          </w:p>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（２）本项目报价参考《云南省物价局关于调整建设工程造价咨询服务收费标准的通知》（云价综合［2012］66号）的规定及相关收费计价文件，</w:t>
            </w:r>
            <w:r>
              <w:rPr>
                <w:rFonts w:hint="eastAsia"/>
                <w:color w:val="000000" w:themeColor="text1"/>
                <w:szCs w:val="21"/>
                <w14:textFill>
                  <w14:solidFill>
                    <w14:schemeClr w14:val="tx1"/>
                  </w14:solidFill>
                </w14:textFill>
              </w:rPr>
              <w:t>并结合本</w:t>
            </w:r>
            <w:r>
              <w:rPr>
                <w:rFonts w:hint="eastAsia" w:asciiTheme="minorEastAsia" w:hAnsiTheme="minorEastAsia" w:eastAsiaTheme="minorEastAsia" w:cstheme="minorEastAsia"/>
                <w:szCs w:val="21"/>
              </w:rPr>
              <w:t>竞争性磋商公告</w:t>
            </w:r>
            <w:r>
              <w:rPr>
                <w:rFonts w:hint="eastAsia"/>
                <w:color w:val="000000" w:themeColor="text1"/>
                <w14:textFill>
                  <w14:solidFill>
                    <w14:schemeClr w14:val="tx1"/>
                  </w14:solidFill>
                </w14:textFill>
              </w:rPr>
              <w:t>规定的</w:t>
            </w:r>
            <w:r>
              <w:rPr>
                <w:rFonts w:hint="eastAsia"/>
                <w:color w:val="000000" w:themeColor="text1"/>
                <w:lang w:eastAsia="zh-CN"/>
                <w14:textFill>
                  <w14:solidFill>
                    <w14:schemeClr w14:val="tx1"/>
                  </w14:solidFill>
                </w14:textFill>
              </w:rPr>
              <w:t>工程结算审核</w:t>
            </w:r>
            <w:r>
              <w:rPr>
                <w:rFonts w:hint="eastAsia" w:asciiTheme="minorEastAsia" w:hAnsiTheme="minorEastAsia" w:eastAsiaTheme="minorEastAsia" w:cstheme="minorEastAsia"/>
                <w:szCs w:val="21"/>
              </w:rPr>
              <w:t>工作</w:t>
            </w:r>
            <w:r>
              <w:rPr>
                <w:rFonts w:hint="eastAsia"/>
                <w:color w:val="000000" w:themeColor="text1"/>
                <w14:textFill>
                  <w14:solidFill>
                    <w14:schemeClr w14:val="tx1"/>
                  </w14:solidFill>
                </w14:textFill>
              </w:rPr>
              <w:t>服务范围，根据市场情况自行测算开展本咨询工作所需的全部费用，按照总价包干形式报价。</w:t>
            </w:r>
          </w:p>
          <w:p>
            <w:pPr>
              <w:autoSpaceDE w:val="0"/>
              <w:autoSpaceDN w:val="0"/>
              <w:spacing w:line="360" w:lineRule="auto"/>
              <w:rPr>
                <w:color w:val="FF0000"/>
              </w:rPr>
            </w:pPr>
            <w:r>
              <w:rPr>
                <w:rFonts w:hint="eastAsia"/>
                <w:color w:val="000000" w:themeColor="text1"/>
                <w14:textFill>
                  <w14:solidFill>
                    <w14:schemeClr w14:val="tx1"/>
                  </w14:solidFill>
                </w14:textFill>
              </w:rPr>
              <w:t>（３）本次采购的竞标报价为供应商实施完成合同委托的服务内容及技术要求等全部费用。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15.1</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响应文件有效期</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16.1</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响应文件份数</w:t>
            </w:r>
          </w:p>
        </w:tc>
        <w:tc>
          <w:tcPr>
            <w:tcW w:w="6889" w:type="dxa"/>
            <w:vAlign w:val="center"/>
          </w:tcPr>
          <w:p>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纸质版</w:t>
            </w:r>
            <w:r>
              <w:rPr>
                <w:rFonts w:hint="eastAsia" w:asciiTheme="minorEastAsia" w:hAnsiTheme="minorEastAsia" w:eastAsiaTheme="minorEastAsia" w:cstheme="minorEastAsia"/>
                <w:szCs w:val="21"/>
              </w:rPr>
              <w:t>一份，电子版(U盘）一份。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pPr>
              <w:widowControl/>
              <w:snapToGrid w:val="0"/>
              <w:spacing w:line="360" w:lineRule="auto"/>
              <w:ind w:left="63" w:leftChars="30" w:right="63" w:rightChars="3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w:t>
            </w:r>
          </w:p>
        </w:tc>
        <w:tc>
          <w:tcPr>
            <w:tcW w:w="2400" w:type="dxa"/>
          </w:tcPr>
          <w:p>
            <w:pPr>
              <w:spacing w:line="360" w:lineRule="auto"/>
              <w:ind w:firstLine="420" w:firstLineChars="200"/>
              <w:jc w:val="center"/>
              <w:rPr>
                <w:rFonts w:hint="eastAsia" w:ascii="宋体" w:hAnsi="宋体" w:cs="宋体"/>
                <w:szCs w:val="21"/>
              </w:rPr>
            </w:pPr>
          </w:p>
          <w:p>
            <w:pPr>
              <w:spacing w:line="360" w:lineRule="auto"/>
              <w:ind w:firstLine="420" w:firstLineChars="200"/>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签字或盖章要求</w:t>
            </w:r>
          </w:p>
        </w:tc>
        <w:tc>
          <w:tcPr>
            <w:tcW w:w="6889" w:type="dxa"/>
          </w:tcPr>
          <w:p>
            <w:pPr>
              <w:spacing w:line="360" w:lineRule="auto"/>
              <w:rPr>
                <w:rFonts w:hint="eastAsia" w:ascii="宋体" w:hAnsi="宋体" w:cs="宋体"/>
                <w:szCs w:val="21"/>
              </w:rPr>
            </w:pPr>
            <w:r>
              <w:rPr>
                <w:rFonts w:hint="eastAsia" w:ascii="宋体" w:hAnsi="宋体" w:cs="宋体"/>
                <w:szCs w:val="21"/>
              </w:rPr>
              <w:t>响应文件中的封面和本磋商文件提供的响应文件格式规定要求签字盖章页的文件上均应加盖供应商印章并经法定代表人或其委托代理人签字或盖章 (鲜章) 。</w:t>
            </w:r>
          </w:p>
          <w:p>
            <w:pPr>
              <w:spacing w:line="360" w:lineRule="auto"/>
              <w:rPr>
                <w:rFonts w:hint="eastAsia" w:ascii="宋体" w:hAnsi="宋体" w:cs="宋体"/>
                <w:szCs w:val="21"/>
              </w:rPr>
            </w:pPr>
            <w:r>
              <w:rPr>
                <w:rFonts w:hint="eastAsia" w:ascii="宋体" w:hAnsi="宋体" w:cs="宋体"/>
                <w:szCs w:val="21"/>
              </w:rPr>
              <w:t>响应文件签署授权委托书格式、签字、盖章及内容均应符合要求，否则响应文件签署授权委托书无效。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pPr>
              <w:widowControl/>
              <w:snapToGrid w:val="0"/>
              <w:spacing w:line="360" w:lineRule="auto"/>
              <w:ind w:left="63" w:leftChars="30" w:right="63" w:rightChars="3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w:t>
            </w:r>
          </w:p>
        </w:tc>
        <w:tc>
          <w:tcPr>
            <w:tcW w:w="2400" w:type="dxa"/>
            <w:vAlign w:val="center"/>
          </w:tcPr>
          <w:p>
            <w:pPr>
              <w:spacing w:line="360" w:lineRule="auto"/>
              <w:jc w:val="center"/>
              <w:rPr>
                <w:rFonts w:hint="eastAsia" w:ascii="宋体" w:hAnsi="宋体" w:cs="宋体"/>
                <w:szCs w:val="21"/>
              </w:rPr>
            </w:pPr>
            <w:r>
              <w:rPr>
                <w:rFonts w:hint="eastAsia" w:ascii="宋体" w:hAnsi="宋体" w:cs="宋体"/>
                <w:szCs w:val="21"/>
              </w:rPr>
              <w:t>磋商响应文件编制及装订要求</w:t>
            </w:r>
          </w:p>
        </w:tc>
        <w:tc>
          <w:tcPr>
            <w:tcW w:w="6889" w:type="dxa"/>
            <w:vAlign w:val="center"/>
          </w:tcPr>
          <w:p>
            <w:pPr>
              <w:spacing w:line="360" w:lineRule="auto"/>
              <w:rPr>
                <w:rFonts w:hint="eastAsia" w:ascii="宋体" w:hAnsi="宋体" w:cs="宋体"/>
                <w:szCs w:val="21"/>
              </w:rPr>
            </w:pPr>
            <w:r>
              <w:rPr>
                <w:rFonts w:hint="eastAsia" w:ascii="宋体" w:hAnsi="宋体" w:cs="宋体"/>
                <w:szCs w:val="21"/>
              </w:rPr>
              <w:t>（１）编制要求：文本文件采用DOC格式。</w:t>
            </w:r>
          </w:p>
          <w:p>
            <w:pPr>
              <w:spacing w:line="360" w:lineRule="auto"/>
              <w:rPr>
                <w:rFonts w:hint="eastAsia" w:ascii="宋体" w:hAnsi="宋体" w:cs="宋体"/>
                <w:szCs w:val="21"/>
              </w:rPr>
            </w:pPr>
            <w:r>
              <w:rPr>
                <w:rFonts w:hint="eastAsia" w:ascii="宋体" w:hAnsi="宋体" w:cs="宋体"/>
                <w:szCs w:val="21"/>
              </w:rPr>
              <w:t>（２）装订要求：</w:t>
            </w:r>
          </w:p>
          <w:p>
            <w:pPr>
              <w:spacing w:line="360" w:lineRule="auto"/>
              <w:ind w:firstLine="420" w:firstLineChars="200"/>
            </w:pPr>
            <w:r>
              <w:rPr>
                <w:rFonts w:hint="eastAsia" w:ascii="宋体" w:hAnsi="宋体" w:cs="宋体"/>
                <w:szCs w:val="21"/>
              </w:rPr>
              <w:t>纸质版申请文件</w:t>
            </w:r>
            <w:r>
              <w:rPr>
                <w:rFonts w:hint="eastAsia" w:ascii="宋体" w:hAnsi="宋体" w:cs="宋体"/>
                <w:szCs w:val="21"/>
                <w:lang w:eastAsia="zh-CN"/>
              </w:rPr>
              <w:t>、</w:t>
            </w:r>
            <w:r>
              <w:rPr>
                <w:rFonts w:hint="eastAsia" w:ascii="宋体" w:hAnsi="宋体" w:cs="宋体"/>
                <w:szCs w:val="21"/>
              </w:rPr>
              <w:t>电子文件一份(U盘）。按申请文件格式签字、盖章，无需逐页签字、盖章。申请文件应编制目录，正本应装订成册，采用订本式或胶装式进行装订，不得采用活页方式进行装订。书脊处标明项目名称及供应商名称。响应文件封面上清楚地标明“正本”，</w:t>
            </w:r>
            <w:r>
              <w:rPr>
                <w:rFonts w:hint="eastAsia" w:ascii="宋体" w:hAnsi="宋体" w:cs="宋体"/>
                <w:szCs w:val="21"/>
                <w:lang w:eastAsia="zh-CN"/>
              </w:rPr>
              <w:t>纸质版</w:t>
            </w:r>
            <w:r>
              <w:rPr>
                <w:rFonts w:hint="eastAsia" w:ascii="宋体" w:hAnsi="宋体" w:cs="宋体"/>
                <w:szCs w:val="21"/>
              </w:rPr>
              <w:t>与密封的电子U盘统一密封在一个密封袋内，密封袋封口处加盖单位公章或密封章。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pPr>
              <w:widowControl/>
              <w:snapToGrid w:val="0"/>
              <w:spacing w:line="360" w:lineRule="auto"/>
              <w:ind w:left="63" w:leftChars="30" w:right="63" w:rightChars="30"/>
              <w:jc w:val="center"/>
              <w:rPr>
                <w:rFonts w:hint="eastAsia" w:ascii="宋体" w:hAnsi="宋体" w:cs="宋体"/>
                <w:w w:val="94"/>
                <w:szCs w:val="21"/>
              </w:rPr>
            </w:pPr>
            <w:r>
              <w:rPr>
                <w:rFonts w:hint="eastAsia" w:asciiTheme="minorEastAsia" w:hAnsiTheme="minorEastAsia" w:eastAsiaTheme="minorEastAsia" w:cstheme="minorEastAsia"/>
                <w:szCs w:val="21"/>
              </w:rPr>
              <w:t>16.4</w:t>
            </w:r>
          </w:p>
        </w:tc>
        <w:tc>
          <w:tcPr>
            <w:tcW w:w="2400" w:type="dxa"/>
          </w:tcPr>
          <w:p>
            <w:pPr>
              <w:spacing w:line="360" w:lineRule="auto"/>
              <w:rPr>
                <w:rFonts w:ascii="Arial"/>
              </w:rPr>
            </w:pPr>
          </w:p>
          <w:p>
            <w:pPr>
              <w:spacing w:line="360" w:lineRule="auto"/>
              <w:rPr>
                <w:rFonts w:ascii="Arial"/>
              </w:rPr>
            </w:pPr>
          </w:p>
          <w:p>
            <w:pPr>
              <w:spacing w:line="360" w:lineRule="auto"/>
              <w:rPr>
                <w:rFonts w:ascii="Arial"/>
              </w:rPr>
            </w:pPr>
          </w:p>
          <w:p>
            <w:pPr>
              <w:spacing w:before="65" w:line="360" w:lineRule="auto"/>
              <w:ind w:left="112"/>
              <w:rPr>
                <w:rFonts w:hint="eastAsia" w:ascii="宋体" w:hAnsi="宋体" w:cs="宋体"/>
                <w:szCs w:val="21"/>
              </w:rPr>
            </w:pPr>
          </w:p>
          <w:p>
            <w:pPr>
              <w:spacing w:before="65" w:line="360" w:lineRule="auto"/>
              <w:rPr>
                <w:rFonts w:hint="eastAsia" w:ascii="宋体" w:hAnsi="宋体" w:cs="宋体"/>
                <w:szCs w:val="21"/>
              </w:rPr>
            </w:pPr>
          </w:p>
          <w:p>
            <w:pPr>
              <w:spacing w:before="65" w:line="360" w:lineRule="auto"/>
              <w:ind w:left="112"/>
              <w:rPr>
                <w:rFonts w:hint="eastAsia" w:ascii="宋体" w:hAnsi="宋体" w:cs="宋体"/>
                <w:szCs w:val="21"/>
              </w:rPr>
            </w:pPr>
            <w:r>
              <w:rPr>
                <w:rFonts w:hint="eastAsia" w:ascii="宋体" w:hAnsi="宋体" w:cs="宋体"/>
                <w:szCs w:val="21"/>
              </w:rPr>
              <w:t>密封套上写明</w:t>
            </w:r>
          </w:p>
        </w:tc>
        <w:tc>
          <w:tcPr>
            <w:tcW w:w="6889" w:type="dxa"/>
          </w:tcPr>
          <w:p>
            <w:pPr>
              <w:spacing w:line="360" w:lineRule="auto"/>
              <w:rPr>
                <w:rFonts w:hint="eastAsia" w:ascii="宋体" w:hAnsi="宋体" w:cs="宋体"/>
                <w:b/>
                <w:bCs/>
                <w:szCs w:val="21"/>
              </w:rPr>
            </w:pPr>
            <w:r>
              <w:rPr>
                <w:rFonts w:hint="eastAsia" w:ascii="宋体" w:hAnsi="宋体" w:cs="宋体"/>
                <w:b/>
                <w:bCs/>
                <w:szCs w:val="21"/>
              </w:rPr>
              <w:t>封套写明：</w:t>
            </w:r>
          </w:p>
          <w:p>
            <w:pPr>
              <w:autoSpaceDE w:val="0"/>
              <w:autoSpaceDN w:val="0"/>
              <w:adjustRightInd w:val="0"/>
              <w:rPr>
                <w:rFonts w:hint="eastAsia" w:ascii="宋体" w:hAnsi="宋体" w:cs="宋体"/>
                <w:szCs w:val="21"/>
              </w:rPr>
            </w:pPr>
            <w:r>
              <w:rPr>
                <w:rFonts w:hint="eastAsia" w:ascii="宋体" w:hAnsi="宋体" w:cs="宋体"/>
                <w:szCs w:val="21"/>
              </w:rPr>
              <w:t>（１）</w:t>
            </w: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r>
              <w:rPr>
                <w:rFonts w:hint="eastAsia" w:ascii="宋体" w:hAnsi="宋体" w:cs="宋体"/>
                <w:szCs w:val="21"/>
              </w:rPr>
              <w:t>磋商响应文件；</w:t>
            </w:r>
          </w:p>
          <w:p>
            <w:pPr>
              <w:spacing w:line="360" w:lineRule="auto"/>
              <w:rPr>
                <w:rFonts w:hint="eastAsia" w:ascii="宋体" w:hAnsi="宋体" w:cs="宋体"/>
                <w:szCs w:val="21"/>
              </w:rPr>
            </w:pPr>
            <w:r>
              <w:rPr>
                <w:rFonts w:hint="eastAsia" w:ascii="宋体" w:hAnsi="宋体" w:cs="宋体"/>
                <w:szCs w:val="21"/>
              </w:rPr>
              <w:t>（２）供应商名称</w:t>
            </w:r>
            <w:r>
              <w:rPr>
                <w:rFonts w:hint="eastAsia" w:ascii="宋体" w:hAnsi="宋体" w:cs="宋体"/>
                <w:szCs w:val="21"/>
                <w:u w:val="single"/>
              </w:rPr>
              <w:t xml:space="preserve">：                      </w:t>
            </w:r>
            <w:r>
              <w:rPr>
                <w:rFonts w:hint="eastAsia" w:ascii="宋体" w:hAnsi="宋体" w:cs="宋体"/>
                <w:szCs w:val="21"/>
              </w:rPr>
              <w:t>(加盖供应商单位公章)</w:t>
            </w:r>
          </w:p>
          <w:p>
            <w:pPr>
              <w:spacing w:line="360" w:lineRule="auto"/>
              <w:jc w:val="left"/>
              <w:rPr>
                <w:rFonts w:hint="eastAsia" w:ascii="宋体" w:hAnsi="宋体" w:cs="宋体"/>
                <w:szCs w:val="21"/>
              </w:rPr>
            </w:pPr>
            <w:r>
              <w:rPr>
                <w:rFonts w:hint="eastAsia" w:ascii="宋体" w:hAnsi="宋体" w:cs="宋体"/>
                <w:szCs w:val="21"/>
              </w:rPr>
              <w:t>（３）供应商地址：</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jc w:val="left"/>
              <w:rPr>
                <w:rFonts w:hint="eastAsia" w:ascii="宋体" w:hAnsi="宋体" w:cs="宋体"/>
                <w:szCs w:val="21"/>
              </w:rPr>
            </w:pPr>
            <w:r>
              <w:rPr>
                <w:rFonts w:hint="eastAsia" w:ascii="宋体" w:hAnsi="宋体" w:cs="宋体"/>
                <w:szCs w:val="21"/>
              </w:rPr>
              <w:t>（４）</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宋体" w:hAnsi="宋体" w:cs="宋体"/>
                <w:szCs w:val="21"/>
              </w:rPr>
              <w:t>(北京时间) ，此时间以前不得开启。</w:t>
            </w:r>
          </w:p>
          <w:p>
            <w:pPr>
              <w:spacing w:line="360" w:lineRule="auto"/>
              <w:jc w:val="left"/>
              <w:rPr>
                <w:rFonts w:hint="eastAsia" w:ascii="宋体" w:hAnsi="宋体" w:cs="宋体"/>
                <w:b/>
                <w:bCs/>
                <w:szCs w:val="21"/>
              </w:rPr>
            </w:pPr>
            <w:r>
              <w:rPr>
                <w:rFonts w:hint="eastAsia" w:ascii="宋体" w:hAnsi="宋体" w:cs="宋体"/>
                <w:b/>
                <w:bCs/>
                <w:szCs w:val="21"/>
              </w:rPr>
              <w:t>光盘封套及光盘写明：</w:t>
            </w:r>
          </w:p>
          <w:p>
            <w:pPr>
              <w:autoSpaceDE w:val="0"/>
              <w:autoSpaceDN w:val="0"/>
              <w:adjustRightInd w:val="0"/>
              <w:rPr>
                <w:rFonts w:hint="eastAsia" w:ascii="宋体" w:hAnsi="宋体" w:cs="宋体"/>
                <w:szCs w:val="21"/>
              </w:rPr>
            </w:pP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r>
              <w:rPr>
                <w:rFonts w:hint="eastAsia" w:ascii="宋体" w:hAnsi="宋体" w:cs="宋体"/>
                <w:szCs w:val="21"/>
              </w:rPr>
              <w:t>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19.1</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提交响应文件截止时间</w:t>
            </w:r>
          </w:p>
        </w:tc>
        <w:tc>
          <w:tcPr>
            <w:tcW w:w="6889" w:type="dxa"/>
            <w:vAlign w:val="center"/>
          </w:tcPr>
          <w:p>
            <w:pPr>
              <w:pStyle w:val="14"/>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19.2</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提交响应文件截止地点</w:t>
            </w:r>
          </w:p>
        </w:tc>
        <w:tc>
          <w:tcPr>
            <w:tcW w:w="6889"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昆明呈贡区住房和城乡建设局（呈贡区惠景园D7栋1228室）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2400" w:type="dxa"/>
            <w:vAlign w:val="center"/>
          </w:tcPr>
          <w:p>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评标方法</w:t>
            </w:r>
          </w:p>
        </w:tc>
        <w:tc>
          <w:tcPr>
            <w:tcW w:w="6889"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本项目采用“综合评估法”。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1" w:type="dxa"/>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22</w:t>
            </w:r>
          </w:p>
        </w:tc>
        <w:tc>
          <w:tcPr>
            <w:tcW w:w="9289" w:type="dxa"/>
            <w:gridSpan w:val="2"/>
            <w:vAlign w:val="center"/>
          </w:tcPr>
          <w:p>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0060" w:type="dxa"/>
            <w:gridSpan w:val="3"/>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各供应商在提交响应文件时，请携带以下资料原件至开标现场交由磋商小组进行评审：</w:t>
            </w:r>
          </w:p>
          <w:p>
            <w:pPr>
              <w:pStyle w:val="14"/>
              <w:tabs>
                <w:tab w:val="left" w:pos="908"/>
              </w:tabs>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.法定代表人身份证明书及授权委托书（原件）；</w:t>
            </w:r>
          </w:p>
          <w:p>
            <w:pPr>
              <w:pStyle w:val="14"/>
              <w:tabs>
                <w:tab w:val="left" w:pos="908"/>
              </w:tabs>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法定代表人或其委托代理人的身份证（复印件加盖单位公章）。</w:t>
            </w:r>
          </w:p>
        </w:tc>
      </w:tr>
    </w:tbl>
    <w:p>
      <w:pPr>
        <w:pStyle w:val="14"/>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6"/>
        <w:spacing w:before="0" w:after="0" w:line="560" w:lineRule="exact"/>
        <w:ind w:firstLine="722" w:firstLineChars="200"/>
        <w:jc w:val="center"/>
        <w:rPr>
          <w:rFonts w:hint="eastAsia" w:asciiTheme="minorEastAsia" w:hAnsiTheme="minorEastAsia" w:eastAsiaTheme="minorEastAsia" w:cstheme="minorEastAsia"/>
          <w:sz w:val="36"/>
          <w:szCs w:val="36"/>
        </w:rPr>
      </w:pPr>
      <w:bookmarkStart w:id="65" w:name="_Toc436942609"/>
      <w:bookmarkStart w:id="66" w:name="_Toc29971"/>
      <w:bookmarkStart w:id="67" w:name="_Toc23434"/>
      <w:bookmarkStart w:id="68" w:name="_Toc25713"/>
      <w:bookmarkStart w:id="69" w:name="_Toc25344"/>
      <w:bookmarkStart w:id="70" w:name="_Toc26796"/>
      <w:bookmarkStart w:id="71" w:name="_Toc18580"/>
      <w:bookmarkStart w:id="72" w:name="_Toc9001"/>
      <w:r>
        <w:rPr>
          <w:rFonts w:hint="eastAsia" w:asciiTheme="minorEastAsia" w:hAnsiTheme="minorEastAsia" w:eastAsiaTheme="minorEastAsia" w:cstheme="minorEastAsia"/>
          <w:sz w:val="36"/>
          <w:szCs w:val="36"/>
        </w:rPr>
        <w:t>一、总  则</w:t>
      </w:r>
      <w:bookmarkEnd w:id="65"/>
      <w:bookmarkEnd w:id="66"/>
      <w:bookmarkEnd w:id="67"/>
      <w:bookmarkEnd w:id="68"/>
      <w:bookmarkEnd w:id="69"/>
      <w:bookmarkEnd w:id="70"/>
      <w:bookmarkEnd w:id="71"/>
      <w:bookmarkEnd w:id="72"/>
    </w:p>
    <w:p>
      <w:pPr>
        <w:pStyle w:val="14"/>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 采购人、项目名称</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rPr>
        <w:t>详见竞争性磋商文件“供应商须知前附表”。</w:t>
      </w:r>
    </w:p>
    <w:p>
      <w:pPr>
        <w:pStyle w:val="14"/>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 资金来源</w:t>
      </w:r>
    </w:p>
    <w:p>
      <w:pPr>
        <w:spacing w:line="56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本项目资金来源：</w:t>
      </w:r>
      <w:r>
        <w:rPr>
          <w:rFonts w:hint="eastAsia" w:asciiTheme="minorEastAsia" w:hAnsiTheme="minorEastAsia" w:eastAsiaTheme="minorEastAsia" w:cstheme="minorEastAsia"/>
          <w:szCs w:val="21"/>
        </w:rPr>
        <w:t>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pPr>
        <w:pStyle w:val="14"/>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3.采购范围</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 本项目</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内容：见“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 </w:t>
      </w:r>
      <w:bookmarkStart w:id="73" w:name="_Hlk51667765"/>
      <w:r>
        <w:rPr>
          <w:rFonts w:hint="eastAsia" w:asciiTheme="minorEastAsia" w:hAnsiTheme="minorEastAsia" w:eastAsiaTheme="minorEastAsia" w:cstheme="minorEastAsia"/>
          <w:szCs w:val="21"/>
        </w:rPr>
        <w:t>本项目</w:t>
      </w:r>
      <w:bookmarkEnd w:id="73"/>
      <w:r>
        <w:rPr>
          <w:rFonts w:hint="eastAsia" w:asciiTheme="minorEastAsia" w:hAnsiTheme="minorEastAsia" w:eastAsiaTheme="minorEastAsia" w:cstheme="minorEastAsia"/>
          <w:szCs w:val="21"/>
        </w:rPr>
        <w:t>服务周期：见“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本项目质量要求：见“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 合格的供应商</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 供应商应符合竞争性磋商文件“</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”中规定的条件。</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 供应商应具有良好的商业信誉；具有履行合同所必需的设备和专业技术能力。</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 供应商不得直接或间接地与为本次</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的服务进行设计、编制规范和其他文件的咨询公司、采购人或其附属机构有任何关联。</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 本项目不接受联合体竞标。</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 竞标费用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不论竞标结果如何，供应商均应自行承担所有与编写和提交响应文件有关的全部费用。</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74" w:name="_Toc26000"/>
      <w:bookmarkStart w:id="75" w:name="_Toc32083"/>
      <w:bookmarkStart w:id="76" w:name="_Toc10749"/>
      <w:bookmarkStart w:id="77" w:name="_Toc436942610"/>
      <w:bookmarkStart w:id="78" w:name="_Toc10784"/>
      <w:bookmarkStart w:id="79" w:name="_Toc22015"/>
      <w:bookmarkStart w:id="80" w:name="_Toc15468"/>
      <w:bookmarkStart w:id="81" w:name="_Toc15155"/>
      <w:r>
        <w:rPr>
          <w:rFonts w:hint="eastAsia" w:asciiTheme="minorEastAsia" w:hAnsiTheme="minorEastAsia" w:eastAsiaTheme="minorEastAsia" w:cstheme="minorEastAsia"/>
        </w:rPr>
        <w:t>二、</w:t>
      </w:r>
      <w:bookmarkEnd w:id="74"/>
      <w:bookmarkEnd w:id="75"/>
      <w:bookmarkEnd w:id="76"/>
      <w:bookmarkEnd w:id="77"/>
      <w:r>
        <w:rPr>
          <w:rFonts w:hint="eastAsia" w:asciiTheme="minorEastAsia" w:hAnsiTheme="minorEastAsia" w:eastAsiaTheme="minorEastAsia" w:cstheme="minorEastAsia"/>
        </w:rPr>
        <w:t>竞争性磋商文件</w:t>
      </w:r>
      <w:bookmarkEnd w:id="78"/>
      <w:bookmarkEnd w:id="79"/>
      <w:bookmarkEnd w:id="80"/>
      <w:bookmarkEnd w:id="81"/>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 竞争性磋商文件构成</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要求提供的服务、</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过程及合同条款在竞争性磋商文件中均有说明，竞争性磋商文件共七章，各章的内容如下：</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  竞争性磋商公告</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第二章  供应商须知</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第三章  合同条款及合同格式</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第四章  响应文件格式</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第五章  </w:t>
      </w:r>
      <w:r>
        <w:rPr>
          <w:rFonts w:hint="eastAsia" w:asciiTheme="minorEastAsia" w:hAnsiTheme="minorEastAsia" w:eastAsiaTheme="minorEastAsia" w:cstheme="minorEastAsia"/>
          <w:bCs/>
          <w:szCs w:val="21"/>
        </w:rPr>
        <w:t>项目概况</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第六章  磋商办法（综合评估法）</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第七章  报价说明</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 竞争性磋商文件的澄清</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 供应商应认真审核竞争性磋商文件中的要求，如发现有误或要求不合理的，供应商必须在收到竞争性磋商文件后到“供应商须知前附表”规定截止时间前以信函或传真等书面形式（加盖公章）要求代理机构澄清，否则，由此产生的后果由供应商负责。</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 代理机构将以书面形式答复所有购买竞争性磋商文件的供应商（答复中不包含问题的来源）要求澄清的问题，其他澄清方式为无效。该澄清的内容为竞争性磋商文件的组成部分。</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 竞争性磋商文件的修改</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代理机构对已发出的竞争性磋商文件进行必要澄清或者修改的，于竞争性磋商文件要求提交响应文件截止时间五日前，并以书面形式通知所有竞争性磋商文件收受人。该修改的内容为竞争性磋商文件的组成部分。</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代理机构和</w:t>
      </w:r>
      <w:r>
        <w:rPr>
          <w:rFonts w:hint="eastAsia" w:asciiTheme="minorEastAsia" w:hAnsiTheme="minorEastAsia" w:eastAsiaTheme="minorEastAsia" w:cstheme="minorEastAsia"/>
          <w:bCs/>
          <w:szCs w:val="21"/>
        </w:rPr>
        <w:t>采购人</w:t>
      </w:r>
      <w:r>
        <w:rPr>
          <w:rFonts w:hint="eastAsia" w:asciiTheme="minorEastAsia" w:hAnsiTheme="minorEastAsia" w:eastAsiaTheme="minorEastAsia" w:cstheme="minorEastAsia"/>
          <w:szCs w:val="21"/>
        </w:rPr>
        <w:t>可以视</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具体情况，延长竞标截止时间和开标时间，但至少在竞争性磋商文件要求提交响应文件的截止时间五日前，将变更时间书面通知所有竞争性磋商文件收受人。</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82" w:name="_Toc12469"/>
      <w:bookmarkStart w:id="83" w:name="_Toc1987"/>
      <w:bookmarkStart w:id="84" w:name="_Toc24554"/>
      <w:bookmarkStart w:id="85" w:name="_Toc7932"/>
      <w:bookmarkStart w:id="86" w:name="_Toc24762"/>
      <w:bookmarkStart w:id="87" w:name="_Toc436942611"/>
      <w:bookmarkStart w:id="88" w:name="_Toc7843"/>
      <w:bookmarkStart w:id="89" w:name="_Toc25281"/>
      <w:r>
        <w:rPr>
          <w:rFonts w:hint="eastAsia" w:asciiTheme="minorEastAsia" w:hAnsiTheme="minorEastAsia" w:eastAsiaTheme="minorEastAsia" w:cstheme="minorEastAsia"/>
        </w:rPr>
        <w:t>三、响应文件的编制</w:t>
      </w:r>
      <w:bookmarkEnd w:id="82"/>
      <w:bookmarkEnd w:id="83"/>
      <w:bookmarkEnd w:id="84"/>
      <w:bookmarkEnd w:id="85"/>
      <w:bookmarkEnd w:id="86"/>
      <w:bookmarkEnd w:id="87"/>
      <w:bookmarkEnd w:id="88"/>
      <w:bookmarkEnd w:id="89"/>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 响应文件编写注意事项</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9.1 </w:t>
      </w:r>
      <w:r>
        <w:rPr>
          <w:rFonts w:hint="eastAsia" w:asciiTheme="minorEastAsia" w:hAnsiTheme="minorEastAsia" w:eastAsiaTheme="minorEastAsia" w:cstheme="minorEastAsia"/>
          <w:bCs/>
          <w:szCs w:val="21"/>
        </w:rPr>
        <w:t>供应商</w:t>
      </w:r>
      <w:r>
        <w:rPr>
          <w:rFonts w:hint="eastAsia" w:asciiTheme="minorEastAsia" w:hAnsiTheme="minorEastAsia" w:eastAsiaTheme="minorEastAsia" w:cstheme="minorEastAsia"/>
          <w:szCs w:val="21"/>
        </w:rPr>
        <w:t>应仔细阅读竞争性磋商文件，在完全了解</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的内容要求和商务条件后，编写响应文件。如果没有按照竞争性磋商文件要求提交全部响应文件或者资料，没有对竞争性磋商文件的实质性要求和条件作出响应是供应商的风险，并可能导致该竞标被拒绝。</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9.2 对竞争性磋商文件提出的实质性要求和条件作出响应是指供应商必须对竞争性磋商文件中标明实质性要求和条件的技术参数及性能配置、数量、服务、合同主要条款及其它要求等内容作出满足或者优于原要求和条件的承诺。</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 竞标的语言及计量单位</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 供应商的响应文件以及供应商与代理机构就有关竞标的所有来往函电统一使用中文（特别规定除外）。</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10.2 响应文件中使用的计量单位除竞争性磋商文件中有特殊规定外，一律使用中国法定计量单位。</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 响应文件构成</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供应商编写的响应文件应由下列部分构成，并按以下顺序装订成册。有关文件的提交如未特别注明需提供原件的，可提供复印件。</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竞标报价表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一、磋商申请函</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二、磋商保证书</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三、供应商基本情况表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四、法定代表人身份证明书及授权委托书</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五、财务状况</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六、拟投入本项目的团队人员汇总表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七、项目负责人简历表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八、供应商2019年1月1日至今类似业绩表</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九、企业信誉情况</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十、具备参加政府采购活动条件承诺书</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十一、廉政承诺书</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十二、资格证明文件</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十三、技术方案</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十四、供应商须知前附表规定外的其他材料</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 响应文件的格式要求</w:t>
      </w:r>
    </w:p>
    <w:p>
      <w:pPr>
        <w:pStyle w:val="14"/>
        <w:tabs>
          <w:tab w:val="left" w:pos="3030"/>
        </w:tabs>
        <w:spacing w:line="5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供应商应按第四章“</w:t>
      </w:r>
      <w:r>
        <w:rPr>
          <w:rFonts w:hint="eastAsia" w:asciiTheme="minorEastAsia" w:hAnsiTheme="minorEastAsia" w:eastAsiaTheme="minorEastAsia" w:cstheme="minorEastAsia"/>
          <w:b/>
          <w:szCs w:val="21"/>
        </w:rPr>
        <w:t>响应文件格式</w:t>
      </w:r>
      <w:r>
        <w:rPr>
          <w:rFonts w:hint="eastAsia" w:asciiTheme="minorEastAsia" w:hAnsiTheme="minorEastAsia" w:eastAsiaTheme="minorEastAsia" w:cstheme="minorEastAsia"/>
          <w:szCs w:val="21"/>
        </w:rPr>
        <w:t>”提供的格式完整地填写。</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 竞标报价</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供应商按第七章“</w:t>
      </w:r>
      <w:r>
        <w:rPr>
          <w:rFonts w:hint="eastAsia" w:asciiTheme="minorEastAsia" w:hAnsiTheme="minorEastAsia" w:eastAsiaTheme="minorEastAsia" w:cstheme="minorEastAsia"/>
          <w:b/>
          <w:bCs/>
          <w:szCs w:val="21"/>
        </w:rPr>
        <w:t>报价说明</w:t>
      </w:r>
      <w:r>
        <w:rPr>
          <w:rFonts w:hint="eastAsia" w:asciiTheme="minorEastAsia" w:hAnsiTheme="minorEastAsia" w:eastAsiaTheme="minorEastAsia" w:cstheme="minorEastAsia"/>
          <w:szCs w:val="21"/>
        </w:rPr>
        <w:t>”中的</w:t>
      </w:r>
      <w:r>
        <w:rPr>
          <w:rFonts w:hint="eastAsia" w:asciiTheme="minorEastAsia" w:hAnsiTheme="minorEastAsia" w:eastAsiaTheme="minorEastAsia" w:cstheme="minorEastAsia"/>
          <w:b/>
          <w:bCs/>
          <w:szCs w:val="21"/>
        </w:rPr>
        <w:t>内容作完整唯一报价。</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本项目采用固定总价方式报价，预算金额见“供应商须知前附表”，若供应商的竞标报价超过预算金额，按不实质响应竞争性磋商文件要求处理。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报价应本着合理的原则，采购人不保证报价最低者一定中标。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供应商应遵守有关的国家法律、法令、条例和政府采购有关制度。一旦参加竞标，则应承担相关法律责任。</w:t>
      </w:r>
    </w:p>
    <w:p>
      <w:pPr>
        <w:spacing w:line="560" w:lineRule="exact"/>
        <w:ind w:firstLine="420" w:firstLineChars="200"/>
      </w:pP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 竞标货币</w:t>
      </w:r>
    </w:p>
    <w:p>
      <w:pPr>
        <w:pStyle w:val="14"/>
        <w:spacing w:line="5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竞标应以人民币报价。</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15. 响应文件有效期</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15.1 响应文件有效期必须按“</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”规定的时间保持有效。</w:t>
      </w:r>
    </w:p>
    <w:p>
      <w:pPr>
        <w:pStyle w:val="14"/>
        <w:spacing w:line="56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15.2 在特殊情况下，采购人可与供应商协商延长响应文件的有效期，这种要求与答复均应以书面形式提交。</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16. 响应文件的书写要求</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16.1 响应文件须用不褪色的墨水书写或打印。</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 响应文件的书写应清楚工整,修改处应由供应商的法定代表人或其委托代理人签字或盖章。</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16.3字迹潦草、表达不清、未按要求填写而导致非唯一理解，造成非实质性响应竞争性磋商文件的响应文件将会被认定为无效的竞标。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16.4 响应文件应由法定代表人或其委托代理人在凡规定签名处逐一签名；要求盖公章处应盖单位的公章。</w:t>
      </w:r>
    </w:p>
    <w:p>
      <w:pPr>
        <w:pStyle w:val="14"/>
        <w:spacing w:line="560" w:lineRule="exact"/>
        <w:ind w:firstLine="404" w:firstLineChars="200"/>
        <w:rPr>
          <w:rFonts w:hint="eastAsia" w:asciiTheme="minorEastAsia" w:hAnsiTheme="minorEastAsia" w:eastAsiaTheme="minorEastAsia" w:cstheme="minorEastAsia"/>
          <w:spacing w:val="-4"/>
          <w:szCs w:val="21"/>
        </w:rPr>
      </w:pPr>
      <w:r>
        <w:rPr>
          <w:rFonts w:hint="eastAsia" w:asciiTheme="minorEastAsia" w:hAnsiTheme="minorEastAsia" w:eastAsiaTheme="minorEastAsia" w:cstheme="minorEastAsia"/>
          <w:spacing w:val="-4"/>
          <w:szCs w:val="21"/>
        </w:rPr>
        <w:t>16.5 响应文件应准备正本一份，并按“</w:t>
      </w:r>
      <w:r>
        <w:rPr>
          <w:rFonts w:hint="eastAsia" w:asciiTheme="minorEastAsia" w:hAnsiTheme="minorEastAsia" w:eastAsiaTheme="minorEastAsia" w:cstheme="minorEastAsia"/>
          <w:b/>
          <w:bCs/>
          <w:spacing w:val="-4"/>
          <w:szCs w:val="21"/>
        </w:rPr>
        <w:t>供应商须知前附表</w:t>
      </w:r>
      <w:r>
        <w:rPr>
          <w:rFonts w:hint="eastAsia" w:asciiTheme="minorEastAsia" w:hAnsiTheme="minorEastAsia" w:eastAsiaTheme="minorEastAsia" w:cstheme="minorEastAsia"/>
          <w:spacing w:val="-4"/>
          <w:szCs w:val="21"/>
        </w:rPr>
        <w:t>”中规定的数量准备文件的副本、电子版。响应文件封面上应标明“正本”或“副本”以及项目名称、项目编号、供应商名称等内容。若正本和副本不符，以正本为准，副本可以采用正本的复印件。</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90" w:name="_Toc19495"/>
      <w:bookmarkStart w:id="91" w:name="_Toc20402"/>
      <w:bookmarkStart w:id="92" w:name="_Toc20704"/>
      <w:bookmarkStart w:id="93" w:name="_Toc3782"/>
      <w:bookmarkStart w:id="94" w:name="_Toc436942612"/>
      <w:bookmarkStart w:id="95" w:name="_Toc15715"/>
      <w:bookmarkStart w:id="96" w:name="_Toc21490"/>
      <w:bookmarkStart w:id="97" w:name="_Toc11554"/>
      <w:r>
        <w:rPr>
          <w:rFonts w:hint="eastAsia" w:asciiTheme="minorEastAsia" w:hAnsiTheme="minorEastAsia" w:eastAsiaTheme="minorEastAsia" w:cstheme="minorEastAsia"/>
        </w:rPr>
        <w:t>四、响应文件的提交</w:t>
      </w:r>
      <w:bookmarkEnd w:id="90"/>
      <w:bookmarkEnd w:id="91"/>
      <w:bookmarkEnd w:id="92"/>
      <w:bookmarkEnd w:id="93"/>
      <w:bookmarkEnd w:id="94"/>
      <w:bookmarkEnd w:id="95"/>
      <w:bookmarkEnd w:id="96"/>
      <w:bookmarkEnd w:id="97"/>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 响应文件的密封与标记</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.1 供应商应按“供应商须知前附表”中规定的数量提交响应文件。</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.2 供应商应将竞标正、副本文件装入响应文件袋中加以密封，并在封贴处盖密封章。</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.3 响应文件袋的封面应注明项目名称、</w:t>
      </w:r>
      <w:r>
        <w:rPr>
          <w:rFonts w:hint="eastAsia" w:asciiTheme="minorEastAsia" w:hAnsiTheme="minorEastAsia" w:eastAsiaTheme="minorEastAsia" w:cstheme="minorEastAsia"/>
          <w:bCs/>
          <w:szCs w:val="21"/>
        </w:rPr>
        <w:t>项目编号</w:t>
      </w:r>
      <w:r>
        <w:rPr>
          <w:rFonts w:hint="eastAsia" w:asciiTheme="minorEastAsia" w:hAnsiTheme="minorEastAsia" w:eastAsiaTheme="minorEastAsia" w:cstheme="minorEastAsia"/>
          <w:szCs w:val="21"/>
        </w:rPr>
        <w:t>、供应商名称。</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.4 供应商在提交响应文件时，未按本须知要求密封、标记的，代理机构不予接收。</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b/>
          <w:szCs w:val="21"/>
          <w:lang w:val="en-US" w:eastAsia="zh-CN"/>
        </w:rPr>
        <w:t>8</w:t>
      </w:r>
      <w:r>
        <w:rPr>
          <w:rFonts w:hint="eastAsia" w:asciiTheme="minorEastAsia" w:hAnsiTheme="minorEastAsia" w:eastAsiaTheme="minorEastAsia" w:cstheme="minorEastAsia"/>
          <w:b/>
          <w:szCs w:val="21"/>
        </w:rPr>
        <w:t>. 提交响应文件截止时间和地点</w:t>
      </w:r>
    </w:p>
    <w:p>
      <w:pPr>
        <w:pStyle w:val="14"/>
        <w:spacing w:line="560" w:lineRule="exact"/>
        <w:ind w:firstLine="420"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 xml:space="preserve">.1 </w:t>
      </w:r>
      <w:r>
        <w:rPr>
          <w:rFonts w:hint="eastAsia" w:asciiTheme="minorEastAsia" w:hAnsiTheme="minorEastAsia" w:eastAsiaTheme="minorEastAsia" w:cstheme="minorEastAsia"/>
          <w:spacing w:val="-2"/>
          <w:szCs w:val="21"/>
        </w:rPr>
        <w:t>响应文件的提交不得迟于“</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pacing w:val="-2"/>
          <w:szCs w:val="21"/>
        </w:rPr>
        <w:t>”规定的提交响应文件截止时间。</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.2 供应商必须在规定时间内将响应文件提交到“</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zCs w:val="21"/>
        </w:rPr>
        <w:t>”规定的地点</w:t>
      </w:r>
      <w:r>
        <w:rPr>
          <w:rFonts w:hint="eastAsia" w:asciiTheme="minorEastAsia" w:hAnsiTheme="minorEastAsia" w:eastAsiaTheme="minorEastAsia" w:cstheme="minorEastAsia"/>
          <w:spacing w:val="-2"/>
          <w:szCs w:val="21"/>
        </w:rPr>
        <w:t>。</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98" w:name="_Toc436942613"/>
      <w:bookmarkStart w:id="99" w:name="_Toc30846"/>
      <w:bookmarkStart w:id="100" w:name="_Toc17710"/>
      <w:bookmarkStart w:id="101" w:name="_Toc25696"/>
      <w:bookmarkStart w:id="102" w:name="_Toc21756"/>
      <w:bookmarkStart w:id="103" w:name="_Toc18184"/>
      <w:bookmarkStart w:id="104" w:name="_Toc6703"/>
      <w:bookmarkStart w:id="105" w:name="_Toc15819"/>
      <w:r>
        <w:rPr>
          <w:rFonts w:hint="eastAsia" w:asciiTheme="minorEastAsia" w:hAnsiTheme="minorEastAsia" w:eastAsiaTheme="minorEastAsia" w:cstheme="minorEastAsia"/>
        </w:rPr>
        <w:t>五、开标与评标</w:t>
      </w:r>
      <w:bookmarkEnd w:id="98"/>
      <w:bookmarkEnd w:id="99"/>
      <w:bookmarkEnd w:id="100"/>
      <w:bookmarkEnd w:id="101"/>
      <w:bookmarkEnd w:id="102"/>
      <w:bookmarkEnd w:id="103"/>
      <w:bookmarkEnd w:id="104"/>
      <w:bookmarkEnd w:id="105"/>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19</w:t>
      </w:r>
      <w:r>
        <w:rPr>
          <w:rFonts w:hint="eastAsia" w:asciiTheme="minorEastAsia" w:hAnsiTheme="minorEastAsia" w:eastAsiaTheme="minorEastAsia" w:cstheme="minorEastAsia"/>
          <w:b/>
          <w:szCs w:val="21"/>
        </w:rPr>
        <w:t>. 开标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.1 代理机构将在“</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zCs w:val="21"/>
        </w:rPr>
        <w:t>”规定的时间和地点进行开标，供应商的法定代表人或其委托代理人应参加开标会，</w:t>
      </w:r>
      <w:r>
        <w:rPr>
          <w:rFonts w:hint="eastAsia" w:asciiTheme="minorEastAsia" w:hAnsiTheme="minorEastAsia" w:eastAsiaTheme="minorEastAsia" w:cstheme="minorEastAsia"/>
          <w:b/>
          <w:bCs/>
          <w:szCs w:val="21"/>
        </w:rPr>
        <w:t>如供应商未出席开标会，视为其默认现场开标结果，由此产生的后果由供应商自行负责</w:t>
      </w:r>
      <w:r>
        <w:rPr>
          <w:rFonts w:hint="eastAsia" w:asciiTheme="minorEastAsia" w:hAnsiTheme="minorEastAsia" w:eastAsiaTheme="minorEastAsia" w:cstheme="minorEastAsia"/>
          <w:szCs w:val="21"/>
        </w:rPr>
        <w:t>。</w:t>
      </w:r>
    </w:p>
    <w:p>
      <w:pPr>
        <w:pStyle w:val="14"/>
        <w:spacing w:line="56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.2 开标时将启封响应文件，代理机构宣读供应商名称、竞标报价和服务周期等内容。</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.3 开标程序：</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(1)开标会由代理机构主持，主持人宣布开标会议开始；</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(2)介绍参加开标会的人员名单；</w:t>
      </w:r>
    </w:p>
    <w:p>
      <w:pPr>
        <w:pStyle w:val="14"/>
        <w:spacing w:line="56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(3)本项目为竞争性磋商方式，不进行唱标；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(4)宣布评标期间的有关事项；</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(5)开标会议结束。</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0</w:t>
      </w:r>
      <w:r>
        <w:rPr>
          <w:rFonts w:hint="eastAsia" w:asciiTheme="minorEastAsia" w:hAnsiTheme="minorEastAsia" w:eastAsiaTheme="minorEastAsia" w:cstheme="minorEastAsia"/>
          <w:b/>
          <w:szCs w:val="21"/>
        </w:rPr>
        <w:t>. 评标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.1 评标由采购人依法组建的磋商小组负责。磋商小组由有关技术、经济等方面的专家组成。其中，技术、经济等方面的专家不得少于成员总数的三分之二。</w:t>
      </w:r>
    </w:p>
    <w:p>
      <w:pPr>
        <w:pStyle w:val="14"/>
        <w:spacing w:line="560" w:lineRule="exact"/>
        <w:ind w:firstLine="420" w:firstLineChars="200"/>
        <w:rPr>
          <w:rFonts w:hint="eastAsia" w:asciiTheme="minorEastAsia" w:hAnsiTheme="minorEastAsia" w:eastAsiaTheme="minorEastAsia" w:cstheme="minorEastAsia"/>
          <w:szCs w:val="21"/>
        </w:rPr>
      </w:pPr>
      <w:bookmarkStart w:id="106" w:name="_Toc191374422"/>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.2 评标原则</w:t>
      </w:r>
      <w:bookmarkEnd w:id="106"/>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评标活动遵循公平、公正、科学和择优的原则。</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.3 评标工作程序</w:t>
      </w:r>
    </w:p>
    <w:p>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磋商小组按照第六章“</w:t>
      </w:r>
      <w:r>
        <w:rPr>
          <w:rFonts w:hint="eastAsia" w:asciiTheme="minorEastAsia" w:hAnsiTheme="minorEastAsia" w:eastAsiaTheme="minorEastAsia" w:cstheme="minorEastAsia"/>
          <w:b/>
          <w:szCs w:val="21"/>
        </w:rPr>
        <w:t>磋商办法</w:t>
      </w:r>
      <w:r>
        <w:rPr>
          <w:rFonts w:hint="eastAsia" w:asciiTheme="minorEastAsia" w:hAnsiTheme="minorEastAsia" w:eastAsiaTheme="minorEastAsia" w:cstheme="minorEastAsia"/>
          <w:szCs w:val="21"/>
        </w:rPr>
        <w:t>”规定的方法、评审因素、标准和程序对响应文件进行评审。第六章“</w:t>
      </w:r>
      <w:r>
        <w:rPr>
          <w:rFonts w:hint="eastAsia" w:asciiTheme="minorEastAsia" w:hAnsiTheme="minorEastAsia" w:eastAsiaTheme="minorEastAsia" w:cstheme="minorEastAsia"/>
          <w:b/>
          <w:szCs w:val="21"/>
        </w:rPr>
        <w:t>磋商办法</w:t>
      </w:r>
      <w:r>
        <w:rPr>
          <w:rFonts w:hint="eastAsia" w:asciiTheme="minorEastAsia" w:hAnsiTheme="minorEastAsia" w:eastAsiaTheme="minorEastAsia" w:cstheme="minorEastAsia"/>
          <w:szCs w:val="21"/>
        </w:rPr>
        <w:t>”没有规定的方法、评审因素和标准，不作为评标依据。</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(1)响应文件初审（包括资格性检查和符合性检查）。</w:t>
      </w:r>
      <w:r>
        <w:rPr>
          <w:rFonts w:hint="eastAsia" w:asciiTheme="minorEastAsia" w:hAnsiTheme="minorEastAsia" w:eastAsiaTheme="minorEastAsia" w:cstheme="minorEastAsia"/>
          <w:b/>
          <w:bCs/>
          <w:szCs w:val="21"/>
        </w:rPr>
        <w:t>供应商超出经营范围竞标的、响应文件有效期不符合竞争性磋商文件要求的或响应文件附有采购人不能接受的条件的，该供应商竞标无效</w:t>
      </w:r>
      <w:r>
        <w:rPr>
          <w:rFonts w:hint="eastAsia" w:asciiTheme="minorEastAsia" w:hAnsiTheme="minorEastAsia" w:eastAsiaTheme="minorEastAsia" w:cstheme="minorEastAsia"/>
          <w:szCs w:val="21"/>
        </w:rPr>
        <w:t>。</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澄清有关问题。对响应文件中含义不明确、同类问题表述不一致或者有明显文字和计算错误的内容，磋商小组可以书面形式要求供应商作出必要的澄清、说明或者纠正。供应商的澄清、说明或者补正不得超出响应文件的范围或者改变响应文件的实质性内容。澄清、说明或者补正应当采用书面形式，由其法定代表人或委托代理人签字或盖章确认。供应商的澄清文件是响应文件的组成部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(3)比较与评价。</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(4)推荐成交候选人名单。</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(5)编写评审报告。</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.4 评标过程的保密。开标后，直到授予供应商合同止，凡是属于审查、澄清、评审和比较的有关资料以及授标建议等均不得向供应商或其他无关的人员透露。供应商在评标过程中，所进行的力图影响评标结果的不公正活动，可能导致其竞标被拒绝。</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1</w:t>
      </w:r>
      <w:r>
        <w:rPr>
          <w:rFonts w:hint="eastAsia" w:asciiTheme="minorEastAsia" w:hAnsiTheme="minorEastAsia" w:eastAsiaTheme="minorEastAsia" w:cstheme="minorEastAsia"/>
          <w:b/>
          <w:szCs w:val="21"/>
        </w:rPr>
        <w:t>.响应文件如果出现计算或表达上的错误，修正错误的原则如下：</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（1）响应文件的大写金额和小写金额不一致的，以大写金额为准；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（2）总价金额与按单价汇总金额不一致的，以单价金额计算结果为准；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（3）单价金额小数点有明显错位的，应以总价为准，并修改单价；</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（4）对不同文字文本响应文件的解释发生异议的，以中文文本为准；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（5）按上述修正错误的原则及方法调整或修正响应文件的竞标报价，供应商同意后，调整后的竞标报价对供应商起约束作用。如果供应商不接受修正后的报价，则其竞标将被拒绝并且其磋商保证金也将被没收。</w:t>
      </w:r>
    </w:p>
    <w:p>
      <w:pPr>
        <w:pStyle w:val="14"/>
        <w:spacing w:line="560" w:lineRule="exact"/>
        <w:ind w:firstLine="421"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2</w:t>
      </w:r>
      <w:r>
        <w:rPr>
          <w:rFonts w:hint="eastAsia" w:asciiTheme="minorEastAsia" w:hAnsiTheme="minorEastAsia" w:eastAsiaTheme="minorEastAsia" w:cstheme="minorEastAsia"/>
          <w:b/>
          <w:szCs w:val="21"/>
        </w:rPr>
        <w:t>.在本次招标中，出现下列情形之一的，应予废标：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出现影响招标公正的违法、违规行为的。</w:t>
      </w:r>
    </w:p>
    <w:p>
      <w:pPr>
        <w:spacing w:line="560" w:lineRule="exact"/>
        <w:ind w:firstLine="421"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3</w:t>
      </w:r>
      <w:r>
        <w:rPr>
          <w:rFonts w:hint="eastAsia" w:asciiTheme="minorEastAsia" w:hAnsiTheme="minorEastAsia" w:eastAsiaTheme="minorEastAsia" w:cstheme="minorEastAsia"/>
          <w:b/>
          <w:szCs w:val="21"/>
        </w:rPr>
        <w:t>.磋商办法</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磋商办法：本项目的具体磋商办法详见第六章“</w:t>
      </w:r>
      <w:r>
        <w:rPr>
          <w:rFonts w:hint="eastAsia" w:asciiTheme="minorEastAsia" w:hAnsiTheme="minorEastAsia" w:eastAsiaTheme="minorEastAsia" w:cstheme="minorEastAsia"/>
          <w:b/>
          <w:bCs/>
          <w:szCs w:val="21"/>
        </w:rPr>
        <w:t>磋商办法</w:t>
      </w:r>
      <w:r>
        <w:rPr>
          <w:rFonts w:hint="eastAsia" w:asciiTheme="minorEastAsia" w:hAnsiTheme="minorEastAsia" w:eastAsiaTheme="minorEastAsia" w:cstheme="minorEastAsia"/>
          <w:szCs w:val="21"/>
        </w:rPr>
        <w:t>”。</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107" w:name="_Toc31870"/>
      <w:r>
        <w:rPr>
          <w:rFonts w:hint="eastAsia" w:asciiTheme="minorEastAsia" w:hAnsiTheme="minorEastAsia" w:eastAsiaTheme="minorEastAsia" w:cstheme="minorEastAsia"/>
        </w:rPr>
        <w:t>六、重新招标和不再招标</w:t>
      </w:r>
      <w:bookmarkEnd w:id="107"/>
    </w:p>
    <w:p>
      <w:pPr>
        <w:spacing w:line="560" w:lineRule="exact"/>
        <w:ind w:firstLine="421" w:firstLineChars="200"/>
        <w:jc w:val="left"/>
        <w:rPr>
          <w:rFonts w:hint="eastAsia" w:asciiTheme="minorEastAsia" w:hAnsiTheme="minorEastAsia" w:eastAsiaTheme="minorEastAsia" w:cstheme="minorEastAsia"/>
          <w:b/>
          <w:szCs w:val="21"/>
        </w:rPr>
      </w:pPr>
      <w:bookmarkStart w:id="108" w:name="_Toc334088593"/>
      <w:bookmarkStart w:id="109" w:name="_Toc310591569"/>
      <w:bookmarkStart w:id="110" w:name="_Toc38618022"/>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4</w:t>
      </w:r>
      <w:r>
        <w:rPr>
          <w:rFonts w:hint="eastAsia" w:asciiTheme="minorEastAsia" w:hAnsiTheme="minorEastAsia" w:eastAsiaTheme="minorEastAsia" w:cstheme="minorEastAsia"/>
          <w:b/>
          <w:szCs w:val="21"/>
        </w:rPr>
        <w:t>． 重新招标</w:t>
      </w:r>
      <w:bookmarkEnd w:id="108"/>
      <w:bookmarkEnd w:id="109"/>
      <w:bookmarkEnd w:id="110"/>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有下列情形之一的，采购人将重新招标：</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（1）竞争性磋商响应文件截止时间止，供应商少于3个的；</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（2）经磋商小组评审后否决所有供应商的。</w:t>
      </w:r>
    </w:p>
    <w:p>
      <w:pPr>
        <w:spacing w:line="560" w:lineRule="exact"/>
        <w:ind w:firstLine="421" w:firstLineChars="200"/>
        <w:jc w:val="left"/>
        <w:rPr>
          <w:rFonts w:hint="eastAsia" w:asciiTheme="minorEastAsia" w:hAnsiTheme="minorEastAsia" w:eastAsiaTheme="minorEastAsia" w:cstheme="minorEastAsia"/>
          <w:b/>
          <w:szCs w:val="21"/>
        </w:rPr>
      </w:pPr>
      <w:bookmarkStart w:id="111" w:name="_Toc310591570"/>
      <w:bookmarkStart w:id="112" w:name="_Toc38618023"/>
      <w:bookmarkStart w:id="113" w:name="_Toc358280372"/>
      <w:bookmarkStart w:id="114" w:name="_Toc334088594"/>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 不再招标</w:t>
      </w:r>
      <w:bookmarkEnd w:id="111"/>
      <w:bookmarkEnd w:id="112"/>
      <w:bookmarkEnd w:id="113"/>
      <w:bookmarkEnd w:id="114"/>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重新竞争性磋商后供应商仍少于3个的，可对二家或者一家合格供应商进行磋商。属于必须审批或核准的工程建设项目，经原审批或核准部门批准后不再进行招标。</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115" w:name="_Toc27483"/>
      <w:bookmarkStart w:id="116" w:name="_Toc9952"/>
      <w:bookmarkStart w:id="117" w:name="_Toc13522"/>
      <w:bookmarkStart w:id="118" w:name="_Toc6061"/>
      <w:bookmarkStart w:id="119" w:name="_Toc7805"/>
      <w:bookmarkStart w:id="120" w:name="_Toc13185"/>
      <w:bookmarkStart w:id="121" w:name="_Toc436942614"/>
      <w:bookmarkStart w:id="122" w:name="_Toc29301"/>
      <w:r>
        <w:rPr>
          <w:rFonts w:hint="eastAsia" w:asciiTheme="minorEastAsia" w:hAnsiTheme="minorEastAsia" w:eastAsiaTheme="minorEastAsia" w:cstheme="minorEastAsia"/>
        </w:rPr>
        <w:t>七、中标结果</w:t>
      </w:r>
      <w:bookmarkEnd w:id="115"/>
      <w:bookmarkEnd w:id="116"/>
      <w:bookmarkEnd w:id="117"/>
      <w:bookmarkEnd w:id="118"/>
      <w:bookmarkEnd w:id="119"/>
      <w:bookmarkEnd w:id="120"/>
      <w:bookmarkEnd w:id="121"/>
      <w:bookmarkEnd w:id="122"/>
    </w:p>
    <w:p>
      <w:pPr>
        <w:pStyle w:val="14"/>
        <w:spacing w:line="560" w:lineRule="exact"/>
        <w:ind w:firstLine="421"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6</w:t>
      </w:r>
      <w:r>
        <w:rPr>
          <w:rFonts w:hint="eastAsia" w:asciiTheme="minorEastAsia" w:hAnsiTheme="minorEastAsia" w:eastAsiaTheme="minorEastAsia" w:cstheme="minorEastAsia"/>
          <w:b/>
          <w:szCs w:val="21"/>
        </w:rPr>
        <w:t>. 成交供应商的确定</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 代理机构应当在评审结束后二个工作日内将评审报告送采购人确认。</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.2 采购人应当在收到评审报告后五个工作日内，按照评审报告中推荐的成交供应商顺序确定成交供应商。</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 授标时更改服务内容的权力</w:t>
      </w:r>
    </w:p>
    <w:p>
      <w:pPr>
        <w:pStyle w:val="14"/>
        <w:spacing w:line="56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采购人在授予合同时有权对“</w:t>
      </w:r>
      <w:r>
        <w:rPr>
          <w:rFonts w:hint="eastAsia" w:asciiTheme="minorEastAsia" w:hAnsiTheme="minorEastAsia" w:eastAsiaTheme="minorEastAsia" w:cstheme="minorEastAsia"/>
          <w:b/>
          <w:szCs w:val="21"/>
        </w:rPr>
        <w:t>成果</w:t>
      </w:r>
      <w:r>
        <w:rPr>
          <w:rFonts w:hint="eastAsia" w:asciiTheme="minorEastAsia" w:hAnsiTheme="minorEastAsia" w:eastAsiaTheme="minorEastAsia" w:cstheme="minorEastAsia"/>
          <w:szCs w:val="21"/>
        </w:rPr>
        <w:t>”中规定的服务予以增加或减少（如有），但不得对单价或其它的条款或条件做任何改变。</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rPr>
        <w:t>. 成交通知书</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.1 成交供应商确定后，中标结果由代理机构在网上公告，公示期满向成交供应商发出成交通知书。</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2 成交通知书是合同的一个组成部分。</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.3 代理机构无义务向未中标供应商解释落标原因和退回响应文件。</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29</w:t>
      </w:r>
      <w:r>
        <w:rPr>
          <w:rFonts w:hint="eastAsia" w:asciiTheme="minorEastAsia" w:hAnsiTheme="minorEastAsia" w:eastAsiaTheme="minorEastAsia" w:cstheme="minorEastAsia"/>
          <w:b/>
          <w:bCs/>
          <w:szCs w:val="21"/>
        </w:rPr>
        <w:t>. 签订合同</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29</w:t>
      </w:r>
      <w:r>
        <w:rPr>
          <w:rFonts w:hint="eastAsia" w:asciiTheme="minorEastAsia" w:hAnsiTheme="minorEastAsia" w:eastAsiaTheme="minorEastAsia" w:cstheme="minorEastAsia"/>
          <w:szCs w:val="21"/>
        </w:rPr>
        <w:t>.1 成交供应商收到成交通知书后，按竞争性磋商文件、响应文件及有关澄清承诺书的要求与采购人签订合同。</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29</w:t>
      </w:r>
      <w:r>
        <w:rPr>
          <w:rFonts w:hint="eastAsia" w:asciiTheme="minorEastAsia" w:hAnsiTheme="minorEastAsia" w:eastAsiaTheme="minorEastAsia" w:cstheme="minorEastAsia"/>
          <w:szCs w:val="21"/>
        </w:rPr>
        <w:t>.2 成交供应商因不可抗力或者自身原因不能履行合同的，采购人可以与排位在成交供应商之后第一位的中标候选供应商签订合同，以此类推。</w:t>
      </w:r>
    </w:p>
    <w:p>
      <w:pPr>
        <w:pStyle w:val="6"/>
        <w:spacing w:before="0" w:after="0" w:line="560" w:lineRule="exact"/>
        <w:ind w:firstLine="481" w:firstLineChars="200"/>
        <w:jc w:val="center"/>
        <w:rPr>
          <w:rFonts w:hint="eastAsia" w:asciiTheme="minorEastAsia" w:hAnsiTheme="minorEastAsia" w:eastAsiaTheme="minorEastAsia" w:cstheme="minorEastAsia"/>
        </w:rPr>
      </w:pPr>
      <w:bookmarkStart w:id="123" w:name="_Toc16469"/>
      <w:bookmarkStart w:id="124" w:name="_Toc23265"/>
      <w:bookmarkStart w:id="125" w:name="_Toc8894"/>
      <w:bookmarkStart w:id="126" w:name="_Toc4430"/>
      <w:bookmarkStart w:id="127" w:name="_Toc29721"/>
      <w:bookmarkStart w:id="128" w:name="_Toc436942615"/>
      <w:bookmarkStart w:id="129" w:name="_Toc6700"/>
      <w:bookmarkStart w:id="130" w:name="_Toc15160"/>
      <w:r>
        <w:rPr>
          <w:rFonts w:hint="eastAsia" w:asciiTheme="minorEastAsia" w:hAnsiTheme="minorEastAsia" w:eastAsiaTheme="minorEastAsia" w:cstheme="minorEastAsia"/>
        </w:rPr>
        <w:t>八、其他事项</w:t>
      </w:r>
      <w:bookmarkEnd w:id="123"/>
      <w:bookmarkEnd w:id="124"/>
      <w:bookmarkEnd w:id="125"/>
      <w:bookmarkEnd w:id="126"/>
      <w:bookmarkEnd w:id="127"/>
      <w:bookmarkEnd w:id="128"/>
      <w:bookmarkEnd w:id="129"/>
      <w:bookmarkEnd w:id="130"/>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 解释权</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本竞争性磋商文件是根据《中华人民共和国政府采购法》及相关法律法规编制，解释权属采购人和代理机构。</w:t>
      </w:r>
    </w:p>
    <w:p>
      <w:pPr>
        <w:pStyle w:val="14"/>
        <w:spacing w:line="560" w:lineRule="exact"/>
        <w:ind w:firstLine="421"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szCs w:val="21"/>
        </w:rPr>
        <w:t>需要补充的其他内容</w:t>
      </w:r>
    </w:p>
    <w:p>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需要补充的其他内容：见“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pPr>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31" w:name="_Toc23766"/>
      <w:bookmarkStart w:id="132" w:name="_Toc213141090"/>
      <w:bookmarkStart w:id="133" w:name="_Toc27209"/>
      <w:bookmarkStart w:id="134" w:name="_Toc22792"/>
      <w:bookmarkStart w:id="135" w:name="_Toc436942616"/>
      <w:bookmarkStart w:id="136" w:name="_Toc8243"/>
      <w:bookmarkStart w:id="137" w:name="_Toc11184"/>
      <w:bookmarkStart w:id="138" w:name="_Toc26837"/>
    </w:p>
    <w:p>
      <w:pPr>
        <w:spacing w:line="560" w:lineRule="exact"/>
        <w:jc w:val="center"/>
        <w:outlineLvl w:val="0"/>
        <w:rPr>
          <w:rFonts w:hint="eastAsia" w:asciiTheme="minorEastAsia" w:hAnsiTheme="minorEastAsia" w:eastAsiaTheme="minorEastAsia" w:cstheme="minorEastAsia"/>
          <w:b/>
          <w:sz w:val="32"/>
          <w:szCs w:val="32"/>
        </w:rPr>
      </w:pPr>
      <w:bookmarkStart w:id="139" w:name="_Toc29378"/>
      <w:r>
        <w:rPr>
          <w:rFonts w:hint="eastAsia" w:asciiTheme="minorEastAsia" w:hAnsiTheme="minorEastAsia" w:eastAsiaTheme="minorEastAsia" w:cstheme="minorEastAsia"/>
          <w:b/>
          <w:sz w:val="32"/>
          <w:szCs w:val="32"/>
        </w:rPr>
        <w:t>第三章</w:t>
      </w:r>
      <w:bookmarkEnd w:id="131"/>
      <w:bookmarkEnd w:id="132"/>
      <w:bookmarkEnd w:id="133"/>
      <w:bookmarkEnd w:id="134"/>
      <w:bookmarkEnd w:id="135"/>
      <w:bookmarkEnd w:id="136"/>
      <w:bookmarkEnd w:id="137"/>
      <w:bookmarkEnd w:id="138"/>
      <w:bookmarkStart w:id="140" w:name="_Toc525912762"/>
      <w:bookmarkStart w:id="141" w:name="_Toc525910984"/>
      <w:r>
        <w:rPr>
          <w:rFonts w:hint="eastAsia" w:asciiTheme="minorEastAsia" w:hAnsiTheme="minorEastAsia" w:eastAsiaTheme="minorEastAsia" w:cstheme="minorEastAsia"/>
          <w:b/>
          <w:sz w:val="32"/>
          <w:szCs w:val="32"/>
        </w:rPr>
        <w:t xml:space="preserve">  </w:t>
      </w:r>
      <w:bookmarkEnd w:id="140"/>
      <w:bookmarkEnd w:id="141"/>
      <w:r>
        <w:rPr>
          <w:rFonts w:hint="eastAsia" w:asciiTheme="minorEastAsia" w:hAnsiTheme="minorEastAsia" w:eastAsiaTheme="minorEastAsia" w:cstheme="minorEastAsia"/>
          <w:b/>
          <w:sz w:val="32"/>
          <w:szCs w:val="32"/>
        </w:rPr>
        <w:t>合同条款及合同格式</w:t>
      </w:r>
      <w:bookmarkEnd w:id="139"/>
    </w:p>
    <w:p>
      <w:pPr>
        <w:pStyle w:val="14"/>
        <w:jc w:val="center"/>
        <w:rPr>
          <w:rFonts w:hint="eastAsia" w:hAnsi="宋体" w:cs="宋体"/>
          <w:color w:val="000000"/>
          <w:sz w:val="30"/>
        </w:rPr>
      </w:pPr>
      <w:bookmarkStart w:id="142" w:name="_Toc25804"/>
      <w:bookmarkStart w:id="143" w:name="_Toc436942617"/>
      <w:bookmarkStart w:id="144" w:name="_Toc806"/>
      <w:bookmarkStart w:id="145" w:name="_Toc5238"/>
      <w:bookmarkStart w:id="146" w:name="_Toc1115"/>
      <w:bookmarkStart w:id="147" w:name="_Toc30014"/>
      <w:bookmarkStart w:id="148" w:name="_Toc25981"/>
    </w:p>
    <w:p>
      <w:pPr>
        <w:pStyle w:val="14"/>
        <w:jc w:val="center"/>
        <w:rPr>
          <w:rFonts w:hint="eastAsia" w:hAnsi="宋体" w:cs="宋体"/>
          <w:color w:val="000000"/>
          <w:sz w:val="30"/>
        </w:rPr>
      </w:pPr>
    </w:p>
    <w:p>
      <w:pPr>
        <w:autoSpaceDE w:val="0"/>
        <w:autoSpaceDN w:val="0"/>
        <w:spacing w:line="819" w:lineRule="exact"/>
        <w:jc w:val="left"/>
        <w:rPr>
          <w:rFonts w:hint="eastAsia" w:ascii="华文中宋" w:hAnsi="华文中宋" w:cs="华文中宋"/>
          <w:color w:val="000000"/>
          <w:sz w:val="72"/>
        </w:rPr>
      </w:pPr>
    </w:p>
    <w:p>
      <w:pPr>
        <w:autoSpaceDE w:val="0"/>
        <w:autoSpaceDN w:val="0"/>
        <w:spacing w:line="819" w:lineRule="exact"/>
        <w:jc w:val="left"/>
        <w:rPr>
          <w:rFonts w:hint="eastAsia" w:ascii="华文中宋" w:hAnsi="华文中宋" w:cs="华文中宋"/>
          <w:color w:val="000000"/>
          <w:sz w:val="72"/>
        </w:rPr>
      </w:pPr>
    </w:p>
    <w:p>
      <w:pPr>
        <w:autoSpaceDE w:val="0"/>
        <w:autoSpaceDN w:val="0"/>
        <w:adjustRightInd w:val="0"/>
        <w:jc w:val="left"/>
        <w:rPr>
          <w:rFonts w:hint="eastAsia" w:ascii="宋体" w:hAnsi="宋体" w:cs="宋体"/>
          <w:b/>
          <w:bCs/>
          <w:kern w:val="0"/>
          <w:sz w:val="44"/>
          <w:szCs w:val="44"/>
        </w:rPr>
      </w:pPr>
      <w:r>
        <w:rPr>
          <w:rFonts w:hint="eastAsia" w:ascii="宋体" w:hAnsi="宋体"/>
          <w:b/>
          <w:bCs/>
          <w:color w:val="000000" w:themeColor="text1"/>
          <w:spacing w:val="-4"/>
          <w:sz w:val="44"/>
          <w:szCs w:val="44"/>
          <w14:textFill>
            <w14:solidFill>
              <w14:schemeClr w14:val="tx1"/>
            </w14:solidFill>
          </w14:textFill>
        </w:rPr>
        <w:t>呈贡区彩龙村二期项目</w:t>
      </w:r>
      <w:r>
        <w:rPr>
          <w:rFonts w:hint="eastAsia" w:ascii="宋体" w:hAnsi="宋体"/>
          <w:b/>
          <w:bCs/>
          <w:color w:val="000000" w:themeColor="text1"/>
          <w:spacing w:val="-4"/>
          <w:sz w:val="44"/>
          <w:szCs w:val="44"/>
          <w:lang w:eastAsia="zh-CN"/>
          <w14:textFill>
            <w14:solidFill>
              <w14:schemeClr w14:val="tx1"/>
            </w14:solidFill>
          </w14:textFill>
        </w:rPr>
        <w:t>工程结算审核</w:t>
      </w:r>
      <w:r>
        <w:rPr>
          <w:rFonts w:hint="eastAsia" w:ascii="宋体" w:hAnsi="宋体"/>
          <w:b/>
          <w:bCs/>
          <w:color w:val="000000" w:themeColor="text1"/>
          <w:spacing w:val="-4"/>
          <w:sz w:val="44"/>
          <w:szCs w:val="44"/>
          <w14:textFill>
            <w14:solidFill>
              <w14:schemeClr w14:val="tx1"/>
            </w14:solidFill>
          </w14:textFill>
        </w:rPr>
        <w:t>服务合同</w:t>
      </w:r>
    </w:p>
    <w:p>
      <w:pPr>
        <w:jc w:val="center"/>
        <w:rPr>
          <w:color w:val="000000"/>
          <w:sz w:val="30"/>
          <w:szCs w:val="30"/>
        </w:rPr>
      </w:pPr>
      <w:r>
        <w:rPr>
          <w:rFonts w:hint="eastAsia"/>
          <w:color w:val="000000"/>
          <w:sz w:val="30"/>
          <w:szCs w:val="30"/>
        </w:rPr>
        <w:t>（</w:t>
      </w:r>
      <w:r>
        <w:rPr>
          <w:rFonts w:hint="eastAsia" w:ascii="宋体" w:hAnsi="宋体"/>
          <w:sz w:val="32"/>
          <w:szCs w:val="32"/>
        </w:rPr>
        <w:t>合同以采购人和成交供应商洽商后的最终签订版为准</w:t>
      </w:r>
      <w:r>
        <w:rPr>
          <w:rFonts w:hint="eastAsia"/>
          <w:color w:val="000000"/>
          <w:sz w:val="30"/>
          <w:szCs w:val="30"/>
        </w:rPr>
        <w:t>）</w:t>
      </w:r>
    </w:p>
    <w:p>
      <w:pPr>
        <w:autoSpaceDE w:val="0"/>
        <w:autoSpaceDN w:val="0"/>
        <w:spacing w:line="819" w:lineRule="exact"/>
        <w:jc w:val="center"/>
        <w:rPr>
          <w:rFonts w:hint="eastAsia" w:ascii="华文中宋" w:hAnsi="华文中宋" w:cs="华文中宋"/>
          <w:b/>
          <w:color w:val="000000"/>
          <w:sz w:val="72"/>
        </w:rPr>
      </w:pPr>
    </w:p>
    <w:p>
      <w:pPr>
        <w:autoSpaceDE w:val="0"/>
        <w:autoSpaceDN w:val="0"/>
        <w:spacing w:line="819" w:lineRule="exact"/>
        <w:jc w:val="center"/>
        <w:rPr>
          <w:rFonts w:hint="eastAsia" w:ascii="华文中宋" w:hAnsi="华文中宋" w:cs="华文中宋"/>
          <w:b/>
          <w:color w:val="000000"/>
          <w:sz w:val="72"/>
        </w:rPr>
      </w:pPr>
    </w:p>
    <w:p>
      <w:pPr>
        <w:autoSpaceDE w:val="0"/>
        <w:autoSpaceDN w:val="0"/>
        <w:spacing w:line="819" w:lineRule="exact"/>
        <w:jc w:val="center"/>
        <w:rPr>
          <w:rFonts w:hint="eastAsia" w:ascii="华文中宋" w:hAnsi="华文中宋" w:cs="华文中宋"/>
          <w:b/>
          <w:color w:val="000000"/>
          <w:sz w:val="72"/>
        </w:rPr>
      </w:pPr>
    </w:p>
    <w:p>
      <w:pPr>
        <w:pStyle w:val="22"/>
        <w:ind w:firstLine="1446"/>
        <w:rPr>
          <w:rFonts w:hint="eastAsia" w:ascii="华文中宋" w:hAnsi="华文中宋" w:cs="华文中宋"/>
          <w:b/>
          <w:color w:val="000000"/>
          <w:sz w:val="72"/>
        </w:rPr>
      </w:pPr>
    </w:p>
    <w:p/>
    <w:p>
      <w:pPr>
        <w:autoSpaceDE w:val="0"/>
        <w:autoSpaceDN w:val="0"/>
        <w:spacing w:line="819" w:lineRule="exact"/>
        <w:jc w:val="center"/>
        <w:rPr>
          <w:rFonts w:hint="eastAsia" w:ascii="华文中宋" w:hAnsi="华文中宋" w:cs="华文中宋"/>
          <w:b/>
          <w:color w:val="000000"/>
          <w:sz w:val="72"/>
        </w:rPr>
      </w:pPr>
    </w:p>
    <w:p>
      <w:pPr>
        <w:autoSpaceDE w:val="0"/>
        <w:autoSpaceDN w:val="0"/>
        <w:spacing w:line="819" w:lineRule="exact"/>
        <w:jc w:val="center"/>
        <w:rPr>
          <w:rFonts w:hint="eastAsia" w:ascii="华文中宋" w:hAnsi="华文中宋" w:cs="华文中宋"/>
          <w:b/>
          <w:color w:val="000000"/>
          <w:sz w:val="72"/>
        </w:rPr>
      </w:pPr>
    </w:p>
    <w:p>
      <w:pPr>
        <w:autoSpaceDE w:val="0"/>
        <w:autoSpaceDN w:val="0"/>
        <w:spacing w:line="319" w:lineRule="exact"/>
        <w:ind w:firstLine="3200" w:firstLineChars="1000"/>
        <w:rPr>
          <w:rFonts w:hint="eastAsia" w:ascii="宋体" w:hAnsi="宋体" w:cs="宋体"/>
          <w:color w:val="000000"/>
          <w:sz w:val="32"/>
        </w:rPr>
      </w:pPr>
      <w:r>
        <w:rPr>
          <w:rFonts w:ascii="宋体" w:hAnsi="宋体" w:cs="宋体"/>
          <w:color w:val="000000"/>
          <w:sz w:val="32"/>
        </w:rPr>
        <w:t>住</w:t>
      </w:r>
      <w:r>
        <w:rPr>
          <w:rFonts w:hint="eastAsia" w:ascii="宋体" w:hAnsi="宋体" w:cs="宋体"/>
          <w:color w:val="000000"/>
          <w:sz w:val="32"/>
        </w:rPr>
        <w:t xml:space="preserve"> </w:t>
      </w:r>
      <w:r>
        <w:rPr>
          <w:rFonts w:ascii="宋体" w:hAnsi="宋体" w:cs="宋体"/>
          <w:color w:val="000000"/>
          <w:sz w:val="32"/>
        </w:rPr>
        <w:t>房</w:t>
      </w:r>
      <w:r>
        <w:rPr>
          <w:rFonts w:hint="eastAsia" w:ascii="宋体" w:hAnsi="宋体" w:cs="宋体"/>
          <w:color w:val="000000"/>
          <w:sz w:val="32"/>
        </w:rPr>
        <w:t xml:space="preserve"> </w:t>
      </w:r>
      <w:r>
        <w:rPr>
          <w:rFonts w:ascii="宋体" w:hAnsi="宋体" w:cs="宋体"/>
          <w:color w:val="000000"/>
          <w:sz w:val="32"/>
        </w:rPr>
        <w:t>城</w:t>
      </w:r>
      <w:r>
        <w:rPr>
          <w:rFonts w:hint="eastAsia" w:ascii="宋体" w:hAnsi="宋体" w:cs="宋体"/>
          <w:color w:val="000000"/>
          <w:sz w:val="32"/>
        </w:rPr>
        <w:t xml:space="preserve"> </w:t>
      </w:r>
      <w:r>
        <w:rPr>
          <w:rFonts w:ascii="宋体" w:hAnsi="宋体" w:cs="宋体"/>
          <w:color w:val="000000"/>
          <w:sz w:val="32"/>
        </w:rPr>
        <w:t>乡</w:t>
      </w:r>
      <w:r>
        <w:rPr>
          <w:rFonts w:hint="eastAsia" w:ascii="宋体" w:hAnsi="宋体" w:cs="宋体"/>
          <w:color w:val="000000"/>
          <w:sz w:val="32"/>
        </w:rPr>
        <w:t xml:space="preserve"> </w:t>
      </w:r>
      <w:r>
        <w:rPr>
          <w:rFonts w:ascii="宋体" w:hAnsi="宋体" w:cs="宋体"/>
          <w:color w:val="000000"/>
          <w:sz w:val="32"/>
        </w:rPr>
        <w:t>建</w:t>
      </w:r>
      <w:r>
        <w:rPr>
          <w:rFonts w:hint="eastAsia" w:ascii="宋体" w:hAnsi="宋体" w:cs="宋体"/>
          <w:color w:val="000000"/>
          <w:sz w:val="32"/>
        </w:rPr>
        <w:t xml:space="preserve"> </w:t>
      </w:r>
      <w:r>
        <w:rPr>
          <w:rFonts w:ascii="宋体" w:hAnsi="宋体" w:cs="宋体"/>
          <w:color w:val="000000"/>
          <w:sz w:val="32"/>
        </w:rPr>
        <w:t>设</w:t>
      </w:r>
      <w:r>
        <w:rPr>
          <w:rFonts w:hint="eastAsia" w:ascii="宋体" w:hAnsi="宋体" w:cs="宋体"/>
          <w:color w:val="000000"/>
          <w:sz w:val="32"/>
        </w:rPr>
        <w:t xml:space="preserve"> </w:t>
      </w:r>
      <w:r>
        <w:rPr>
          <w:rFonts w:ascii="宋体" w:hAnsi="宋体" w:cs="宋体"/>
          <w:color w:val="000000"/>
          <w:sz w:val="32"/>
        </w:rPr>
        <w:t>部</w:t>
      </w:r>
    </w:p>
    <w:p>
      <w:pPr>
        <w:autoSpaceDE w:val="0"/>
        <w:autoSpaceDN w:val="0"/>
        <w:spacing w:line="346" w:lineRule="exact"/>
        <w:ind w:left="3514"/>
        <w:jc w:val="center"/>
        <w:rPr>
          <w:rFonts w:hint="eastAsia" w:ascii="宋体" w:hAnsi="宋体" w:cs="宋体"/>
          <w:color w:val="000000"/>
          <w:sz w:val="32"/>
        </w:rPr>
      </w:pPr>
      <w:r>
        <w:rPr>
          <w:rFonts w:hint="eastAsia" w:ascii="宋体" w:hAnsi="宋体" w:cs="宋体"/>
          <w:color w:val="000000"/>
          <w:sz w:val="32"/>
        </w:rPr>
        <w:t xml:space="preserve">  </w:t>
      </w:r>
    </w:p>
    <w:p>
      <w:pPr>
        <w:autoSpaceDE w:val="0"/>
        <w:autoSpaceDN w:val="0"/>
        <w:spacing w:line="346" w:lineRule="exact"/>
        <w:ind w:left="3514"/>
        <w:jc w:val="center"/>
        <w:rPr>
          <w:rFonts w:hint="eastAsia" w:ascii="宋体" w:hAnsi="宋体" w:cs="宋体"/>
          <w:color w:val="000000"/>
          <w:sz w:val="32"/>
        </w:rPr>
      </w:pPr>
      <w:r>
        <w:rPr>
          <w:rFonts w:hint="eastAsia" w:ascii="宋体" w:hAnsi="宋体" w:cs="宋体"/>
          <w:color w:val="000000"/>
          <w:sz w:val="32"/>
        </w:rPr>
        <w:t xml:space="preserve">    </w:t>
      </w:r>
      <w:r>
        <w:rPr>
          <w:rFonts w:ascii="宋体" w:hAnsi="宋体" w:cs="宋体"/>
          <w:color w:val="000000"/>
          <w:sz w:val="32"/>
        </w:rPr>
        <w:t>制定</w:t>
      </w:r>
    </w:p>
    <w:p>
      <w:pPr>
        <w:autoSpaceDE w:val="0"/>
        <w:autoSpaceDN w:val="0"/>
        <w:spacing w:line="319" w:lineRule="exact"/>
        <w:ind w:firstLine="3200" w:firstLineChars="1000"/>
        <w:rPr>
          <w:rFonts w:hint="eastAsia" w:ascii="宋体" w:hAnsi="宋体" w:cs="宋体"/>
          <w:color w:val="000000"/>
          <w:sz w:val="32"/>
        </w:rPr>
      </w:pPr>
    </w:p>
    <w:p>
      <w:pPr>
        <w:autoSpaceDE w:val="0"/>
        <w:autoSpaceDN w:val="0"/>
        <w:spacing w:line="319" w:lineRule="exact"/>
        <w:ind w:firstLine="3200" w:firstLineChars="1000"/>
        <w:rPr>
          <w:rFonts w:hint="eastAsia" w:ascii="宋体" w:hAnsi="宋体" w:cs="宋体"/>
          <w:color w:val="000000"/>
          <w:sz w:val="32"/>
        </w:rPr>
      </w:pPr>
      <w:r>
        <w:rPr>
          <w:rFonts w:ascii="宋体" w:hAnsi="宋体" w:cs="宋体"/>
          <w:color w:val="000000"/>
          <w:sz w:val="32"/>
        </w:rPr>
        <w:t>国家工商行政管理总局</w:t>
      </w:r>
    </w:p>
    <w:p>
      <w:pPr>
        <w:autoSpaceDE w:val="0"/>
        <w:autoSpaceDN w:val="0"/>
        <w:spacing w:line="819" w:lineRule="exact"/>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br w:type="page"/>
      </w:r>
    </w:p>
    <w:p>
      <w:pPr>
        <w:pStyle w:val="4"/>
        <w:numPr>
          <w:ilvl w:val="0"/>
          <w:numId w:val="0"/>
        </w:numPr>
        <w:spacing w:before="240" w:after="240"/>
        <w:ind w:left="-737"/>
        <w:jc w:val="center"/>
        <w:rPr>
          <w:rFonts w:hint="eastAsia" w:asciiTheme="minorEastAsia" w:hAnsiTheme="minorEastAsia" w:eastAsiaTheme="minorEastAsia" w:cstheme="minorEastAsia"/>
          <w:szCs w:val="28"/>
        </w:rPr>
      </w:pPr>
      <w:bookmarkStart w:id="149" w:name="_Toc527212621"/>
      <w:bookmarkStart w:id="150" w:name="_Toc419045055"/>
      <w:bookmarkStart w:id="151" w:name="_Toc21318"/>
      <w:bookmarkStart w:id="152" w:name="_Toc24134"/>
      <w:bookmarkStart w:id="153" w:name="_Toc14505"/>
      <w:bookmarkStart w:id="154" w:name="_Toc23900"/>
      <w:bookmarkStart w:id="155" w:name="_Toc54861671"/>
      <w:bookmarkStart w:id="156" w:name="_Toc422322470"/>
      <w:bookmarkStart w:id="157" w:name="_Toc22983"/>
      <w:r>
        <w:rPr>
          <w:rFonts w:hint="eastAsia" w:asciiTheme="minorEastAsia" w:hAnsiTheme="minorEastAsia" w:eastAsiaTheme="minorEastAsia" w:cstheme="minorEastAsia"/>
          <w:szCs w:val="28"/>
        </w:rPr>
        <w:t>第一部分  协议书</w:t>
      </w:r>
      <w:bookmarkEnd w:id="149"/>
      <w:bookmarkEnd w:id="150"/>
      <w:bookmarkEnd w:id="151"/>
      <w:bookmarkEnd w:id="152"/>
      <w:bookmarkEnd w:id="153"/>
      <w:bookmarkEnd w:id="154"/>
      <w:bookmarkEnd w:id="155"/>
      <w:bookmarkEnd w:id="156"/>
      <w:bookmarkEnd w:id="157"/>
    </w:p>
    <w:p>
      <w:pPr>
        <w:pStyle w:val="28"/>
        <w:spacing w:line="460" w:lineRule="exact"/>
        <w:ind w:firstLine="421" w:firstLineChars="200"/>
        <w:jc w:val="left"/>
        <w:rPr>
          <w:rFonts w:hint="eastAsia" w:asciiTheme="minorEastAsia" w:hAnsiTheme="minorEastAsia" w:eastAsiaTheme="minorEastAsia" w:cstheme="minorEastAsia"/>
          <w:b/>
          <w:bCs/>
        </w:rPr>
      </w:pPr>
      <w:bookmarkStart w:id="158" w:name="7"/>
      <w:bookmarkEnd w:id="158"/>
      <w:r>
        <w:rPr>
          <w:rFonts w:hint="eastAsia" w:asciiTheme="minorEastAsia" w:hAnsiTheme="minorEastAsia" w:eastAsiaTheme="minorEastAsia" w:cstheme="minorEastAsia"/>
          <w:b/>
          <w:bCs/>
        </w:rPr>
        <w:t>委托人：</w:t>
      </w:r>
      <w:r>
        <w:rPr>
          <w:rFonts w:hint="eastAsia" w:asciiTheme="minorEastAsia" w:hAnsiTheme="minorEastAsia" w:eastAsiaTheme="minorEastAsia" w:cstheme="minorEastAsia"/>
          <w:b/>
          <w:bCs/>
          <w:u w:val="single"/>
        </w:rPr>
        <w:t xml:space="preserve">                        </w:t>
      </w:r>
    </w:p>
    <w:p>
      <w:pPr>
        <w:pStyle w:val="28"/>
        <w:spacing w:line="460" w:lineRule="exact"/>
        <w:ind w:firstLine="421" w:firstLineChars="20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咨询人：</w:t>
      </w:r>
      <w:r>
        <w:rPr>
          <w:rFonts w:hint="eastAsia" w:asciiTheme="minorEastAsia" w:hAnsiTheme="minorEastAsia" w:eastAsiaTheme="minorEastAsia" w:cstheme="minorEastAsia"/>
          <w:b/>
          <w:bCs/>
          <w:u w:val="single"/>
        </w:rPr>
        <w:t xml:space="preserve">                        </w:t>
      </w:r>
    </w:p>
    <w:p>
      <w:pPr>
        <w:pStyle w:val="28"/>
        <w:spacing w:line="4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w:t>
      </w:r>
      <w:r>
        <w:fldChar w:fldCharType="begin"/>
      </w:r>
      <w:r>
        <w:instrText xml:space="preserve"> HYPERLINK "javascript:SLC(21651,0)" </w:instrText>
      </w:r>
      <w:r>
        <w:fldChar w:fldCharType="separate"/>
      </w:r>
      <w:r>
        <w:rPr>
          <w:rFonts w:hint="eastAsia" w:asciiTheme="minorEastAsia" w:hAnsiTheme="minorEastAsia" w:eastAsiaTheme="minorEastAsia" w:cstheme="minorEastAsia"/>
        </w:rPr>
        <w:t>中华人民共和国</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民法典》及其他有关法律、法规，遵循平等、自愿、公平和诚实信用的原则，双方就下述建设工程委托</w:t>
      </w:r>
      <w:r>
        <w:rPr>
          <w:rFonts w:hint="eastAsia" w:asciiTheme="minorEastAsia" w:hAnsiTheme="minorEastAsia" w:eastAsiaTheme="minorEastAsia" w:cstheme="minorEastAsia"/>
          <w:lang w:eastAsia="zh-CN"/>
        </w:rPr>
        <w:t>工程结算审核服务</w:t>
      </w:r>
      <w:r>
        <w:rPr>
          <w:rFonts w:hint="eastAsia" w:asciiTheme="minorEastAsia" w:hAnsiTheme="minorEastAsia" w:eastAsiaTheme="minorEastAsia" w:cstheme="minorEastAsia"/>
        </w:rPr>
        <w:t>与其他服务事项协商一致，订立本合同。</w:t>
      </w:r>
      <w:bookmarkStart w:id="159" w:name="_Toc419045056"/>
    </w:p>
    <w:bookmarkEnd w:id="159"/>
    <w:p>
      <w:pPr>
        <w:adjustRightInd w:val="0"/>
        <w:snapToGrid w:val="0"/>
        <w:spacing w:line="560" w:lineRule="exact"/>
        <w:rPr>
          <w:rFonts w:hint="eastAsia" w:ascii="宋体" w:hAnsi="宋体"/>
          <w:b/>
          <w:color w:val="000000"/>
          <w:szCs w:val="21"/>
        </w:rPr>
      </w:pPr>
      <w:r>
        <w:rPr>
          <w:rFonts w:hint="eastAsia" w:ascii="宋体" w:hAnsi="宋体"/>
          <w:b/>
          <w:color w:val="000000"/>
          <w:szCs w:val="21"/>
        </w:rPr>
        <w:t xml:space="preserve">  一、工程概况</w:t>
      </w:r>
    </w:p>
    <w:p>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 xml:space="preserve">1.工程名称：             </w:t>
      </w:r>
    </w:p>
    <w:p>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 xml:space="preserve">2.工程地点：                  </w:t>
      </w:r>
    </w:p>
    <w:p>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3.建设规模：</w:t>
      </w:r>
    </w:p>
    <w:p>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w:t>
      </w:r>
      <w:r>
        <w:rPr>
          <w:rFonts w:hint="eastAsia" w:ascii="宋体" w:hAnsi="宋体"/>
          <w:b/>
          <w:color w:val="000000"/>
          <w:szCs w:val="21"/>
        </w:rPr>
        <w:t>二、服务范围及工作内容</w:t>
      </w:r>
      <w:r>
        <w:rPr>
          <w:rFonts w:ascii="宋体" w:hAnsi="宋体"/>
          <w:bCs/>
          <w:color w:val="000000"/>
          <w:szCs w:val="21"/>
        </w:rPr>
        <w:t xml:space="preserve">     </w:t>
      </w:r>
      <w:r>
        <w:rPr>
          <w:rFonts w:ascii="宋体" w:hAnsi="宋体"/>
          <w:color w:val="000000"/>
          <w:szCs w:val="21"/>
        </w:rPr>
        <w:t xml:space="preserve">   </w:t>
      </w:r>
    </w:p>
    <w:p>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本项目如需分阶段实施，咨询人应根据委托人要求分阶段工作，以委托人书面要求为准。</w:t>
      </w:r>
    </w:p>
    <w:p>
      <w:pPr>
        <w:spacing w:line="480" w:lineRule="auto"/>
        <w:ind w:firstLine="420" w:firstLineChars="200"/>
        <w:rPr>
          <w:rFonts w:hint="eastAsia" w:ascii="宋体" w:hAnsi="宋体"/>
          <w:color w:val="000000"/>
          <w:szCs w:val="21"/>
        </w:rPr>
      </w:pPr>
      <w:r>
        <w:rPr>
          <w:rFonts w:hint="eastAsia" w:ascii="宋体" w:hAnsi="宋体"/>
          <w:color w:val="000000"/>
          <w:szCs w:val="21"/>
        </w:rPr>
        <w:t>咨询服务周期：</w:t>
      </w:r>
      <w:r>
        <w:rPr>
          <w:rFonts w:hint="eastAsia" w:asciiTheme="minorEastAsia" w:hAnsiTheme="minorEastAsia" w:eastAsiaTheme="minorEastAsia" w:cstheme="minorEastAsia"/>
          <w:szCs w:val="21"/>
        </w:rPr>
        <w:t>咨询合同签订后至委托项目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服务工作结束。</w:t>
      </w:r>
    </w:p>
    <w:p>
      <w:pPr>
        <w:snapToGrid w:val="0"/>
        <w:spacing w:line="360" w:lineRule="auto"/>
        <w:ind w:firstLine="497" w:firstLineChars="236"/>
        <w:rPr>
          <w:rFonts w:hint="eastAsia" w:ascii="宋体" w:hAnsi="宋体"/>
          <w:b/>
          <w:color w:val="000000"/>
          <w:szCs w:val="21"/>
          <w:highlight w:val="none"/>
        </w:rPr>
      </w:pPr>
      <w:r>
        <w:rPr>
          <w:rFonts w:hint="eastAsia" w:ascii="宋体" w:hAnsi="宋体"/>
          <w:b/>
          <w:color w:val="000000"/>
          <w:szCs w:val="21"/>
          <w:highlight w:val="none"/>
        </w:rPr>
        <w:t>三、服务期限</w:t>
      </w:r>
    </w:p>
    <w:p>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咨询合同签订后至完成本项目采购范围内所约定的咨询服务内容，并出具</w:t>
      </w:r>
      <w:r>
        <w:rPr>
          <w:rFonts w:hint="eastAsia" w:asciiTheme="minorEastAsia" w:hAnsiTheme="minorEastAsia" w:eastAsiaTheme="minorEastAsia" w:cstheme="minorEastAsia"/>
          <w:szCs w:val="21"/>
          <w:highlight w:val="none"/>
          <w:lang w:eastAsia="zh-CN"/>
        </w:rPr>
        <w:t>工程结算</w:t>
      </w:r>
      <w:r>
        <w:rPr>
          <w:rFonts w:hint="eastAsia" w:asciiTheme="minorEastAsia" w:hAnsiTheme="minorEastAsia" w:eastAsiaTheme="minorEastAsia" w:cstheme="minorEastAsia"/>
          <w:szCs w:val="21"/>
          <w:highlight w:val="none"/>
        </w:rPr>
        <w:t>审核报告后终止。</w:t>
      </w:r>
    </w:p>
    <w:p>
      <w:pPr>
        <w:snapToGrid w:val="0"/>
        <w:spacing w:line="360" w:lineRule="auto"/>
        <w:ind w:firstLine="497" w:firstLineChars="236"/>
        <w:rPr>
          <w:rFonts w:hint="eastAsia" w:ascii="宋体" w:hAnsi="宋体"/>
          <w:b/>
          <w:color w:val="000000"/>
          <w:szCs w:val="21"/>
          <w:highlight w:val="none"/>
        </w:rPr>
      </w:pPr>
      <w:r>
        <w:rPr>
          <w:rFonts w:hint="eastAsia" w:ascii="宋体" w:hAnsi="宋体"/>
          <w:b/>
          <w:color w:val="000000"/>
          <w:szCs w:val="21"/>
          <w:highlight w:val="none"/>
        </w:rPr>
        <w:t>四、质量标准</w:t>
      </w:r>
    </w:p>
    <w:p>
      <w:pPr>
        <w:snapToGrid w:val="0"/>
        <w:spacing w:line="360" w:lineRule="auto"/>
        <w:ind w:firstLine="495" w:firstLineChars="236"/>
        <w:rPr>
          <w:rFonts w:hint="eastAsia" w:ascii="宋体" w:hAnsi="宋体"/>
          <w:color w:val="000000"/>
          <w:szCs w:val="21"/>
          <w:highlight w:val="none"/>
          <w:u w:val="single"/>
        </w:rPr>
      </w:pPr>
      <w:r>
        <w:rPr>
          <w:rFonts w:hint="eastAsia" w:ascii="宋体" w:hAnsi="宋体"/>
          <w:color w:val="000000"/>
          <w:szCs w:val="21"/>
          <w:highlight w:val="none"/>
        </w:rPr>
        <w:t>工程造价咨询成果文件应符合：</w:t>
      </w:r>
      <w:r>
        <w:rPr>
          <w:rFonts w:hint="eastAsia" w:ascii="宋体" w:hAnsi="宋体"/>
          <w:color w:val="000000"/>
          <w:szCs w:val="21"/>
          <w:highlight w:val="none"/>
          <w:u w:val="single"/>
        </w:rPr>
        <w:t>（1）《中华人民共和国民法典》、《中华人民共和国建筑法》、《中华人民共和国招</w:t>
      </w:r>
      <w:r>
        <w:rPr>
          <w:rFonts w:hint="eastAsia" w:ascii="宋体" w:hAnsi="宋体"/>
          <w:color w:val="000000"/>
          <w:szCs w:val="21"/>
          <w:highlight w:val="none"/>
          <w:u w:val="single"/>
          <w:lang w:eastAsia="zh-CN"/>
        </w:rPr>
        <w:t>标</w:t>
      </w:r>
      <w:r>
        <w:rPr>
          <w:rFonts w:hint="eastAsia" w:ascii="宋体" w:hAnsi="宋体"/>
          <w:color w:val="000000"/>
          <w:szCs w:val="21"/>
          <w:highlight w:val="none"/>
          <w:u w:val="single"/>
        </w:rPr>
        <w:t>投标法》、《中华人民共和国预算法》、《审计法》。</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highlight w:val="none"/>
          <w:u w:val="single"/>
        </w:rPr>
        <w:t>（2）《建设工程价款结算暂行办法》、《内部审计工作规定》、《建设项目全过程造价咨询</w:t>
      </w:r>
      <w:r>
        <w:rPr>
          <w:rFonts w:hint="eastAsia" w:ascii="宋体" w:hAnsi="宋体"/>
          <w:color w:val="000000"/>
          <w:szCs w:val="21"/>
          <w:u w:val="single"/>
        </w:rPr>
        <w:t>规程》中价协（2009）008号、《财政部关于进一步加强中央基本建设项目竣工财务审核工作的通知》财办建[2008]91号、《工程建设项目施工招标投标法》、建设主管部门的相关规章制度以及云南省补充规定等现行标准、规范、文件的规定，应确保成果资料完整、真实准确、清晰有据。</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五、酬金或计取方式</w:t>
      </w:r>
    </w:p>
    <w:p>
      <w:pPr>
        <w:autoSpaceDE w:val="0"/>
        <w:autoSpaceDN w:val="0"/>
        <w:spacing w:line="360" w:lineRule="auto"/>
        <w:ind w:firstLine="421" w:firstLineChars="200"/>
      </w:pPr>
      <w:r>
        <w:rPr>
          <w:rFonts w:hint="eastAsia" w:ascii="宋体" w:hAnsi="宋体"/>
          <w:b/>
          <w:szCs w:val="21"/>
        </w:rPr>
        <w:t>本项目专业类别调整系数为：1.0。</w:t>
      </w:r>
      <w:r>
        <w:rPr>
          <w:rFonts w:ascii="宋体" w:hAnsi="宋体"/>
          <w:b/>
          <w:szCs w:val="21"/>
        </w:rPr>
        <w:t xml:space="preserve"> </w:t>
      </w:r>
    </w:p>
    <w:p>
      <w:pPr>
        <w:snapToGrid w:val="0"/>
        <w:spacing w:line="360" w:lineRule="auto"/>
        <w:ind w:firstLine="495" w:firstLineChars="236"/>
        <w:rPr>
          <w:rFonts w:hint="eastAsia" w:ascii="宋体" w:hAnsi="宋体"/>
          <w:color w:val="000000"/>
          <w:szCs w:val="21"/>
          <w:u w:val="single"/>
        </w:rPr>
      </w:pPr>
      <w:r>
        <w:rPr>
          <w:rFonts w:hint="eastAsia" w:ascii="宋体" w:hAnsi="宋体"/>
          <w:color w:val="000000"/>
          <w:szCs w:val="21"/>
          <w:u w:val="single"/>
        </w:rPr>
        <w:t>1、本项目工程</w:t>
      </w:r>
      <w:r>
        <w:rPr>
          <w:rFonts w:hint="eastAsia" w:ascii="宋体" w:hAnsi="宋体"/>
          <w:color w:val="000000"/>
          <w:szCs w:val="21"/>
          <w:u w:val="single"/>
          <w:lang w:eastAsia="zh-CN"/>
        </w:rPr>
        <w:t>工程结算审核</w:t>
      </w:r>
      <w:r>
        <w:rPr>
          <w:rFonts w:hint="eastAsia" w:ascii="宋体" w:hAnsi="宋体"/>
          <w:color w:val="000000"/>
          <w:szCs w:val="21"/>
          <w:u w:val="single"/>
        </w:rPr>
        <w:t>服务费：</w:t>
      </w:r>
    </w:p>
    <w:p>
      <w:pPr>
        <w:snapToGrid w:val="0"/>
        <w:spacing w:line="360" w:lineRule="auto"/>
        <w:ind w:firstLine="495" w:firstLineChars="236"/>
        <w:rPr>
          <w:rFonts w:hint="eastAsia" w:ascii="宋体" w:hAnsi="宋体"/>
          <w:color w:val="000000"/>
          <w:szCs w:val="21"/>
          <w:u w:val="single"/>
        </w:rPr>
      </w:pPr>
      <w:r>
        <w:rPr>
          <w:rFonts w:hint="eastAsia" w:ascii="宋体" w:hAnsi="宋体"/>
          <w:color w:val="000000"/>
          <w:szCs w:val="21"/>
          <w:u w:val="single"/>
        </w:rPr>
        <w:t>（1）基本费：包干价        元，大写：     元整。</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六、合同文件的构成</w:t>
      </w:r>
    </w:p>
    <w:p>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本协议书与下列文件一起构成合同文件:</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1.中标通知书或委托书（如果有）；</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2.磋商函及磋商函附录或造价咨询服务建议书（如果有）；</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3.专用条件及附录；</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4.通用条件；</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 xml:space="preserve">5.其他合同文件。 </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七、词语定义</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协议书中相关词语的含义与通用条件中的定义与解释相同。</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八、合同订立</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1.订立时间：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2.订立地点：</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九、合同生效</w:t>
      </w:r>
    </w:p>
    <w:p>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双方签字盖章之日起</w:t>
      </w:r>
      <w:r>
        <w:rPr>
          <w:rFonts w:hint="eastAsia" w:ascii="宋体" w:hAnsi="宋体"/>
          <w:color w:val="000000"/>
          <w:szCs w:val="21"/>
        </w:rPr>
        <w:t>生效。</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十、合同份数</w:t>
      </w:r>
    </w:p>
    <w:p>
      <w:pPr>
        <w:snapToGrid w:val="0"/>
        <w:spacing w:line="360" w:lineRule="auto"/>
        <w:ind w:firstLine="497" w:firstLineChars="236"/>
        <w:rPr>
          <w:rFonts w:hint="eastAsia" w:ascii="宋体" w:hAnsi="宋体"/>
          <w:b/>
          <w:color w:val="000000"/>
          <w:szCs w:val="21"/>
        </w:rPr>
      </w:pPr>
      <w:r>
        <w:rPr>
          <w:rFonts w:hint="eastAsia" w:ascii="宋体" w:hAnsi="宋体"/>
          <w:b/>
          <w:color w:val="000000"/>
          <w:szCs w:val="21"/>
        </w:rPr>
        <w:t>本合同一式</w:t>
      </w:r>
      <w:r>
        <w:rPr>
          <w:rFonts w:hint="eastAsia" w:ascii="宋体" w:hAnsi="宋体"/>
          <w:b/>
          <w:color w:val="000000"/>
          <w:szCs w:val="21"/>
          <w:u w:val="single"/>
        </w:rPr>
        <w:t xml:space="preserve">    </w:t>
      </w:r>
      <w:r>
        <w:rPr>
          <w:rFonts w:hint="eastAsia" w:ascii="宋体" w:hAnsi="宋体"/>
          <w:b/>
          <w:color w:val="000000"/>
          <w:szCs w:val="21"/>
        </w:rPr>
        <w:t>份，</w:t>
      </w:r>
      <w:r>
        <w:rPr>
          <w:rFonts w:hint="eastAsia" w:ascii="宋体" w:hAnsi="宋体"/>
          <w:color w:val="000000"/>
          <w:szCs w:val="21"/>
        </w:rPr>
        <w:t>具有同等法律效力，其中</w:t>
      </w:r>
      <w:r>
        <w:rPr>
          <w:rFonts w:hint="eastAsia" w:ascii="宋体" w:hAnsi="宋体"/>
          <w:b/>
          <w:color w:val="000000"/>
          <w:szCs w:val="21"/>
        </w:rPr>
        <w:t>委托方执</w:t>
      </w:r>
      <w:r>
        <w:rPr>
          <w:rFonts w:hint="eastAsia" w:ascii="宋体" w:hAnsi="宋体"/>
          <w:b/>
          <w:color w:val="000000"/>
          <w:szCs w:val="21"/>
          <w:u w:val="single"/>
        </w:rPr>
        <w:t xml:space="preserve">    </w:t>
      </w:r>
      <w:r>
        <w:rPr>
          <w:rFonts w:hint="eastAsia" w:ascii="宋体" w:hAnsi="宋体"/>
          <w:b/>
          <w:color w:val="000000"/>
          <w:szCs w:val="21"/>
        </w:rPr>
        <w:t>份，咨询</w:t>
      </w:r>
      <w:r>
        <w:rPr>
          <w:rFonts w:hint="eastAsia" w:ascii="宋体" w:hAnsi="宋体"/>
          <w:b/>
          <w:color w:val="000000"/>
          <w:szCs w:val="21"/>
          <w:u w:val="single"/>
        </w:rPr>
        <w:t xml:space="preserve">人执    </w:t>
      </w:r>
      <w:r>
        <w:rPr>
          <w:rFonts w:hint="eastAsia" w:ascii="宋体" w:hAnsi="宋体"/>
          <w:b/>
          <w:color w:val="000000"/>
          <w:szCs w:val="21"/>
        </w:rPr>
        <w:t>份。</w:t>
      </w:r>
    </w:p>
    <w:p>
      <w:pPr>
        <w:pStyle w:val="28"/>
        <w:spacing w:line="560" w:lineRule="exact"/>
        <w:rPr>
          <w:rFonts w:hint="eastAsia" w:asciiTheme="minorEastAsia" w:hAnsiTheme="minorEastAsia" w:eastAsiaTheme="minorEastAsia" w:cstheme="minorEastAsia"/>
        </w:rPr>
      </w:pPr>
    </w:p>
    <w:p>
      <w:pPr>
        <w:spacing w:line="560" w:lineRule="exact"/>
        <w:ind w:left="4830" w:hanging="4830" w:hangingChars="2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委托人：</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szCs w:val="21"/>
        </w:rPr>
        <w:t xml:space="preserve">       咨询人：</w:t>
      </w:r>
      <w:r>
        <w:rPr>
          <w:rFonts w:hint="eastAsia" w:asciiTheme="minorEastAsia" w:hAnsiTheme="minorEastAsia" w:eastAsiaTheme="minorEastAsia" w:cstheme="minorEastAsia"/>
          <w:szCs w:val="21"/>
          <w:u w:val="single"/>
        </w:rPr>
        <w:t xml:space="preserve">                         </w:t>
      </w:r>
    </w:p>
    <w:p>
      <w:pPr>
        <w:spacing w:line="560" w:lineRule="exact"/>
        <w:ind w:left="4964" w:leftChars="464" w:hanging="3990" w:hangingChars="19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（盖章）</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（盖章）</w:t>
      </w:r>
    </w:p>
    <w:p>
      <w:pPr>
        <w:spacing w:line="560" w:lineRule="exact"/>
        <w:ind w:left="4830" w:hanging="4830" w:hangingChars="2300"/>
        <w:rPr>
          <w:rFonts w:hint="eastAsia" w:asciiTheme="minorEastAsia" w:hAnsiTheme="minorEastAsia" w:eastAsiaTheme="minorEastAsia" w:cstheme="minorEastAsia"/>
          <w:szCs w:val="21"/>
        </w:rPr>
      </w:pPr>
    </w:p>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法定代表人或其授权的代理人：     法定代表人或其授权的代理人：</w:t>
      </w:r>
    </w:p>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                         造价公司：（签字）</w:t>
      </w:r>
    </w:p>
    <w:p>
      <w:pPr>
        <w:pStyle w:val="28"/>
        <w:spacing w:line="560" w:lineRule="exact"/>
        <w:rPr>
          <w:rFonts w:hint="eastAsia" w:asciiTheme="minorEastAsia" w:hAnsiTheme="minorEastAsia" w:eastAsiaTheme="minorEastAsia" w:cstheme="minorEastAsia"/>
          <w:bCs/>
          <w:u w:val="single"/>
        </w:rPr>
      </w:pPr>
      <w:r>
        <w:rPr>
          <w:rFonts w:hint="eastAsia" w:asciiTheme="minorEastAsia" w:hAnsiTheme="minorEastAsia" w:eastAsiaTheme="minorEastAsia" w:cstheme="minorEastAsia"/>
        </w:rPr>
        <w:t>单位地址：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单位地址：</w:t>
      </w:r>
      <w:r>
        <w:rPr>
          <w:rFonts w:hint="eastAsia" w:asciiTheme="minorEastAsia" w:hAnsiTheme="minorEastAsia" w:eastAsiaTheme="minorEastAsia" w:cstheme="minorEastAsia"/>
          <w:bCs/>
          <w:u w:val="single"/>
        </w:rPr>
        <w:t xml:space="preserve">                    </w:t>
      </w:r>
    </w:p>
    <w:p>
      <w:pPr>
        <w:spacing w:line="56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    话：</w:t>
      </w:r>
      <w:r>
        <w:rPr>
          <w:rFonts w:hint="eastAsia" w:asciiTheme="minorEastAsia" w:hAnsiTheme="minorEastAsia" w:eastAsiaTheme="minorEastAsia" w:cstheme="minorEastAsia"/>
          <w:szCs w:val="21"/>
          <w:u w:val="single"/>
        </w:rPr>
        <w:t xml:space="preserve">              </w:t>
      </w:r>
    </w:p>
    <w:p>
      <w:pPr>
        <w:spacing w:line="560" w:lineRule="exact"/>
        <w:ind w:left="4830" w:hanging="4830" w:hangingChars="2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开户银行：</w:t>
      </w:r>
      <w:r>
        <w:rPr>
          <w:rFonts w:hint="eastAsia" w:asciiTheme="minorEastAsia" w:hAnsiTheme="minorEastAsia" w:eastAsiaTheme="minorEastAsia" w:cstheme="minorEastAsia"/>
          <w:szCs w:val="21"/>
          <w:u w:val="single"/>
        </w:rPr>
        <w:t xml:space="preserve">                   </w:t>
      </w:r>
    </w:p>
    <w:p>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账    号：</w:t>
      </w:r>
      <w:r>
        <w:rPr>
          <w:rFonts w:hint="eastAsia" w:asciiTheme="minorEastAsia" w:hAnsiTheme="minorEastAsia" w:eastAsiaTheme="minorEastAsia" w:cstheme="minorEastAsia"/>
          <w:szCs w:val="21"/>
          <w:u w:val="single"/>
        </w:rPr>
        <w:t xml:space="preserve">                   </w:t>
      </w:r>
    </w:p>
    <w:p>
      <w:pPr>
        <w:pStyle w:val="4"/>
        <w:numPr>
          <w:ilvl w:val="0"/>
          <w:numId w:val="0"/>
        </w:numPr>
        <w:spacing w:before="240" w:after="240"/>
        <w:rPr>
          <w:rFonts w:hint="eastAsia" w:asciiTheme="minorEastAsia" w:hAnsiTheme="minorEastAsia" w:eastAsiaTheme="minorEastAsia" w:cstheme="minorEastAsia"/>
          <w:szCs w:val="28"/>
        </w:rPr>
      </w:pPr>
      <w:bookmarkStart w:id="160" w:name="_Toc26994"/>
      <w:bookmarkStart w:id="161" w:name="_Toc54861682"/>
      <w:bookmarkStart w:id="162" w:name="_Toc16877"/>
      <w:bookmarkStart w:id="163" w:name="_Toc31159"/>
    </w:p>
    <w:p>
      <w:pPr>
        <w:pStyle w:val="4"/>
        <w:numPr>
          <w:ilvl w:val="0"/>
          <w:numId w:val="0"/>
        </w:numPr>
        <w:spacing w:before="240" w:after="240"/>
        <w:jc w:val="center"/>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第二部分  通用条件</w:t>
      </w:r>
      <w:bookmarkEnd w:id="160"/>
      <w:bookmarkEnd w:id="161"/>
      <w:bookmarkEnd w:id="162"/>
      <w:bookmarkEnd w:id="163"/>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szCs w:val="21"/>
        </w:rPr>
      </w:pPr>
      <w:bookmarkStart w:id="164" w:name="_Toc19550"/>
      <w:bookmarkStart w:id="165" w:name="_Toc54861683"/>
      <w:r>
        <w:rPr>
          <w:rFonts w:hint="eastAsia" w:asciiTheme="minorEastAsia" w:hAnsiTheme="minorEastAsia" w:eastAsiaTheme="minorEastAsia" w:cstheme="minorEastAsia"/>
          <w:b/>
          <w:bCs/>
          <w:szCs w:val="21"/>
        </w:rPr>
        <w:t>一.</w:t>
      </w:r>
      <w:r>
        <w:rPr>
          <w:rFonts w:hint="eastAsia" w:asciiTheme="minorEastAsia" w:hAnsiTheme="minorEastAsia" w:eastAsiaTheme="minorEastAsia" w:cstheme="minorEastAsia"/>
          <w:b/>
          <w:szCs w:val="21"/>
        </w:rPr>
        <w:t>词语定义、语言、解释顺序与适用法律</w:t>
      </w:r>
      <w:bookmarkEnd w:id="164"/>
      <w:bookmarkEnd w:id="165"/>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 词语定义</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组成本合同的全部文件中的下列名词和用语应具有本款所赋予的含义：</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1.1.1“工程”是指按照本合同约定实施造价咨询与其他服务的建设工程。</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1.1.2“工程造价”是指工程项目建设过程中预计或实际支出的全部费用。</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1.1.3“委托人”是指本合同中委托造价咨询与其他服务的一方，及其合法的继承人或受让人。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1.1.4“咨询人”是指本合同中提供造价咨询与其他服务的一方，及其合法的继承人。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1.1.5“第三人”是指除委托人、咨询人以外与本咨询业务有关的当事人。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1.1.6“正常工作”是指本合同订立时通用条件和专用条件中约定的咨询人的工作。</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1.1.7“附加工作”是指咨询人根据合同条件完成的正常工作以外的工作。</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1.1.8“项目咨询团队”是指咨询人指派负责履行本合同的团队，其团队成员为本合同的项目咨询人员。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1.1.9“项目负责人”是指由咨询人的法定代表人书面授权，在授权范围内负责履行本合同、主持项目咨询团队工作的负责人。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1.1.10“委托人代表”是指由委托人的法定代表人书面授权，在授权范围内行使委托人权</w:t>
      </w:r>
      <w:r>
        <w:rPr>
          <w:rFonts w:hint="eastAsia" w:asciiTheme="minorEastAsia" w:hAnsiTheme="minorEastAsia" w:eastAsiaTheme="minorEastAsia" w:cstheme="minorEastAsia"/>
          <w:szCs w:val="21"/>
          <w:lang w:eastAsia="zh-CN"/>
        </w:rPr>
        <w:t>力</w:t>
      </w:r>
      <w:r>
        <w:rPr>
          <w:rFonts w:hint="eastAsia" w:asciiTheme="minorEastAsia" w:hAnsiTheme="minorEastAsia" w:eastAsiaTheme="minorEastAsia" w:cstheme="minorEastAsia"/>
          <w:szCs w:val="21"/>
        </w:rPr>
        <w:t>的人。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1.1.11“酬金”是指咨询人履行本合同义务，委托人按照本合同约定给付咨询人的金额。</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1.1.12“正常工作酬金”是指在协议书中载明的，咨询人完成正常工作，委托人应给付咨询人的酬金。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1.1.13“附加工作酬金”是指咨询人完成附加工作，委托人应给付咨询人的酬金。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1.1.14 “书面形式”是指合同书、信件和数据电文（包括电报、电传、传真、电子数据交换和电子邮件）等可以有形地表现所载内容的形式。</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1.1.15 “不可抗力”是指委托人和咨询人在订立本合同时不可预见，在合同履行过程中不可避免并不能克服的自然灾害和社会性突发事件，如地震、海啸、瘟疫、水灾、骚乱、暴动、战争等情形。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 语言</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本合同使用中文书写、解释和说明。如专用条件约定使用两种及以上语言文字时，应以中文为准。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 合同文件的优先顺序</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组成本合同的下列文件彼此应能相互解释、互为说明。除专用条件另有约定外，本合同文件的解释顺序如下：</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协议书</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中标通知书或委托书（如果有）；</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专用条件及附录；</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通用条件；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1.3.5 磋商函及磋商函附录或造价咨询服务建议书（如果有）；</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1.3.6 其他合同文件。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上述各项合同文件包括合同当事人就该项合同文件所作出的补充和修改，属于同一类内容的文件，应以最新签署的为准。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在合同订立及履行过程中形成的与合同有关的文件均构成合同文件的组成部分。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 适用法律</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本合同适用中华人民共和国法律、行政法规、部门规章以及工程所在地的地方性法规、自治条例、单行条例和地方政府规章等。</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合同当事人可以在专用条件中约定本合同适用的其他规范、规程、定额、技术标准等规范性文件。</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szCs w:val="21"/>
        </w:rPr>
      </w:pPr>
      <w:bookmarkStart w:id="166" w:name="_Toc54861684"/>
      <w:bookmarkStart w:id="167" w:name="_Toc26803"/>
      <w:r>
        <w:rPr>
          <w:rFonts w:hint="eastAsia" w:asciiTheme="minorEastAsia" w:hAnsiTheme="minorEastAsia" w:eastAsiaTheme="minorEastAsia" w:cstheme="minorEastAsia"/>
          <w:b/>
          <w:bCs/>
          <w:szCs w:val="21"/>
        </w:rPr>
        <w:t>二.</w:t>
      </w:r>
      <w:r>
        <w:rPr>
          <w:rFonts w:hint="eastAsia" w:asciiTheme="minorEastAsia" w:hAnsiTheme="minorEastAsia" w:eastAsiaTheme="minorEastAsia" w:cstheme="minorEastAsia"/>
          <w:b/>
          <w:szCs w:val="21"/>
        </w:rPr>
        <w:t>委托人的义务</w:t>
      </w:r>
      <w:bookmarkEnd w:id="166"/>
      <w:bookmarkEnd w:id="167"/>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 提供资料</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委托人应当在专用条件约定的时间内，按照附录C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 提供工作条件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委托人应为咨询人完成造价咨询提供必要的条件。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 委托人需要咨询人派驻项目现场咨询人员的，除专用条件另有约定外，项目咨询人员有权无偿使用附录D 中由委托人提供的房屋及设备。</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 委托人应负责与本工程造价咨询业务有关的所有外部关系的协调，为咨询人履行本合同提供必要的外部条件。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 合理工作时限</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委托人应当为咨询人完成其咨询工作，设定合理的工作时限。</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 委托人代表</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委托人应授权一名代表负责本合同的履行。委托人应在双方签订本合同7日内，将委托人代表的姓名和权限范围书面告知咨询人。委托人更换委托人代表时，应提前7日书面通知咨询人。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 答复</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委托人应当在专用条件约定的时间内就咨询人以书面形式提交并要求做出答复的事宜给予书面答复。逾期未答复的，由此造成的工作延误和损失由委托人承担。</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 支付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委托人应当按照合同的约定，向咨询人支付酬金。</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68" w:name="_Toc5061"/>
      <w:bookmarkStart w:id="169" w:name="_Toc54861685"/>
      <w:r>
        <w:rPr>
          <w:rFonts w:hint="eastAsia" w:asciiTheme="minorEastAsia" w:hAnsiTheme="minorEastAsia" w:eastAsiaTheme="minorEastAsia" w:cstheme="minorEastAsia"/>
          <w:b/>
          <w:bCs/>
          <w:szCs w:val="21"/>
        </w:rPr>
        <w:t>三.咨询人的义务</w:t>
      </w:r>
      <w:bookmarkEnd w:id="168"/>
      <w:bookmarkEnd w:id="169"/>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 项目咨询团队及人员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项目咨询团队的主要人员应具有专用条件约定的资格条件，团队人员的数量应符合专用条件的约定。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 项目负责人</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咨询人应以书面形式授权一名项目负责人负责履行本合同、主持项目咨询团队工作。采用招标程序签署本合同的，项目负责人应当与响应文件载明的一致。</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在本合同履行过程中，咨询人员应保持相对稳定，以保证咨询工作正常进行。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咨询人可根据工程进展和工作需要等情形调整项目咨询团队人员。咨询人更换项目负责人时，应提前7 日向委托人书面报告，经委托人同意后方可更换。除专用条件另有约定外，咨询人更换项目咨询团队其他咨询人员，应提前3 日向委托人书面报告，经委托人同意后以相当资格与能力的人员替换。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咨询人员有下列情形之一，委托人要求咨询人更换的，咨询人应当更换：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（1）存在严重过失行为的；</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（2）存在违法行为不能履行职责的；</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（3）涉嫌犯罪的；</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（4）不能胜任岗位职责的；</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（5）严重违反职业道德的；</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（6）专用条件约定的其他情形。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 咨询人的工作要求</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3.2.2 咨询人应当在专用条件约定的时间内，按照专用条件约定的份数、组成向委托人提交咨询成果文件。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3.2.3 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3.2.4 咨询人应在专用条件约定的时间内，对委托人以书面形式提出的建议或者异议给予书面答复。</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3.2.5 咨询人从事工程造价咨询活动，应当遵循独立、客观、公正、诚实信用的原则，不得损害社会公共利益和他人的合法权益。</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3.2.6 咨询人承诺按照法律规定及合同约定，完成合同范围内的建设工程造价咨询服务，不转包承接的造价咨询服务业务。</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咨询人的工作依据</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咨询人应自行配备本条所述的技术标准、规范、定额等相关资料。必须由委托人提供的资料，应在附录C 中载明。需要委托人协助才能获得的资料，委托人应予以协助。</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 使用委托人房屋及设备的返还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70" w:name="_Toc54861686"/>
      <w:bookmarkStart w:id="171" w:name="_Toc7053"/>
      <w:r>
        <w:rPr>
          <w:rFonts w:hint="eastAsia" w:asciiTheme="minorEastAsia" w:hAnsiTheme="minorEastAsia" w:eastAsiaTheme="minorEastAsia" w:cstheme="minorEastAsia"/>
          <w:b/>
          <w:bCs/>
          <w:szCs w:val="21"/>
        </w:rPr>
        <w:t>四.违约责任</w:t>
      </w:r>
      <w:bookmarkEnd w:id="170"/>
      <w:bookmarkEnd w:id="171"/>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 委托人的违约责任</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 委托人不履行本合同义务或者履行义务不符合本合同约定的，应承担违约责任。双方可在专用条件中约定违约金的计算及支付方法。</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 委托人违反本合同约定造成咨询人损失的，委托人应予以赔偿。双方可在专用条件中约定赔偿金额的确定及支付方法。</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4.1.3 委托人未能按期支付酬金超过14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 咨询人的违约责任</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 咨询人不履行本合同义务或者履行义务不符合本合同约定的，应承担违约责任。双方可在专用条件中约定违约金的计算及支付方法。</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 因咨询人违反本合同约定给委托人造成损失的，咨询人应当赔偿委托人损失。双方可在专用条件中约定赔偿金额的确定及支付方法。</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72" w:name="_Toc54861687"/>
      <w:bookmarkStart w:id="173" w:name="_Toc3498"/>
      <w:r>
        <w:rPr>
          <w:rFonts w:hint="eastAsia" w:asciiTheme="minorEastAsia" w:hAnsiTheme="minorEastAsia" w:eastAsiaTheme="minorEastAsia" w:cstheme="minorEastAsia"/>
          <w:b/>
          <w:bCs/>
          <w:szCs w:val="21"/>
        </w:rPr>
        <w:t>五.支付</w:t>
      </w:r>
      <w:bookmarkEnd w:id="172"/>
      <w:bookmarkEnd w:id="173"/>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 支付货币</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除专用条件另有约定外，酬金均以人民币支付。涉及外币支付的，所采用的货币种类和汇率等在专用条件中约定。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支付申请</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 支付酬金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支付酬金包括正常工作酬金、附加工作酬金、合理化建议奖励金额及费用。</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 有异议部分的支付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委托人对咨询人提交的支付申请书有异议时，应当在收到咨询人提交的支付申请书后7 日内，以书面形式向咨询人发出异议通知。无异议部分的款项应按期支付，有异议部分的款项按第7 条约定办理。</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74" w:name="_Toc54861688"/>
      <w:bookmarkStart w:id="175" w:name="_Toc28069"/>
      <w:r>
        <w:rPr>
          <w:rFonts w:hint="eastAsia" w:asciiTheme="minorEastAsia" w:hAnsiTheme="minorEastAsia" w:eastAsiaTheme="minorEastAsia" w:cstheme="minorEastAsia"/>
          <w:b/>
          <w:bCs/>
          <w:szCs w:val="21"/>
        </w:rPr>
        <w:t>六.合同变更、解除与终止</w:t>
      </w:r>
      <w:bookmarkEnd w:id="174"/>
      <w:bookmarkEnd w:id="175"/>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 合同变更</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6.1.1 任何一方以书面形式提出变更请求时，双方经协商一致后可进行变更。</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6.1.4 因工程规模、服务范围及工作内容的变化等导致咨询人的工作量增减时，服务酬金应作相应调整，调整方法由双方在专用条件中约定。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 合同解除</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6.2.1 委托人与咨询人协商一致，可以解除合同。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6.2.2 有下列情形之一的，合同当事人一方或双方可以解除合同：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（1）咨询人将本合同约定的工程造价咨询服务工作全部或部分转包给他人，委托人可以解除合同；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（2）咨询人提供的造价咨询服务不符合合同约定的要求，经委托人催告仍不能达到合同约定要求的，委托人可以解除合同；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（3）委托人未按合同约定支付服务酬金，经咨询人催告后，在28天内仍未支付的，咨询人可以解除合同；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（4）因不可抗力致使合同无法履行；</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（5）因一方违约致使合同无法实际履行或实际履行已无必要。</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除上述情形外，双方可以根据委托的服务范围及工作内容，在专用条件中约定解除合同的其他条件。</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6.2.3 任何一方提出解除合同的，应提前30天书面通知对方。</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6.2.4 合同解除后，委托人应按照合同约定向咨询人支付已完成部分的咨询服务酬金。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6.2.5 本合同解除后，本合同约定的有关结算、争议解决方式的条款仍然有效。</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6.3 合同终止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除合同解除外，以下条件全部满足时，本合同终止：</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（1）咨询人完成本合同约定的全部工作；</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（2）委托人与咨询人结清并支付酬金；</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（3）咨询人将委托人提供的资料交还。</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76" w:name="_Toc54861689"/>
      <w:bookmarkStart w:id="177" w:name="_Toc29359"/>
      <w:r>
        <w:rPr>
          <w:rFonts w:hint="eastAsia" w:asciiTheme="minorEastAsia" w:hAnsiTheme="minorEastAsia" w:eastAsiaTheme="minorEastAsia" w:cstheme="minorEastAsia"/>
          <w:b/>
          <w:bCs/>
          <w:szCs w:val="21"/>
        </w:rPr>
        <w:t>七.争议解决</w:t>
      </w:r>
      <w:bookmarkEnd w:id="176"/>
      <w:bookmarkEnd w:id="177"/>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 协商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双方应本着诚实信用的原则协商解决本合同履行过程中发生的争议。</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 调解</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如果双方不能在14 日内或双方商定的其他时间内解决本合同争议，可以将其提交给专用条件约定的或事后达成协议的调解人进行调解。</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7.3 仲裁或诉讼</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双方均有权不经调解直接向专用条件约定的仲裁机构申请仲裁或向有管辖权的人民法院提起诉讼。</w:t>
      </w:r>
    </w:p>
    <w:p>
      <w:pPr>
        <w:autoSpaceDE w:val="0"/>
        <w:autoSpaceDN w:val="0"/>
        <w:adjustRightInd w:val="0"/>
        <w:spacing w:line="460" w:lineRule="exact"/>
        <w:ind w:firstLine="421" w:firstLineChars="200"/>
        <w:outlineLvl w:val="1"/>
        <w:rPr>
          <w:rFonts w:hint="eastAsia" w:asciiTheme="minorEastAsia" w:hAnsiTheme="minorEastAsia" w:eastAsiaTheme="minorEastAsia" w:cstheme="minorEastAsia"/>
          <w:b/>
          <w:bCs/>
          <w:szCs w:val="21"/>
        </w:rPr>
      </w:pPr>
      <w:bookmarkStart w:id="178" w:name="_Toc23758"/>
      <w:bookmarkStart w:id="179" w:name="_Toc54861690"/>
      <w:r>
        <w:rPr>
          <w:rFonts w:hint="eastAsia" w:asciiTheme="minorEastAsia" w:hAnsiTheme="minorEastAsia" w:eastAsiaTheme="minorEastAsia" w:cstheme="minorEastAsia"/>
          <w:b/>
          <w:bCs/>
          <w:szCs w:val="21"/>
        </w:rPr>
        <w:t>八.其他</w:t>
      </w:r>
      <w:bookmarkEnd w:id="178"/>
      <w:bookmarkEnd w:id="179"/>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考察及相关费用</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除专用条件另有约定外，咨询人经委托人同意进行考察发生的费用由委托人审核后另行支付。差旅费及相关费用的承担由双方在专用条件中约定。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奖励</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对于咨询人在服务过程中提出合理化建议，使委托人获得效益的，双方在专用条件中约定奖励金额的确定方法。奖励金额在合理化建议被采纳后，与最近一期的正常工作酬金同期支付。</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 保密</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 联络</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8.4.1 与合同有关的通知、指示、要求、决定等，均应采用书面形式，并应在专用条件约定的期限内送达接收人和送达地点。</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8.4.2 委托人和咨询人应在专用条件中约定各自的送达接收人、送达地点、电子邮箱。任何一方指定的接收人或送达地点或电子邮箱发生变动的，应提前3 天以书面形式通知对方，否则视为未发生变动。</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8.4.3 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 知识产权</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除专用条件另有约定外，双方均有权在履行本合同保密义务并且不损害对方利益的情况下，将履行本合同形成的有关成果文件用于企业宣传、申报奖项以及接受上级主管部门的检查。</w:t>
      </w:r>
    </w:p>
    <w:p>
      <w:pPr>
        <w:spacing w:line="560" w:lineRule="exact"/>
        <w:ind w:firstLine="420" w:firstLineChars="200"/>
        <w:contextualSpacing/>
        <w:rPr>
          <w:rFonts w:hint="eastAsia" w:asciiTheme="minorEastAsia" w:hAnsiTheme="minorEastAsia" w:eastAsiaTheme="minorEastAsia" w:cstheme="minorEastAsia"/>
          <w:bCs/>
          <w:szCs w:val="21"/>
        </w:rPr>
      </w:pPr>
    </w:p>
    <w:p>
      <w:pPr>
        <w:pStyle w:val="2"/>
        <w:spacing w:line="560" w:lineRule="exact"/>
        <w:rPr>
          <w:rFonts w:hint="eastAsia" w:asciiTheme="minorEastAsia" w:hAnsiTheme="minorEastAsia" w:eastAsiaTheme="minorEastAsia" w:cstheme="minorEastAsia"/>
          <w:sz w:val="21"/>
          <w:szCs w:val="21"/>
        </w:rPr>
      </w:pPr>
    </w:p>
    <w:p>
      <w:pPr>
        <w:autoSpaceDE w:val="0"/>
        <w:autoSpaceDN w:val="0"/>
        <w:adjustRightInd w:val="0"/>
        <w:spacing w:line="460" w:lineRule="exact"/>
        <w:ind w:firstLine="420" w:firstLineChars="200"/>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br w:type="page"/>
      </w:r>
    </w:p>
    <w:p>
      <w:pPr>
        <w:adjustRightInd w:val="0"/>
        <w:snapToGrid w:val="0"/>
        <w:spacing w:line="560" w:lineRule="exact"/>
        <w:jc w:val="center"/>
        <w:rPr>
          <w:rFonts w:hint="eastAsia" w:ascii="宋体" w:hAnsi="宋体"/>
          <w:b/>
          <w:bCs/>
          <w:color w:val="000000"/>
          <w:sz w:val="24"/>
        </w:rPr>
      </w:pPr>
      <w:r>
        <w:rPr>
          <w:rFonts w:hint="eastAsia" w:ascii="宋体" w:hAnsi="宋体"/>
          <w:b/>
          <w:bCs/>
          <w:color w:val="000000"/>
          <w:sz w:val="24"/>
        </w:rPr>
        <w:t>第三部分　专用条款</w:t>
      </w:r>
    </w:p>
    <w:p>
      <w:pPr>
        <w:snapToGrid w:val="0"/>
        <w:spacing w:line="360" w:lineRule="auto"/>
        <w:ind w:firstLine="371" w:firstLineChars="176"/>
        <w:rPr>
          <w:rFonts w:hint="eastAsia" w:ascii="宋体" w:hAnsi="宋体"/>
          <w:b/>
          <w:color w:val="000000"/>
          <w:szCs w:val="21"/>
        </w:rPr>
      </w:pPr>
    </w:p>
    <w:p>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1.词语定义、语言、解释顺序与适用法律</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 语言</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本合同文件除使用中文外，还可用/。</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1.3合同文件的优先顺序</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本合同文件的解释顺序为：</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中标通知书或委托书；</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磋商函及磋商函附录或造价咨询服务建议书；</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专用条件及附录；</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通用条件；</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1.3.5 其他合同文件。</w:t>
      </w:r>
    </w:p>
    <w:p>
      <w:pPr>
        <w:adjustRightInd w:val="0"/>
        <w:snapToGrid w:val="0"/>
        <w:spacing w:line="360" w:lineRule="auto"/>
        <w:ind w:firstLine="420" w:firstLineChars="200"/>
        <w:rPr>
          <w:rFonts w:hint="eastAsia" w:ascii="宋体" w:hAnsi="宋体"/>
          <w:color w:val="000000"/>
          <w:szCs w:val="21"/>
        </w:rPr>
      </w:pPr>
      <w:r>
        <w:rPr>
          <w:rFonts w:hint="eastAsia" w:asciiTheme="minorEastAsia" w:hAnsiTheme="minorEastAsia" w:eastAsiaTheme="minorEastAsia" w:cstheme="minorEastAsia"/>
          <w:szCs w:val="21"/>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r>
        <w:rPr>
          <w:rFonts w:hint="eastAsia" w:ascii="宋体" w:hAnsi="宋体"/>
          <w:color w:val="000000"/>
          <w:szCs w:val="21"/>
        </w:rPr>
        <w:t xml:space="preserve"> </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1.4适用法律</w:t>
      </w:r>
    </w:p>
    <w:p>
      <w:pPr>
        <w:adjustRightInd w:val="0"/>
        <w:snapToGrid w:val="0"/>
        <w:spacing w:line="360" w:lineRule="auto"/>
        <w:rPr>
          <w:rFonts w:hint="eastAsia" w:ascii="宋体" w:hAnsi="宋体"/>
          <w:color w:val="000000"/>
          <w:szCs w:val="21"/>
        </w:rPr>
      </w:pPr>
      <w:r>
        <w:rPr>
          <w:rFonts w:hint="eastAsia" w:ascii="宋体" w:hAnsi="宋体"/>
          <w:color w:val="000000"/>
          <w:szCs w:val="21"/>
        </w:rPr>
        <w:t xml:space="preserve">    本合同适用的法律、法规及工程造价计价办法和规定：</w:t>
      </w:r>
      <w:r>
        <w:rPr>
          <w:rFonts w:hint="eastAsia" w:ascii="宋体" w:hAnsi="宋体"/>
          <w:color w:val="000000"/>
          <w:szCs w:val="21"/>
          <w:u w:val="single"/>
        </w:rPr>
        <w:t>现行相关法律法规文件</w:t>
      </w:r>
      <w:r>
        <w:rPr>
          <w:rFonts w:hint="eastAsia" w:ascii="宋体" w:hAnsi="宋体"/>
          <w:color w:val="000000"/>
          <w:szCs w:val="21"/>
        </w:rPr>
        <w:t>。</w:t>
      </w:r>
    </w:p>
    <w:p>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2.委托人的义务</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2.1提供资料</w:t>
      </w:r>
    </w:p>
    <w:p>
      <w:pPr>
        <w:adjustRightInd w:val="0"/>
        <w:snapToGrid w:val="0"/>
        <w:spacing w:line="360" w:lineRule="auto"/>
        <w:ind w:firstLine="420" w:firstLineChars="200"/>
        <w:rPr>
          <w:rFonts w:hint="eastAsia" w:ascii="宋体" w:hAnsi="宋体"/>
          <w:color w:val="000000"/>
          <w:szCs w:val="21"/>
          <w:u w:val="single"/>
        </w:rPr>
      </w:pPr>
      <w:r>
        <w:rPr>
          <w:rFonts w:hint="eastAsia" w:ascii="宋体" w:hAnsi="宋体"/>
          <w:color w:val="000000"/>
          <w:szCs w:val="21"/>
        </w:rPr>
        <w:t>委托人按照工程进度无偿向咨询人提供与本合同咨询业务有关资料的时间为：</w:t>
      </w:r>
      <w:r>
        <w:rPr>
          <w:rFonts w:hint="eastAsia" w:ascii="宋体" w:hAnsi="宋体"/>
          <w:color w:val="000000"/>
          <w:szCs w:val="21"/>
          <w:u w:val="single"/>
        </w:rPr>
        <w:t>咨询人接受委托后，委托人在相对合理期限内积极配合。</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2.2提供工作条件</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2.2.1 项目咨询人员使用由委托人提供的房屋及设备时，费用由【   】承担。</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2.4委托人代表</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委托人代表为：</w:t>
      </w:r>
      <w:r>
        <w:rPr>
          <w:rFonts w:hint="eastAsia" w:ascii="宋体" w:hAnsi="宋体"/>
          <w:color w:val="000000"/>
          <w:szCs w:val="21"/>
          <w:u w:val="single"/>
        </w:rPr>
        <w:t xml:space="preserve">     </w:t>
      </w:r>
      <w:r>
        <w:rPr>
          <w:rFonts w:hint="eastAsia" w:ascii="宋体" w:hAnsi="宋体"/>
          <w:color w:val="000000"/>
          <w:szCs w:val="21"/>
        </w:rPr>
        <w:t>，其权限范围：代表委托人对项目的咨询过程及结果行使权</w:t>
      </w:r>
      <w:r>
        <w:rPr>
          <w:rFonts w:hint="eastAsia" w:ascii="宋体" w:hAnsi="宋体"/>
          <w:color w:val="000000"/>
          <w:szCs w:val="21"/>
          <w:lang w:eastAsia="zh-CN"/>
        </w:rPr>
        <w:t>力</w:t>
      </w:r>
      <w:r>
        <w:rPr>
          <w:rFonts w:hint="eastAsia" w:ascii="宋体" w:hAnsi="宋体"/>
          <w:color w:val="000000"/>
          <w:szCs w:val="21"/>
        </w:rPr>
        <w:t>及承担义务。</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2.5答复</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委托人应在</w:t>
      </w:r>
      <w:r>
        <w:rPr>
          <w:rFonts w:hint="eastAsia" w:ascii="宋体" w:hAnsi="宋体"/>
          <w:color w:val="000000"/>
          <w:szCs w:val="21"/>
          <w:u w:val="single"/>
        </w:rPr>
        <w:t xml:space="preserve">    </w:t>
      </w:r>
      <w:r>
        <w:rPr>
          <w:rFonts w:hint="eastAsia" w:ascii="宋体" w:hAnsi="宋体"/>
          <w:color w:val="000000"/>
          <w:szCs w:val="21"/>
        </w:rPr>
        <w:t>日内对咨询人书面提交并要求做出答复的事宜做出书面答复。逾期未答复的，视为委托人认可。</w:t>
      </w:r>
    </w:p>
    <w:p>
      <w:pPr>
        <w:snapToGrid w:val="0"/>
        <w:spacing w:line="360" w:lineRule="auto"/>
        <w:ind w:firstLine="373" w:firstLineChars="177"/>
        <w:rPr>
          <w:rFonts w:hint="eastAsia" w:ascii="宋体" w:hAnsi="宋体"/>
          <w:b/>
          <w:color w:val="000000"/>
          <w:szCs w:val="21"/>
        </w:rPr>
      </w:pPr>
      <w:r>
        <w:rPr>
          <w:rFonts w:hint="eastAsia" w:ascii="宋体" w:hAnsi="宋体"/>
          <w:b/>
          <w:color w:val="000000"/>
          <w:szCs w:val="21"/>
        </w:rPr>
        <w:t>3.咨询人的义务</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3.1项目咨询团队及人员</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3.1.1项目咨询团队的主要人员应具有从业资格证或职称证，团队人员的数量为</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3.1.2项目负责人为：</w:t>
      </w:r>
      <w:r>
        <w:rPr>
          <w:rFonts w:hint="eastAsia" w:ascii="宋体" w:hAnsi="宋体"/>
          <w:color w:val="000000"/>
          <w:szCs w:val="21"/>
          <w:u w:val="single"/>
        </w:rPr>
        <w:t xml:space="preserve">     </w:t>
      </w:r>
      <w:r>
        <w:rPr>
          <w:rFonts w:hint="eastAsia" w:ascii="宋体" w:hAnsi="宋体"/>
          <w:color w:val="000000"/>
          <w:szCs w:val="21"/>
        </w:rPr>
        <w:t>，项目负责人为履行本合同的权限为：代表咨询人对项目的咨询过程及结果行使权</w:t>
      </w:r>
      <w:r>
        <w:rPr>
          <w:rFonts w:hint="eastAsia" w:ascii="宋体" w:hAnsi="宋体"/>
          <w:color w:val="000000"/>
          <w:szCs w:val="21"/>
          <w:lang w:eastAsia="zh-CN"/>
        </w:rPr>
        <w:t>力</w:t>
      </w:r>
      <w:r>
        <w:rPr>
          <w:rFonts w:hint="eastAsia" w:ascii="宋体" w:hAnsi="宋体"/>
          <w:color w:val="000000"/>
          <w:szCs w:val="21"/>
        </w:rPr>
        <w:t>及承担义务。</w:t>
      </w:r>
    </w:p>
    <w:p>
      <w:pPr>
        <w:snapToGrid w:val="0"/>
        <w:spacing w:line="360" w:lineRule="auto"/>
        <w:ind w:firstLine="371" w:firstLineChars="177"/>
        <w:rPr>
          <w:rFonts w:hint="eastAsia" w:ascii="宋体" w:hAnsi="宋体"/>
          <w:color w:val="000000"/>
          <w:szCs w:val="21"/>
          <w:u w:val="single"/>
        </w:rPr>
      </w:pPr>
      <w:r>
        <w:rPr>
          <w:rFonts w:hint="eastAsia" w:ascii="宋体" w:hAnsi="宋体"/>
          <w:color w:val="000000"/>
          <w:szCs w:val="21"/>
        </w:rPr>
        <w:t>3.1.3咨询人更换项目咨询团队其他咨询人员的约定</w:t>
      </w:r>
      <w:r>
        <w:rPr>
          <w:rFonts w:hint="eastAsia" w:ascii="宋体" w:hAnsi="宋体"/>
          <w:color w:val="000000"/>
          <w:szCs w:val="21"/>
          <w:u w:val="single"/>
        </w:rPr>
        <w:t xml:space="preserve">                             </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3.1.4 委托人要求更换咨询人员的情形还包括：</w:t>
      </w:r>
      <w:r>
        <w:rPr>
          <w:rFonts w:hint="eastAsia" w:ascii="宋体" w:hAnsi="宋体"/>
          <w:color w:val="000000"/>
          <w:szCs w:val="21"/>
          <w:u w:val="single"/>
        </w:rPr>
        <w:t xml:space="preserve">                                </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3.2咨询人的工作要求</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3.2.1咨询人向委托人提供有关资料的时间：</w:t>
      </w:r>
      <w:r>
        <w:rPr>
          <w:rFonts w:hint="eastAsia" w:ascii="宋体" w:hAnsi="宋体"/>
          <w:color w:val="000000"/>
          <w:szCs w:val="21"/>
          <w:u w:val="single"/>
        </w:rPr>
        <w:t xml:space="preserve">           。</w:t>
      </w:r>
      <w:r>
        <w:rPr>
          <w:rFonts w:hint="eastAsia" w:ascii="宋体" w:hAnsi="宋体"/>
          <w:color w:val="000000"/>
          <w:szCs w:val="21"/>
        </w:rPr>
        <w:t>咨询人向委托人提供的资料还包括：</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3.2.2咨询人向委托人提供咨询成果文件的名称、组成、时间、份数及质量标准：</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3.3咨询人的工作依据</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经双方协商，本合同约定的造价咨询服务适用的技术标准、规范、定额等工作依据为</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3.4使用委托人房屋及设备的返还</w:t>
      </w:r>
    </w:p>
    <w:p>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咨询人应在本合同终止后</w:t>
      </w:r>
      <w:r>
        <w:rPr>
          <w:rFonts w:hint="eastAsia" w:ascii="宋体" w:hAnsi="宋体"/>
          <w:color w:val="000000"/>
          <w:szCs w:val="21"/>
          <w:u w:val="single"/>
        </w:rPr>
        <w:t xml:space="preserve">    </w:t>
      </w:r>
      <w:r>
        <w:rPr>
          <w:rFonts w:hint="eastAsia" w:ascii="宋体" w:hAnsi="宋体"/>
          <w:color w:val="000000"/>
          <w:szCs w:val="21"/>
        </w:rPr>
        <w:t>个工作日内移交委托人提供的房屋及设备，移交的方式为</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4.2咨询人的违约责任</w:t>
      </w:r>
    </w:p>
    <w:p>
      <w:pPr>
        <w:pStyle w:val="22"/>
        <w:rPr>
          <w:u w:val="single"/>
        </w:rPr>
      </w:pPr>
      <w:r>
        <w:rPr>
          <w:rFonts w:hint="eastAsia" w:ascii="宋体" w:hAnsi="宋体"/>
          <w:color w:val="000000"/>
          <w:szCs w:val="21"/>
          <w:u w:val="single"/>
        </w:rPr>
        <w:t xml:space="preserve">                               。</w:t>
      </w:r>
    </w:p>
    <w:p>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5. 支付</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5.1支付货币</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币种为：</w:t>
      </w:r>
      <w:r>
        <w:rPr>
          <w:rFonts w:hint="eastAsia" w:ascii="宋体" w:hAnsi="宋体"/>
          <w:color w:val="000000"/>
          <w:szCs w:val="21"/>
          <w:u w:val="single"/>
        </w:rPr>
        <w:t>人民币</w:t>
      </w:r>
      <w:r>
        <w:rPr>
          <w:rFonts w:hint="eastAsia" w:ascii="宋体" w:hAnsi="宋体"/>
          <w:color w:val="000000"/>
          <w:szCs w:val="21"/>
        </w:rPr>
        <w:t>_</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5.2 支付申请</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咨询人应在本合同约定的每次应付款日期</w:t>
      </w:r>
      <w:r>
        <w:rPr>
          <w:rFonts w:hint="eastAsia" w:ascii="宋体" w:hAnsi="宋体"/>
          <w:color w:val="auto"/>
          <w:szCs w:val="21"/>
          <w:u w:val="single"/>
        </w:rPr>
        <w:t>7</w:t>
      </w:r>
      <w:r>
        <w:rPr>
          <w:rFonts w:hint="eastAsia" w:ascii="宋体" w:hAnsi="宋体"/>
          <w:color w:val="auto"/>
          <w:szCs w:val="21"/>
        </w:rPr>
        <w:t>日前，向委托人提交</w:t>
      </w:r>
      <w:r>
        <w:rPr>
          <w:rFonts w:hint="eastAsia" w:ascii="宋体" w:hAnsi="宋体"/>
          <w:b/>
          <w:color w:val="auto"/>
          <w:szCs w:val="21"/>
        </w:rPr>
        <w:t>《请款报告》</w:t>
      </w:r>
      <w:r>
        <w:rPr>
          <w:rFonts w:hint="eastAsia" w:ascii="宋体" w:hAnsi="宋体"/>
          <w:color w:val="auto"/>
          <w:szCs w:val="21"/>
        </w:rPr>
        <w:t>。</w:t>
      </w:r>
    </w:p>
    <w:p>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5.3支付酬金正常工作酬金的支付：</w:t>
      </w:r>
    </w:p>
    <w:p>
      <w:pPr>
        <w:spacing w:line="480" w:lineRule="auto"/>
        <w:ind w:firstLine="420" w:firstLineChars="200"/>
        <w:rPr>
          <w:color w:val="auto"/>
          <w:szCs w:val="21"/>
        </w:rPr>
      </w:pPr>
      <w:r>
        <w:rPr>
          <w:rFonts w:hint="eastAsia" w:ascii="宋体" w:hAnsi="宋体" w:cs="宋体"/>
          <w:color w:val="auto"/>
          <w:szCs w:val="21"/>
        </w:rPr>
        <w:t>本项目无预付款，</w:t>
      </w:r>
      <w:bookmarkStart w:id="180" w:name="_Hlk180757631"/>
      <w:r>
        <w:rPr>
          <w:rFonts w:hint="eastAsia" w:ascii="宋体" w:hAnsi="宋体" w:cs="宋体"/>
          <w:color w:val="auto"/>
          <w:szCs w:val="21"/>
        </w:rPr>
        <w:t>待完</w:t>
      </w:r>
      <w:r>
        <w:rPr>
          <w:rFonts w:hint="eastAsia"/>
          <w:color w:val="auto"/>
          <w:szCs w:val="21"/>
        </w:rPr>
        <w:t>成项目</w:t>
      </w:r>
      <w:r>
        <w:rPr>
          <w:rFonts w:hint="eastAsia"/>
          <w:color w:val="auto"/>
          <w:szCs w:val="21"/>
          <w:lang w:eastAsia="zh-CN"/>
        </w:rPr>
        <w:t>全部工程结算审核</w:t>
      </w:r>
      <w:r>
        <w:rPr>
          <w:rFonts w:hint="eastAsia"/>
          <w:color w:val="auto"/>
          <w:szCs w:val="21"/>
        </w:rPr>
        <w:t>工作，咨</w:t>
      </w:r>
      <w:r>
        <w:rPr>
          <w:rFonts w:hint="eastAsia" w:ascii="宋体" w:hAnsi="宋体" w:cs="宋体"/>
          <w:color w:val="auto"/>
          <w:szCs w:val="21"/>
        </w:rPr>
        <w:t>询人</w:t>
      </w:r>
      <w:r>
        <w:rPr>
          <w:rFonts w:ascii="宋体" w:hAnsi="宋体" w:cs="宋体"/>
          <w:color w:val="auto"/>
          <w:szCs w:val="21"/>
        </w:rPr>
        <w:t>出具</w:t>
      </w:r>
      <w:r>
        <w:rPr>
          <w:rFonts w:hint="eastAsia" w:ascii="宋体" w:hAnsi="宋体" w:cs="宋体"/>
          <w:color w:val="auto"/>
          <w:szCs w:val="21"/>
        </w:rPr>
        <w:t>项目</w:t>
      </w:r>
      <w:r>
        <w:rPr>
          <w:rFonts w:hint="eastAsia" w:ascii="宋体" w:hAnsi="宋体"/>
          <w:color w:val="auto"/>
          <w:szCs w:val="21"/>
          <w:lang w:eastAsia="zh-CN"/>
        </w:rPr>
        <w:t>工程结算审核</w:t>
      </w:r>
      <w:r>
        <w:rPr>
          <w:rFonts w:hint="eastAsia" w:ascii="宋体" w:hAnsi="宋体"/>
          <w:color w:val="auto"/>
          <w:szCs w:val="21"/>
        </w:rPr>
        <w:t>报告后</w:t>
      </w:r>
      <w:r>
        <w:rPr>
          <w:rFonts w:hint="eastAsia" w:ascii="宋体" w:hAnsi="宋体" w:cs="宋体"/>
          <w:color w:val="auto"/>
          <w:szCs w:val="21"/>
        </w:rPr>
        <w:t>60个日历天内一</w:t>
      </w:r>
      <w:r>
        <w:rPr>
          <w:rFonts w:ascii="宋体" w:hAnsi="宋体" w:cs="宋体"/>
          <w:color w:val="auto"/>
          <w:szCs w:val="21"/>
        </w:rPr>
        <w:t>次性支付</w:t>
      </w:r>
      <w:r>
        <w:rPr>
          <w:rFonts w:hint="eastAsia" w:ascii="宋体" w:hAnsi="宋体" w:cs="宋体"/>
          <w:color w:val="auto"/>
          <w:szCs w:val="21"/>
          <w:lang w:eastAsia="zh-CN"/>
        </w:rPr>
        <w:t>服务</w:t>
      </w:r>
      <w:r>
        <w:rPr>
          <w:rFonts w:ascii="宋体" w:hAnsi="宋体" w:cs="宋体"/>
          <w:color w:val="auto"/>
          <w:szCs w:val="21"/>
        </w:rPr>
        <w:t>费用。</w:t>
      </w:r>
      <w:bookmarkEnd w:id="180"/>
    </w:p>
    <w:p>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6. 合同变更、解除与终止</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6.1合同变更</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6.1.2 除不可抗力外，因非咨询人原因导致本合同履行期限延长、内容增加时，附加工作酬金按下列方法确定：</w:t>
      </w:r>
      <w:r>
        <w:rPr>
          <w:rFonts w:hint="eastAsia" w:ascii="宋体" w:hAnsi="宋体"/>
          <w:color w:val="auto"/>
          <w:szCs w:val="21"/>
          <w:u w:val="single"/>
        </w:rPr>
        <w:t xml:space="preserve">      </w:t>
      </w:r>
      <w:r>
        <w:rPr>
          <w:rFonts w:hint="eastAsia" w:ascii="宋体" w:hAnsi="宋体"/>
          <w:color w:val="auto"/>
          <w:szCs w:val="21"/>
        </w:rPr>
        <w:t>。</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6.1.4因工程规模、服务范围及内容的变化等导致咨询人的工作量增减时，服务酬金的调整方法：</w:t>
      </w:r>
      <w:r>
        <w:rPr>
          <w:rFonts w:hint="eastAsia" w:ascii="宋体" w:hAnsi="宋体"/>
          <w:color w:val="auto"/>
          <w:szCs w:val="21"/>
          <w:u w:val="single"/>
        </w:rPr>
        <w:t xml:space="preserve">       </w:t>
      </w:r>
      <w:r>
        <w:rPr>
          <w:rFonts w:hint="eastAsia" w:ascii="宋体" w:hAnsi="宋体"/>
          <w:color w:val="auto"/>
          <w:szCs w:val="21"/>
        </w:rPr>
        <w:t>。</w:t>
      </w:r>
    </w:p>
    <w:p>
      <w:pPr>
        <w:snapToGrid w:val="0"/>
        <w:spacing w:line="360" w:lineRule="auto"/>
        <w:ind w:firstLine="369" w:firstLineChars="176"/>
        <w:rPr>
          <w:rFonts w:hint="eastAsia" w:ascii="宋体" w:hAnsi="宋体"/>
          <w:color w:val="auto"/>
          <w:szCs w:val="21"/>
        </w:rPr>
      </w:pPr>
      <w:r>
        <w:rPr>
          <w:rFonts w:hint="eastAsia" w:ascii="宋体" w:hAnsi="宋体"/>
          <w:color w:val="auto"/>
          <w:szCs w:val="21"/>
        </w:rPr>
        <w:t>6.2合同解除：</w:t>
      </w:r>
      <w:r>
        <w:rPr>
          <w:rFonts w:hint="eastAsia" w:ascii="宋体" w:hAnsi="宋体"/>
          <w:color w:val="auto"/>
          <w:szCs w:val="21"/>
          <w:u w:val="single"/>
        </w:rPr>
        <w:t xml:space="preserve">                         </w:t>
      </w:r>
      <w:r>
        <w:rPr>
          <w:rFonts w:hint="eastAsia" w:ascii="宋体" w:hAnsi="宋体"/>
          <w:color w:val="auto"/>
          <w:szCs w:val="21"/>
        </w:rPr>
        <w:t>。</w:t>
      </w:r>
    </w:p>
    <w:p>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7. 争议解决</w:t>
      </w:r>
    </w:p>
    <w:p>
      <w:pPr>
        <w:spacing w:line="360" w:lineRule="auto"/>
        <w:ind w:firstLine="420" w:firstLineChars="200"/>
        <w:rPr>
          <w:rFonts w:hint="eastAsia" w:ascii="宋体" w:hAnsi="宋体"/>
          <w:color w:val="auto"/>
          <w:szCs w:val="21"/>
        </w:rPr>
      </w:pPr>
      <w:r>
        <w:rPr>
          <w:rFonts w:hint="eastAsia" w:ascii="宋体" w:hAnsi="宋体"/>
          <w:color w:val="auto"/>
          <w:szCs w:val="21"/>
        </w:rPr>
        <w:t>7.3 仲裁或诉讼</w:t>
      </w:r>
    </w:p>
    <w:p>
      <w:pPr>
        <w:spacing w:line="360" w:lineRule="auto"/>
        <w:ind w:firstLine="420" w:firstLineChars="200"/>
        <w:rPr>
          <w:rFonts w:hint="eastAsia" w:ascii="宋体" w:hAnsi="宋体"/>
          <w:color w:val="auto"/>
          <w:szCs w:val="21"/>
        </w:rPr>
      </w:pPr>
      <w:r>
        <w:rPr>
          <w:rFonts w:hint="eastAsia" w:ascii="宋体" w:hAnsi="宋体"/>
          <w:color w:val="auto"/>
          <w:szCs w:val="21"/>
        </w:rPr>
        <w:t>合同争议的最终解决方式为下列第</w:t>
      </w:r>
      <w:r>
        <w:rPr>
          <w:rFonts w:hint="eastAsia" w:ascii="宋体" w:hAnsi="宋体"/>
          <w:color w:val="auto"/>
          <w:szCs w:val="21"/>
          <w:u w:val="single"/>
        </w:rPr>
        <w:t>（2）</w:t>
      </w:r>
      <w:r>
        <w:rPr>
          <w:rFonts w:hint="eastAsia" w:ascii="宋体" w:hAnsi="宋体"/>
          <w:color w:val="auto"/>
          <w:szCs w:val="21"/>
        </w:rPr>
        <w:t>种方式：</w:t>
      </w:r>
    </w:p>
    <w:p>
      <w:pPr>
        <w:spacing w:line="360" w:lineRule="auto"/>
        <w:ind w:firstLine="420" w:firstLineChars="200"/>
        <w:rPr>
          <w:rFonts w:hint="eastAsia" w:ascii="宋体" w:hAnsi="宋体"/>
          <w:color w:val="auto"/>
          <w:szCs w:val="21"/>
        </w:rPr>
      </w:pPr>
      <w:r>
        <w:rPr>
          <w:rFonts w:hint="eastAsia" w:ascii="宋体" w:hAnsi="宋体"/>
          <w:color w:val="auto"/>
          <w:szCs w:val="21"/>
        </w:rPr>
        <w:t>（1）提请云南省仲裁委员会进行仲裁。</w:t>
      </w:r>
    </w:p>
    <w:p>
      <w:pPr>
        <w:spacing w:line="360" w:lineRule="auto"/>
        <w:ind w:firstLine="420" w:firstLineChars="200"/>
        <w:rPr>
          <w:rFonts w:hint="eastAsia" w:ascii="宋体" w:hAnsi="宋体"/>
          <w:color w:val="auto"/>
          <w:szCs w:val="21"/>
        </w:rPr>
      </w:pPr>
      <w:r>
        <w:rPr>
          <w:rFonts w:hint="eastAsia" w:ascii="宋体" w:hAnsi="宋体"/>
          <w:color w:val="auto"/>
          <w:szCs w:val="21"/>
        </w:rPr>
        <w:t>（2）向委托方所在地具有管辖权的人民法院提起诉讼。</w:t>
      </w:r>
      <w:r>
        <w:rPr>
          <w:rFonts w:ascii="宋体" w:hAnsi="宋体"/>
          <w:color w:val="auto"/>
          <w:szCs w:val="21"/>
        </w:rPr>
        <w:t xml:space="preserve"> </w:t>
      </w:r>
    </w:p>
    <w:p>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8. 其他</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8.1 考察及相关费用咨询人经委托人同意进行考察发生的费用由</w:t>
      </w:r>
      <w:r>
        <w:rPr>
          <w:rFonts w:hint="eastAsia" w:ascii="宋体" w:hAnsi="宋体"/>
          <w:color w:val="000000"/>
          <w:szCs w:val="21"/>
          <w:u w:val="single"/>
        </w:rPr>
        <w:t xml:space="preserve">          </w:t>
      </w:r>
      <w:r>
        <w:rPr>
          <w:rFonts w:hint="eastAsia" w:ascii="宋体" w:hAnsi="宋体"/>
          <w:color w:val="000000"/>
          <w:szCs w:val="21"/>
        </w:rPr>
        <w:t>。差旅费及相关费用的支付：</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 联络</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8.4.1 任何一方与合同有关的通知、指示、要求、决定等，均应在</w:t>
      </w:r>
      <w:r>
        <w:rPr>
          <w:rFonts w:hint="eastAsia" w:ascii="宋体" w:hAnsi="宋体"/>
          <w:color w:val="000000"/>
          <w:szCs w:val="21"/>
          <w:u w:val="single"/>
        </w:rPr>
        <w:t>2</w:t>
      </w:r>
      <w:r>
        <w:rPr>
          <w:rFonts w:hint="eastAsia" w:ascii="宋体" w:hAnsi="宋体"/>
          <w:color w:val="000000"/>
          <w:szCs w:val="21"/>
        </w:rPr>
        <w:t>日内送达对方指定的接收人和送达地点。</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8.4.2 委托人指定的送达接收人：</w:t>
      </w:r>
      <w:r>
        <w:rPr>
          <w:rFonts w:hint="eastAsia" w:ascii="宋体" w:hAnsi="宋体"/>
          <w:color w:val="000000"/>
          <w:szCs w:val="21"/>
          <w:u w:val="single"/>
        </w:rPr>
        <w:tab/>
      </w:r>
      <w:r>
        <w:rPr>
          <w:rFonts w:hint="eastAsia" w:ascii="宋体" w:hAnsi="宋体"/>
          <w:color w:val="000000"/>
          <w:szCs w:val="21"/>
          <w:u w:val="single"/>
        </w:rPr>
        <w:t xml:space="preserve">    </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咨询人指定的送达接收人：</w:t>
      </w:r>
      <w:r>
        <w:rPr>
          <w:rFonts w:hint="eastAsia" w:ascii="宋体" w:hAnsi="宋体"/>
          <w:color w:val="000000"/>
          <w:szCs w:val="21"/>
          <w:u w:val="single"/>
        </w:rPr>
        <w:t xml:space="preserve">           </w:t>
      </w:r>
      <w:r>
        <w:rPr>
          <w:rFonts w:hint="eastAsia" w:ascii="宋体" w:hAnsi="宋体"/>
          <w:color w:val="000000"/>
          <w:szCs w:val="21"/>
        </w:rPr>
        <w:t>，送达地点</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8.5 知识产权委托人提供给咨询人的图纸、委托人为实施工程自行编制或委托编制的技术规范以及反映委托人要求的或其他类似性质文件的著作权属于</w:t>
      </w:r>
      <w:r>
        <w:rPr>
          <w:rFonts w:hint="eastAsia" w:ascii="宋体" w:hAnsi="宋体"/>
          <w:color w:val="000000"/>
          <w:szCs w:val="21"/>
          <w:u w:val="single"/>
        </w:rPr>
        <w:t xml:space="preserve">         </w:t>
      </w:r>
      <w:r>
        <w:rPr>
          <w:rFonts w:hint="eastAsia" w:ascii="宋体" w:hAnsi="宋体"/>
          <w:color w:val="000000"/>
          <w:szCs w:val="21"/>
        </w:rPr>
        <w:t>。咨询人为履行本合同约定而编制的成果文件，其著作权属于</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双方将履行本合同形成的有关成果文件用于企业宣传、申报奖项以及接受上级主管部门的检查须遵守以下约定：</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9.补充条款</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 xml:space="preserve"> </w:t>
      </w:r>
      <w:r>
        <w:rPr>
          <w:rFonts w:hint="eastAsia" w:ascii="宋体" w:hAnsi="宋体"/>
          <w:color w:val="000000"/>
          <w:szCs w:val="21"/>
          <w:u w:val="single"/>
        </w:rPr>
        <w:t xml:space="preserve">                     </w:t>
      </w:r>
    </w:p>
    <w:p>
      <w:pPr>
        <w:autoSpaceDE w:val="0"/>
        <w:autoSpaceDN w:val="0"/>
        <w:adjustRightInd w:val="0"/>
        <w:spacing w:line="460" w:lineRule="exact"/>
        <w:ind w:firstLine="626"/>
        <w:jc w:val="center"/>
        <w:rPr>
          <w:rFonts w:hint="eastAsia" w:ascii="宋体" w:hAnsi="宋体"/>
          <w:b/>
          <w:color w:val="000000"/>
          <w:spacing w:val="6"/>
          <w:sz w:val="24"/>
        </w:rPr>
      </w:pPr>
      <w:r>
        <w:rPr>
          <w:rFonts w:ascii="宋体" w:hAnsi="宋体"/>
          <w:b/>
          <w:color w:val="000000"/>
          <w:spacing w:val="6"/>
          <w:sz w:val="24"/>
        </w:rPr>
        <w:br w:type="page"/>
      </w:r>
      <w:r>
        <w:rPr>
          <w:rFonts w:hint="eastAsia" w:ascii="宋体" w:hAnsi="宋体"/>
          <w:b/>
          <w:color w:val="000000"/>
          <w:spacing w:val="6"/>
          <w:sz w:val="24"/>
        </w:rPr>
        <w:t>廉政合同</w:t>
      </w:r>
    </w:p>
    <w:tbl>
      <w:tblPr>
        <w:tblStyle w:val="23"/>
        <w:tblpPr w:leftFromText="180" w:rightFromText="180" w:vertAnchor="text" w:horzAnchor="page" w:tblpX="1815"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建设单位（甲方）：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中标单位（乙方）：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22" w:type="dxa"/>
          </w:tcPr>
          <w:p>
            <w:pPr>
              <w:autoSpaceDE w:val="0"/>
              <w:autoSpaceDN w:val="0"/>
              <w:adjustRightInd w:val="0"/>
              <w:spacing w:line="360" w:lineRule="auto"/>
              <w:ind w:left="103" w:leftChars="49" w:firstLine="504"/>
              <w:rPr>
                <w:rFonts w:hint="eastAsia" w:ascii="宋体" w:hAnsi="宋体"/>
                <w:color w:val="000000"/>
                <w:spacing w:val="6"/>
                <w:szCs w:val="21"/>
                <w:u w:val="single"/>
              </w:rPr>
            </w:pPr>
            <w:r>
              <w:rPr>
                <w:rFonts w:hint="eastAsia" w:ascii="宋体" w:hAnsi="宋体"/>
                <w:color w:val="000000"/>
                <w:spacing w:val="6"/>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 xml:space="preserve">投资计划批准机关文号：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投标形式：</w:t>
            </w:r>
            <w:r>
              <w:rPr>
                <w:rFonts w:hint="eastAsia" w:ascii="宋体" w:hAnsi="宋体"/>
                <w:color w:val="000000"/>
                <w:spacing w:val="6"/>
                <w:szCs w:val="21"/>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竞标报价：            采购人拦标价：             中标价：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建设工期：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 xml:space="preserve">建设地点：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评标形式：综合评估■        量化评分□       经评审的最低价□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定标形式：当场□                    隔日■</w:t>
            </w:r>
          </w:p>
        </w:tc>
      </w:tr>
    </w:tbl>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根据国家建设部、监察部《关于在工程建设中深入开展反对腐败和反对</w:t>
      </w:r>
      <w:bookmarkStart w:id="324" w:name="_GoBack"/>
      <w:bookmarkEnd w:id="324"/>
      <w:r>
        <w:rPr>
          <w:rFonts w:hint="eastAsia" w:asciiTheme="minorEastAsia" w:hAnsiTheme="minorEastAsia" w:eastAsiaTheme="minorEastAsia" w:cstheme="minorEastAsia"/>
          <w:szCs w:val="21"/>
        </w:rPr>
        <w:t>不正当竞争的通知》和中共云南纪委、监察厅、建设厅《关于在全省建设工程中建立工程承包和工程廉政“双合同”机制的通知》精神，坚决执行《</w:t>
      </w:r>
      <w:r>
        <w:rPr>
          <w:rFonts w:hint="eastAsia" w:asciiTheme="minorEastAsia" w:hAnsiTheme="minorEastAsia" w:eastAsiaTheme="minorEastAsia" w:cstheme="minorEastAsia"/>
          <w:szCs w:val="21"/>
          <w:lang w:eastAsia="zh-CN"/>
        </w:rPr>
        <w:t>中华人民共和国</w:t>
      </w:r>
      <w:r>
        <w:rPr>
          <w:rFonts w:hint="eastAsia" w:asciiTheme="minorEastAsia" w:hAnsiTheme="minorEastAsia" w:eastAsiaTheme="minorEastAsia" w:cstheme="minorEastAsia"/>
          <w:szCs w:val="21"/>
        </w:rPr>
        <w:t>反不正当竞争法》、《建筑法》、《招标投标法》、《中华人民共和国政府采购法》等有关法律法规和政策，为确保建设工程质量达到国家有关规定、争优创优、干部廉洁，在签定工程建设合同的同时，甲乙双方必须签定工程廉政合同。</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不得接受乙方请吃、请玩；不得接受乙方赠送的礼品、礼金和各种有价证券、信用卡及其他支付凭证；不得接受乙方任何好处费及工程回扣；不得向乙方报销任何由甲方支付的费用；不得借用、租用乙方的交通、通信工具等物品；不得参加乙方举行的任何祝贺庆典活动。</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甲方工作人员的配偶、子女，不得承包或从事与工程有关的材料供应、工程分包、工程监理、工程装潢和装修、组织提供劳务等活动；不得向施工方推荐分包单位；不得要求施工方购买合同规定外的材料和设备。</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人员向乙方索贿，经乙方或其他线索检举，被纪检监察机关立案查处认定的，由此产生的办案费用由甲方（索贿方单位或个人）承担。不论举报甲方或乙方的贿赂行为的举报人，经查证属实，可由查办案件的机关（单位）依据规定给予奖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乙方不得以任何形式邀请甲方人员吃、玩或</w:t>
      </w:r>
      <w:r>
        <w:rPr>
          <w:rFonts w:hint="eastAsia" w:asciiTheme="minorEastAsia" w:hAnsiTheme="minorEastAsia" w:eastAsiaTheme="minorEastAsia" w:cstheme="minorEastAsia"/>
          <w:color w:val="000000"/>
          <w:spacing w:val="6"/>
          <w:szCs w:val="21"/>
        </w:rPr>
        <w:t>向甲方赠送礼品、礼金、各种有价证券、信用卡及其</w:t>
      </w:r>
      <w:r>
        <w:rPr>
          <w:rFonts w:hint="eastAsia" w:asciiTheme="minorEastAsia" w:hAnsiTheme="minorEastAsia" w:eastAsiaTheme="minorEastAsia" w:cstheme="minorEastAsia"/>
          <w:szCs w:val="21"/>
        </w:rPr>
        <w:t>他支付凭证或物品。如有违反，由有关行政主管部门对乙方给予扣减应付工程款3％—5％，或者中止工程建设合同。并视情节轻重，对乙方决策人和经办人以及甲方接受人员给予批评教育、党纪政纪处分、依法追究刑事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乙方在工程项目建设中贿赂甲方人员、中介方人员，被纪检监察机关或司法机关立案查处的，甲方有权中止工程建设合同。由此给甲方造成的损失以及发生的一切费用均由乙方承担。可在工程结算款中扣除。</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凡是未按规定签定《工程廉政合同》的工程项目，不得办理工程建设项目施工许可证等相关手续，不得擅自统一或者进行使用（勘察、设计、监理）违者将由纪检监察机关追究党纪政纪责任，由有关行政主管部门依照有关法律法规进行处罚。</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单位法定代表人和分管领导、有关人员要严格履行《工程廉政合同》。履行《工程廉政合同》中的相互监督、自查自纠等情况，甲乙双方分别在工程建设合同中期要向本单位的纪检监察部门和监证的纪检监察机关、部门作出报告。纪检监察机关、部门可视情况进行定期不定期的检查。如有违反，对法定代表人或分管领导从严追究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竣工验收同期，甲乙双方要分别向本单位的纪检监察部门和监证的纪检监察机关、部门写出执行《工程廉政合同》的情况总结和相互鉴定报告。未按规定作出报告或纪检监察机关、部门不同意验收的工程，不得办理工程竣工验收手续。</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此合同一式四份：甲乙双方各一份，有关行政主管部门一份，纪检监察机关、部门一份。</w:t>
      </w:r>
    </w:p>
    <w:p>
      <w:pPr>
        <w:spacing w:line="360" w:lineRule="auto"/>
        <w:ind w:firstLine="420" w:firstLineChars="200"/>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szCs w:val="21"/>
        </w:rPr>
        <w:t>此合同自双方签字并经纪检监察机关、部门监证后即生效，并由本单位的纪检监察部门和监证的纪检监察机关、部门监督执行。</w:t>
      </w:r>
    </w:p>
    <w:p>
      <w:pPr>
        <w:autoSpaceDE w:val="0"/>
        <w:autoSpaceDN w:val="0"/>
        <w:adjustRightInd w:val="0"/>
        <w:spacing w:line="360" w:lineRule="auto"/>
        <w:ind w:left="103" w:leftChars="49" w:firstLine="463" w:firstLineChars="209"/>
        <w:jc w:val="center"/>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此页签章无正文</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建设单位（甲方）：（公章）</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 xml:space="preserve">      中标单位（乙方）：（公章）</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地址：</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地址：</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建设单位法定代表人：</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中标单位法定代表人：</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联系电话：</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联系电话：</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本单位纪检监督部门：（公章）</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联系电话：</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 xml:space="preserve">纪检监察机关、部门：（公章）             </w:t>
      </w:r>
    </w:p>
    <w:p>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 xml:space="preserve"> 联系电话：</w:t>
      </w:r>
    </w:p>
    <w:p>
      <w:pPr>
        <w:spacing w:line="360" w:lineRule="auto"/>
        <w:ind w:firstLine="504"/>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pacing w:val="6"/>
          <w:szCs w:val="21"/>
        </w:rPr>
        <w:t xml:space="preserve">                                    年      月     日</w:t>
      </w: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pStyle w:val="29"/>
        <w:rPr>
          <w:rFonts w:hint="eastAsia" w:asciiTheme="minorEastAsia" w:hAnsiTheme="minorEastAsia" w:eastAsiaTheme="minorEastAsia" w:cstheme="minorEastAsia"/>
          <w:b/>
          <w:sz w:val="44"/>
          <w:szCs w:val="44"/>
        </w:rPr>
      </w:pPr>
    </w:p>
    <w:p>
      <w:pPr>
        <w:rPr>
          <w:rFonts w:hint="eastAsia" w:asciiTheme="minorEastAsia" w:hAnsiTheme="minorEastAsia" w:eastAsiaTheme="minorEastAsia" w:cstheme="minorEastAsia"/>
          <w:b/>
          <w:sz w:val="44"/>
          <w:szCs w:val="44"/>
        </w:rPr>
      </w:pPr>
    </w:p>
    <w:p>
      <w:pPr>
        <w:pStyle w:val="29"/>
        <w:rPr>
          <w:rFonts w:hint="eastAsia" w:asciiTheme="minorEastAsia" w:hAnsiTheme="minorEastAsia" w:eastAsiaTheme="minorEastAsia" w:cstheme="minorEastAsia"/>
          <w:b/>
          <w:sz w:val="44"/>
          <w:szCs w:val="44"/>
        </w:rPr>
      </w:pPr>
    </w:p>
    <w:p>
      <w:pPr>
        <w:rPr>
          <w:rFonts w:hint="eastAsia" w:asciiTheme="minorEastAsia" w:hAnsiTheme="minorEastAsia" w:eastAsiaTheme="minorEastAsia" w:cstheme="minorEastAsia"/>
          <w:b/>
          <w:sz w:val="44"/>
          <w:szCs w:val="44"/>
        </w:rPr>
      </w:pPr>
    </w:p>
    <w:p>
      <w:pPr>
        <w:pStyle w:val="29"/>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spacing w:line="560" w:lineRule="exact"/>
        <w:jc w:val="center"/>
        <w:outlineLvl w:val="0"/>
        <w:rPr>
          <w:rFonts w:hint="eastAsia" w:asciiTheme="minorEastAsia" w:hAnsiTheme="minorEastAsia" w:eastAsiaTheme="minorEastAsia" w:cstheme="minorEastAsia"/>
          <w:b/>
          <w:sz w:val="44"/>
          <w:szCs w:val="44"/>
        </w:rPr>
      </w:pPr>
    </w:p>
    <w:p>
      <w:pPr>
        <w:rPr>
          <w:rFonts w:hint="eastAsia" w:asciiTheme="minorEastAsia" w:hAnsiTheme="minorEastAsia" w:eastAsiaTheme="minorEastAsia" w:cstheme="minorEastAsia"/>
          <w:b/>
          <w:sz w:val="44"/>
          <w:szCs w:val="44"/>
        </w:rPr>
      </w:pPr>
      <w:bookmarkStart w:id="181" w:name="_Toc14896"/>
      <w:r>
        <w:rPr>
          <w:rFonts w:hint="eastAsia" w:asciiTheme="minorEastAsia" w:hAnsiTheme="minorEastAsia" w:eastAsiaTheme="minorEastAsia" w:cstheme="minorEastAsia"/>
          <w:b/>
          <w:sz w:val="44"/>
          <w:szCs w:val="44"/>
        </w:rPr>
        <w:br w:type="page"/>
      </w:r>
    </w:p>
    <w:p>
      <w:pPr>
        <w:spacing w:line="560" w:lineRule="exact"/>
        <w:jc w:val="center"/>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第四章  响应文件格式</w:t>
      </w:r>
      <w:bookmarkEnd w:id="142"/>
      <w:bookmarkEnd w:id="143"/>
      <w:bookmarkEnd w:id="144"/>
      <w:bookmarkEnd w:id="145"/>
      <w:bookmarkEnd w:id="146"/>
      <w:bookmarkEnd w:id="147"/>
      <w:bookmarkEnd w:id="148"/>
      <w:bookmarkEnd w:id="181"/>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autoSpaceDE w:val="0"/>
        <w:autoSpaceDN w:val="0"/>
        <w:adjustRightInd w:val="0"/>
        <w:jc w:val="center"/>
        <w:rPr>
          <w:rFonts w:hint="eastAsia" w:ascii="宋体" w:hAnsi="宋体" w:cs="宋体"/>
          <w:b/>
          <w:bCs/>
          <w:kern w:val="0"/>
          <w:sz w:val="36"/>
          <w:szCs w:val="36"/>
        </w:rPr>
      </w:pPr>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jc w:val="center"/>
        <w:rPr>
          <w:rFonts w:hint="eastAsia" w:asciiTheme="minorEastAsia" w:hAnsiTheme="minorEastAsia" w:eastAsiaTheme="minorEastAsia" w:cstheme="minorEastAsia"/>
          <w:b/>
          <w:sz w:val="72"/>
          <w:szCs w:val="72"/>
        </w:rPr>
      </w:pPr>
      <w:bookmarkStart w:id="182" w:name="_Toc1265_WPSOffice_Level2"/>
      <w:bookmarkStart w:id="183" w:name="_Toc14167_WPSOffice_Level2"/>
      <w:bookmarkStart w:id="184" w:name="_Toc18324_WPSOffice_Level2"/>
      <w:r>
        <w:rPr>
          <w:rFonts w:hint="eastAsia" w:asciiTheme="minorEastAsia" w:hAnsiTheme="minorEastAsia" w:eastAsiaTheme="minorEastAsia" w:cstheme="minorEastAsia"/>
          <w:b/>
          <w:sz w:val="72"/>
          <w:szCs w:val="72"/>
        </w:rPr>
        <w:t>响应文件</w:t>
      </w:r>
      <w:bookmarkEnd w:id="182"/>
      <w:bookmarkEnd w:id="183"/>
      <w:bookmarkEnd w:id="184"/>
    </w:p>
    <w:p>
      <w:pPr>
        <w:pStyle w:val="14"/>
        <w:spacing w:line="78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8"/>
          <w:szCs w:val="28"/>
          <w:u w:val="single"/>
        </w:rPr>
      </w:pPr>
      <w:bookmarkStart w:id="185" w:name="_Toc15009_WPSOffice_Level2"/>
      <w:bookmarkStart w:id="186" w:name="_Toc26949_WPSOffice_Level2"/>
      <w:bookmarkStart w:id="187" w:name="_Toc1714_WPSOffice_Level2"/>
      <w:r>
        <w:rPr>
          <w:rFonts w:hint="eastAsia" w:asciiTheme="minorEastAsia" w:hAnsiTheme="minorEastAsia" w:eastAsiaTheme="minorEastAsia" w:cstheme="minorEastAsia"/>
          <w:b/>
          <w:sz w:val="28"/>
          <w:szCs w:val="28"/>
        </w:rPr>
        <w:t>项目编号：</w:t>
      </w:r>
      <w:bookmarkEnd w:id="185"/>
      <w:bookmarkEnd w:id="186"/>
      <w:bookmarkEnd w:id="187"/>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spacing w:line="360" w:lineRule="auto"/>
        <w:jc w:val="left"/>
        <w:rPr>
          <w:rFonts w:hint="eastAsia" w:asciiTheme="minorEastAsia" w:hAnsiTheme="minorEastAsia" w:eastAsiaTheme="minorEastAsia" w:cstheme="minorEastAsia"/>
          <w:sz w:val="24"/>
        </w:rPr>
      </w:pPr>
      <w:bookmarkStart w:id="188" w:name="_Toc24521_WPSOffice_Level2"/>
      <w:bookmarkStart w:id="189" w:name="_Toc6248_WPSOffice_Level2"/>
      <w:bookmarkStart w:id="190" w:name="_Toc14989_WPSOffice_Level2"/>
      <w:r>
        <w:rPr>
          <w:rFonts w:hint="eastAsia" w:asciiTheme="minorEastAsia" w:hAnsiTheme="minorEastAsia" w:eastAsiaTheme="minorEastAsia" w:cstheme="minorEastAsia"/>
          <w:sz w:val="24"/>
        </w:rPr>
        <w:t>供应商全称：(盖公章)</w:t>
      </w:r>
      <w:bookmarkEnd w:id="188"/>
      <w:bookmarkEnd w:id="189"/>
      <w:bookmarkEnd w:id="190"/>
    </w:p>
    <w:p>
      <w:pPr>
        <w:pStyle w:val="14"/>
        <w:spacing w:line="500" w:lineRule="exact"/>
        <w:jc w:val="left"/>
        <w:rPr>
          <w:rFonts w:hint="eastAsia" w:asciiTheme="minorEastAsia" w:hAnsiTheme="minorEastAsia" w:eastAsiaTheme="minorEastAsia" w:cstheme="minorEastAsia"/>
          <w:sz w:val="24"/>
        </w:rPr>
      </w:pPr>
      <w:bookmarkStart w:id="191" w:name="_Toc21464_WPSOffice_Level2"/>
      <w:bookmarkStart w:id="192" w:name="_Toc19562_WPSOffice_Level2"/>
      <w:bookmarkStart w:id="193" w:name="_Toc9162_WPSOffice_Level2"/>
      <w:r>
        <w:rPr>
          <w:rFonts w:hint="eastAsia" w:asciiTheme="minorEastAsia" w:hAnsiTheme="minorEastAsia" w:eastAsiaTheme="minorEastAsia" w:cstheme="minorEastAsia"/>
          <w:sz w:val="24"/>
        </w:rPr>
        <w:t>法定代表人或委托代理人：（签字或盖章）</w:t>
      </w:r>
      <w:bookmarkEnd w:id="191"/>
      <w:bookmarkEnd w:id="192"/>
      <w:bookmarkEnd w:id="193"/>
    </w:p>
    <w:p>
      <w:pPr>
        <w:pStyle w:val="14"/>
        <w:spacing w:line="500" w:lineRule="exact"/>
        <w:jc w:val="center"/>
        <w:rPr>
          <w:rFonts w:hint="eastAsia" w:asciiTheme="minorEastAsia" w:hAnsiTheme="minorEastAsia" w:eastAsiaTheme="minorEastAsia" w:cstheme="minorEastAsia"/>
          <w:sz w:val="24"/>
        </w:rPr>
      </w:pPr>
      <w:bookmarkStart w:id="194" w:name="_Toc27267_WPSOffice_Level2"/>
      <w:bookmarkStart w:id="195" w:name="_Toc5368_WPSOffice_Level2"/>
      <w:bookmarkStart w:id="196" w:name="_Toc30449_WPSOffice_Level2"/>
      <w:r>
        <w:rPr>
          <w:rFonts w:hint="eastAsia" w:asciiTheme="minorEastAsia" w:hAnsiTheme="minorEastAsia" w:eastAsiaTheme="minorEastAsia" w:cstheme="minorEastAsia"/>
          <w:sz w:val="24"/>
        </w:rPr>
        <w:t>年   月   日</w:t>
      </w:r>
      <w:bookmarkEnd w:id="194"/>
      <w:bookmarkEnd w:id="195"/>
      <w:bookmarkEnd w:id="196"/>
    </w:p>
    <w:p>
      <w:pPr>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rPr>
        <w:br w:type="page"/>
      </w:r>
      <w:bookmarkStart w:id="197" w:name="_Toc435966532"/>
      <w:bookmarkStart w:id="198" w:name="_Toc413838395"/>
      <w:bookmarkStart w:id="199" w:name="_Toc414014537"/>
      <w:bookmarkStart w:id="200" w:name="_Toc436942627"/>
      <w:bookmarkStart w:id="201" w:name="_Toc9973"/>
      <w:bookmarkStart w:id="202" w:name="_Toc5836"/>
      <w:bookmarkStart w:id="203" w:name="_Toc13315"/>
      <w:bookmarkStart w:id="204" w:name="_Toc7273"/>
      <w:bookmarkStart w:id="205" w:name="_Toc26360"/>
      <w:bookmarkStart w:id="206" w:name="_Toc16879"/>
      <w:bookmarkStart w:id="207" w:name="_Toc213141118"/>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目  录</w:t>
      </w:r>
    </w:p>
    <w:p>
      <w:pPr>
        <w:spacing w:line="360" w:lineRule="auto"/>
        <w:rPr>
          <w:rFonts w:hint="eastAsia" w:asciiTheme="minorEastAsia" w:hAnsiTheme="minorEastAsia" w:eastAsiaTheme="minorEastAsia" w:cstheme="minorEastAsia"/>
          <w:b/>
          <w:sz w:val="24"/>
        </w:rPr>
      </w:pPr>
    </w:p>
    <w:p>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格式自拟</w:t>
      </w:r>
    </w:p>
    <w:p>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注：供应商自行生成目录及页码。</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bookmarkEnd w:id="197"/>
    <w:bookmarkEnd w:id="198"/>
    <w:bookmarkEnd w:id="199"/>
    <w:p>
      <w:pPr>
        <w:pStyle w:val="6"/>
        <w:tabs>
          <w:tab w:val="left" w:pos="720"/>
        </w:tabs>
        <w:jc w:val="center"/>
        <w:rPr>
          <w:rFonts w:hint="eastAsia" w:hAnsi="宋体"/>
          <w:color w:val="000000"/>
        </w:rPr>
      </w:pPr>
      <w:bookmarkStart w:id="208" w:name="_Toc30844"/>
      <w:bookmarkStart w:id="209" w:name="_Toc20119"/>
      <w:bookmarkStart w:id="210" w:name="_Toc214075902"/>
      <w:bookmarkStart w:id="211" w:name="_Toc443316853"/>
      <w:bookmarkStart w:id="212" w:name="_Toc21446825"/>
      <w:bookmarkStart w:id="213" w:name="_Toc480961211"/>
      <w:r>
        <w:rPr>
          <w:rFonts w:hint="eastAsia" w:hAnsi="宋体"/>
          <w:color w:val="000000"/>
        </w:rPr>
        <w:t>第一节  磋商函部分格式</w:t>
      </w:r>
      <w:bookmarkEnd w:id="208"/>
      <w:bookmarkEnd w:id="209"/>
    </w:p>
    <w:p>
      <w:pPr>
        <w:spacing w:line="360" w:lineRule="auto"/>
        <w:jc w:val="center"/>
        <w:outlineLvl w:val="3"/>
        <w:rPr>
          <w:rFonts w:hint="eastAsia" w:ascii="宋体" w:hAnsi="宋体" w:cs="宋体"/>
          <w:b/>
          <w:color w:val="000000"/>
          <w:sz w:val="24"/>
        </w:rPr>
      </w:pPr>
      <w:r>
        <w:rPr>
          <w:rFonts w:hint="eastAsia" w:ascii="宋体" w:hAnsi="宋体" w:cs="宋体"/>
          <w:b/>
          <w:color w:val="000000"/>
          <w:sz w:val="24"/>
        </w:rPr>
        <w:t>一、</w:t>
      </w:r>
      <w:bookmarkEnd w:id="210"/>
      <w:bookmarkEnd w:id="211"/>
      <w:r>
        <w:rPr>
          <w:rFonts w:hint="eastAsia" w:ascii="宋体" w:hAnsi="宋体" w:cs="宋体"/>
          <w:b/>
          <w:color w:val="000000"/>
          <w:sz w:val="24"/>
        </w:rPr>
        <w:t>磋商函</w:t>
      </w:r>
    </w:p>
    <w:p>
      <w:pPr>
        <w:jc w:val="center"/>
        <w:rPr>
          <w:rFonts w:hint="eastAsia" w:ascii="宋体" w:hAnsi="宋体" w:cs="宋体"/>
          <w:b/>
          <w:color w:val="000000"/>
          <w:szCs w:val="32"/>
        </w:rPr>
      </w:pPr>
    </w:p>
    <w:p>
      <w:pPr>
        <w:spacing w:line="400" w:lineRule="exact"/>
        <w:rPr>
          <w:rFonts w:hint="eastAsia" w:ascii="宋体" w:hAnsi="宋体" w:cs="宋体"/>
          <w:color w:val="000000"/>
          <w:szCs w:val="21"/>
        </w:rPr>
      </w:pPr>
      <w:r>
        <w:rPr>
          <w:rFonts w:hint="eastAsia" w:ascii="宋体" w:hAnsi="宋体" w:cs="宋体"/>
          <w:color w:val="000000"/>
          <w:szCs w:val="21"/>
          <w:u w:val="single"/>
        </w:rPr>
        <w:t xml:space="preserve">                     </w:t>
      </w:r>
      <w:bookmarkStart w:id="214" w:name="_Toc232074968"/>
      <w:r>
        <w:rPr>
          <w:rFonts w:hint="eastAsia" w:ascii="宋体" w:hAnsi="宋体" w:cs="宋体"/>
          <w:color w:val="000000"/>
          <w:szCs w:val="21"/>
        </w:rPr>
        <w:t>（采购人名称）:</w:t>
      </w:r>
      <w:bookmarkEnd w:id="214"/>
      <w:r>
        <w:rPr>
          <w:rFonts w:hint="eastAsia" w:ascii="宋体" w:hAnsi="宋体" w:cs="宋体"/>
          <w:color w:val="000000"/>
          <w:szCs w:val="21"/>
        </w:rPr>
        <w:t xml:space="preserve"> </w:t>
      </w:r>
    </w:p>
    <w:p>
      <w:pPr>
        <w:spacing w:line="360" w:lineRule="auto"/>
        <w:ind w:firstLine="472" w:firstLineChars="225"/>
        <w:rPr>
          <w:rFonts w:hint="eastAsia" w:ascii="宋体" w:hAnsi="宋体" w:cs="宋体"/>
          <w:color w:val="000000"/>
          <w:szCs w:val="21"/>
        </w:rPr>
      </w:pPr>
      <w:bookmarkStart w:id="215" w:name="_Toc232074969"/>
      <w:r>
        <w:rPr>
          <w:rFonts w:hint="eastAsia" w:ascii="宋体" w:hAnsi="宋体" w:cs="宋体"/>
          <w:color w:val="000000"/>
          <w:szCs w:val="21"/>
        </w:rPr>
        <w:t>我公司全面研究了</w:t>
      </w:r>
      <w:r>
        <w:rPr>
          <w:rFonts w:hint="eastAsia" w:ascii="宋体" w:hAnsi="宋体" w:cs="宋体"/>
          <w:color w:val="000000"/>
          <w:szCs w:val="21"/>
          <w:u w:val="single"/>
        </w:rPr>
        <w:t xml:space="preserve">                        </w:t>
      </w:r>
      <w:r>
        <w:rPr>
          <w:rFonts w:hint="eastAsia" w:ascii="宋体" w:hAnsi="宋体" w:cs="宋体"/>
          <w:color w:val="000000"/>
          <w:szCs w:val="21"/>
        </w:rPr>
        <w:t>（项目名称）招标文件及招标补充文件（如有），我们将遵照招标文件的要求承担本项目的</w:t>
      </w:r>
      <w:r>
        <w:rPr>
          <w:rFonts w:hint="eastAsia" w:ascii="宋体" w:hAnsi="宋体" w:cs="宋体"/>
          <w:color w:val="000000"/>
          <w:szCs w:val="21"/>
          <w:lang w:eastAsia="zh-CN"/>
        </w:rPr>
        <w:t>工程结算审核</w:t>
      </w:r>
      <w:r>
        <w:rPr>
          <w:rFonts w:hint="eastAsia" w:ascii="宋体" w:hAnsi="宋体" w:cs="宋体"/>
          <w:color w:val="000000"/>
          <w:szCs w:val="21"/>
        </w:rPr>
        <w:t>及财务审核服务工作。</w:t>
      </w:r>
      <w:bookmarkEnd w:id="215"/>
    </w:p>
    <w:p>
      <w:pPr>
        <w:numPr>
          <w:ilvl w:val="0"/>
          <w:numId w:val="2"/>
        </w:numPr>
        <w:tabs>
          <w:tab w:val="left" w:pos="0"/>
          <w:tab w:val="left" w:pos="900"/>
        </w:tabs>
        <w:spacing w:line="360" w:lineRule="auto"/>
        <w:ind w:left="0" w:firstLine="420" w:firstLineChars="200"/>
        <w:rPr>
          <w:rFonts w:hint="eastAsia" w:ascii="宋体" w:hAnsi="宋体" w:cs="宋体"/>
          <w:color w:val="000000"/>
          <w:szCs w:val="21"/>
        </w:rPr>
      </w:pPr>
      <w:bookmarkStart w:id="216" w:name="_Toc232074971"/>
      <w:r>
        <w:rPr>
          <w:rFonts w:hint="eastAsia" w:ascii="宋体" w:hAnsi="宋体" w:cs="宋体"/>
          <w:color w:val="000000"/>
          <w:szCs w:val="21"/>
        </w:rPr>
        <w:t xml:space="preserve">我公司按照招标文件要求采用总价包干：人民币 </w:t>
      </w:r>
      <w:r>
        <w:rPr>
          <w:rFonts w:hint="eastAsia" w:ascii="宋体" w:hAnsi="宋体" w:cs="宋体"/>
          <w:color w:val="000000"/>
          <w:szCs w:val="21"/>
          <w:u w:val="single"/>
        </w:rPr>
        <w:t xml:space="preserve">     元（大写：     ）</w:t>
      </w:r>
      <w:r>
        <w:rPr>
          <w:rFonts w:hint="eastAsia" w:ascii="宋体" w:hAnsi="宋体" w:cs="宋体"/>
          <w:color w:val="000000"/>
          <w:szCs w:val="21"/>
        </w:rPr>
        <w:t>完成本项目招标范围内的所有工作内容。</w:t>
      </w:r>
    </w:p>
    <w:p>
      <w:pPr>
        <w:numPr>
          <w:ilvl w:val="0"/>
          <w:numId w:val="2"/>
        </w:numPr>
        <w:tabs>
          <w:tab w:val="left" w:pos="0"/>
          <w:tab w:val="left" w:pos="900"/>
        </w:tabs>
        <w:spacing w:line="360" w:lineRule="auto"/>
        <w:ind w:left="0" w:firstLine="420" w:firstLineChars="200"/>
        <w:rPr>
          <w:rFonts w:hint="eastAsia" w:ascii="宋体" w:hAnsi="宋体" w:cs="宋体"/>
          <w:color w:val="000000"/>
          <w:szCs w:val="21"/>
        </w:rPr>
      </w:pPr>
      <w:r>
        <w:rPr>
          <w:rFonts w:hint="eastAsia" w:ascii="宋体" w:hAnsi="宋体" w:cs="宋体"/>
          <w:color w:val="000000"/>
          <w:szCs w:val="21"/>
        </w:rPr>
        <w:t>我们完全同意采购人选择中标单位的办法，并同意自行承担为投标所发生的一切费用。</w:t>
      </w:r>
      <w:bookmarkEnd w:id="216"/>
    </w:p>
    <w:p>
      <w:pPr>
        <w:numPr>
          <w:ilvl w:val="0"/>
          <w:numId w:val="2"/>
        </w:numPr>
        <w:tabs>
          <w:tab w:val="left" w:pos="0"/>
        </w:tabs>
        <w:spacing w:line="360" w:lineRule="auto"/>
        <w:ind w:left="0" w:firstLine="420" w:firstLineChars="200"/>
        <w:rPr>
          <w:rFonts w:hint="eastAsia" w:ascii="宋体" w:hAnsi="宋体" w:cs="宋体"/>
          <w:color w:val="000000"/>
          <w:szCs w:val="21"/>
        </w:rPr>
      </w:pPr>
      <w:bookmarkStart w:id="217" w:name="_Toc232074972"/>
      <w:r>
        <w:rPr>
          <w:rFonts w:hint="eastAsia" w:ascii="宋体" w:hAnsi="宋体" w:cs="宋体"/>
          <w:color w:val="000000"/>
          <w:szCs w:val="21"/>
        </w:rPr>
        <w:t>在合同协议书正式签署生效之前，本磋商函连同你单位的中标通知书将构成我们双方之间共同遵守的条件，对双方具有约束力。</w:t>
      </w:r>
      <w:bookmarkEnd w:id="217"/>
    </w:p>
    <w:p>
      <w:pPr>
        <w:numPr>
          <w:ilvl w:val="0"/>
          <w:numId w:val="2"/>
        </w:numPr>
        <w:tabs>
          <w:tab w:val="left" w:pos="0"/>
        </w:tabs>
        <w:spacing w:line="360" w:lineRule="auto"/>
        <w:ind w:left="0" w:firstLine="420" w:firstLineChars="200"/>
        <w:rPr>
          <w:rFonts w:hint="eastAsia" w:ascii="宋体" w:hAnsi="宋体" w:cs="宋体"/>
          <w:color w:val="000000"/>
          <w:szCs w:val="21"/>
        </w:rPr>
      </w:pPr>
      <w:bookmarkStart w:id="218" w:name="_Toc232074973"/>
      <w:r>
        <w:rPr>
          <w:rFonts w:hint="eastAsia" w:ascii="宋体" w:hAnsi="宋体" w:cs="宋体"/>
          <w:color w:val="000000"/>
          <w:szCs w:val="21"/>
        </w:rPr>
        <w:t>如我单位中标，我们承诺在招标文件规定时间内，以招标文件规定的方式及额度提交履约保证金。</w:t>
      </w:r>
      <w:bookmarkEnd w:id="218"/>
    </w:p>
    <w:p>
      <w:pPr>
        <w:numPr>
          <w:ilvl w:val="0"/>
          <w:numId w:val="2"/>
        </w:numPr>
        <w:tabs>
          <w:tab w:val="left" w:pos="0"/>
        </w:tabs>
        <w:spacing w:line="360" w:lineRule="auto"/>
        <w:ind w:left="0" w:firstLine="420" w:firstLineChars="200"/>
        <w:rPr>
          <w:rFonts w:hint="eastAsia" w:ascii="宋体" w:hAnsi="宋体" w:cs="宋体"/>
          <w:color w:val="000000"/>
          <w:szCs w:val="21"/>
        </w:rPr>
      </w:pPr>
      <w:bookmarkStart w:id="219" w:name="_Toc232074974"/>
      <w:r>
        <w:rPr>
          <w:rFonts w:hint="eastAsia" w:ascii="宋体" w:hAnsi="宋体" w:cs="宋体"/>
          <w:color w:val="000000"/>
          <w:szCs w:val="21"/>
        </w:rPr>
        <w:t>我们承诺，我们所递交的响应文件已充分考虑了各种外部因素对报价的影响。</w:t>
      </w:r>
      <w:bookmarkEnd w:id="219"/>
    </w:p>
    <w:p>
      <w:pPr>
        <w:numPr>
          <w:ilvl w:val="0"/>
          <w:numId w:val="2"/>
        </w:numPr>
        <w:tabs>
          <w:tab w:val="left" w:pos="0"/>
        </w:tabs>
        <w:spacing w:line="360" w:lineRule="auto"/>
        <w:ind w:left="0" w:firstLine="420" w:firstLineChars="200"/>
        <w:rPr>
          <w:rFonts w:hint="eastAsia" w:ascii="宋体" w:hAnsi="宋体" w:cs="宋体"/>
          <w:b/>
          <w:color w:val="000000"/>
          <w:szCs w:val="21"/>
        </w:rPr>
      </w:pPr>
      <w:bookmarkStart w:id="220" w:name="_Toc232074977"/>
      <w:r>
        <w:rPr>
          <w:rFonts w:hint="eastAsia" w:ascii="宋体" w:hAnsi="宋体" w:cs="宋体"/>
          <w:color w:val="000000"/>
          <w:szCs w:val="21"/>
        </w:rPr>
        <w:t>其他承诺（如有）：</w:t>
      </w:r>
      <w:r>
        <w:rPr>
          <w:rFonts w:hint="eastAsia" w:ascii="宋体" w:hAnsi="宋体" w:cs="宋体"/>
          <w:color w:val="000000"/>
          <w:szCs w:val="21"/>
          <w:u w:val="single"/>
        </w:rPr>
        <w:t xml:space="preserve">                           </w:t>
      </w:r>
      <w:r>
        <w:rPr>
          <w:rFonts w:hint="eastAsia" w:ascii="宋体" w:hAnsi="宋体" w:cs="宋体"/>
          <w:color w:val="000000"/>
          <w:szCs w:val="21"/>
        </w:rPr>
        <w:t>。</w:t>
      </w:r>
      <w:bookmarkEnd w:id="220"/>
    </w:p>
    <w:p>
      <w:pPr>
        <w:spacing w:line="400" w:lineRule="exact"/>
        <w:ind w:firstLine="4320" w:firstLineChars="1800"/>
        <w:rPr>
          <w:rFonts w:hint="eastAsia" w:ascii="宋体" w:hAnsi="宋体" w:cs="宋体"/>
          <w:color w:val="000000"/>
          <w:sz w:val="24"/>
        </w:rPr>
      </w:pP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r>
        <w:rPr>
          <w:rFonts w:hint="eastAsia" w:cs="宋体"/>
          <w:color w:val="000000"/>
        </w:rPr>
        <w:t>投标单位</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盖章</w:t>
      </w:r>
      <w:r>
        <w:rPr>
          <w:rFonts w:hint="eastAsia" w:ascii="宋体" w:hAnsi="宋体" w:cs="宋体"/>
          <w:color w:val="000000"/>
          <w:szCs w:val="21"/>
          <w:u w:val="single"/>
        </w:rPr>
        <w:tab/>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29"/>
      </w:pPr>
    </w:p>
    <w:p>
      <w:pPr>
        <w:spacing w:line="360" w:lineRule="auto"/>
        <w:jc w:val="center"/>
        <w:rPr>
          <w:rFonts w:hint="eastAsia" w:ascii="宋体" w:hAnsi="宋体" w:cs="宋体"/>
          <w:b/>
          <w:color w:val="000000"/>
          <w:sz w:val="24"/>
        </w:rPr>
      </w:pPr>
      <w:r>
        <w:rPr>
          <w:rFonts w:hint="eastAsia" w:ascii="宋体" w:hAnsi="宋体" w:cs="宋体"/>
          <w:color w:val="000000"/>
          <w:sz w:val="28"/>
          <w:szCs w:val="21"/>
        </w:rPr>
        <w:br w:type="page"/>
      </w:r>
      <w:bookmarkStart w:id="221" w:name="_Toc214075900"/>
      <w:bookmarkStart w:id="222" w:name="_Toc443316854"/>
      <w:r>
        <w:rPr>
          <w:rFonts w:hint="eastAsia" w:ascii="宋体" w:hAnsi="宋体" w:cs="宋体"/>
          <w:b/>
          <w:color w:val="000000"/>
          <w:sz w:val="24"/>
        </w:rPr>
        <w:t>二、法定代表人身份证明书</w:t>
      </w:r>
      <w:bookmarkEnd w:id="221"/>
      <w:bookmarkEnd w:id="222"/>
    </w:p>
    <w:p>
      <w:pPr>
        <w:spacing w:line="480" w:lineRule="auto"/>
        <w:ind w:left="420" w:firstLine="420"/>
        <w:rPr>
          <w:rFonts w:hint="eastAsia" w:ascii="宋体" w:hAnsi="宋体" w:cs="宋体"/>
          <w:color w:val="000000"/>
          <w:szCs w:val="21"/>
        </w:rPr>
      </w:pPr>
    </w:p>
    <w:p>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单位名称：</w:t>
      </w:r>
      <w:r>
        <w:rPr>
          <w:rFonts w:hint="eastAsia" w:ascii="宋体" w:hAnsi="宋体" w:cs="宋体"/>
          <w:color w:val="000000"/>
          <w:szCs w:val="21"/>
          <w:u w:val="single"/>
        </w:rPr>
        <w:t xml:space="preserve">                                      </w:t>
      </w:r>
    </w:p>
    <w:p>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p>
    <w:p>
      <w:pPr>
        <w:spacing w:line="480" w:lineRule="auto"/>
        <w:ind w:left="420" w:firstLine="420"/>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spacing w:line="480" w:lineRule="auto"/>
        <w:ind w:left="420" w:firstLine="420"/>
        <w:rPr>
          <w:rFonts w:hint="eastAsia"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spacing w:line="480" w:lineRule="auto"/>
        <w:ind w:left="420" w:firstLine="420"/>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（申请人单位名称）         </w:t>
      </w:r>
      <w:r>
        <w:rPr>
          <w:rFonts w:hint="eastAsia" w:ascii="宋体" w:hAnsi="宋体" w:cs="宋体"/>
          <w:color w:val="000000"/>
          <w:szCs w:val="21"/>
        </w:rPr>
        <w:t>的法定代表人。</w:t>
      </w:r>
    </w:p>
    <w:p>
      <w:pPr>
        <w:spacing w:line="480" w:lineRule="auto"/>
        <w:ind w:left="420" w:firstLine="420"/>
        <w:rPr>
          <w:rFonts w:hint="eastAsia" w:ascii="宋体" w:hAnsi="宋体" w:cs="宋体"/>
          <w:color w:val="000000"/>
          <w:szCs w:val="21"/>
        </w:rPr>
      </w:pPr>
    </w:p>
    <w:p>
      <w:pPr>
        <w:spacing w:line="480" w:lineRule="auto"/>
        <w:ind w:left="420" w:firstLine="420"/>
        <w:rPr>
          <w:rFonts w:hint="eastAsia" w:ascii="宋体" w:hAnsi="宋体" w:cs="宋体"/>
          <w:color w:val="000000"/>
          <w:szCs w:val="21"/>
        </w:rPr>
      </w:pPr>
      <w:r>
        <w:rPr>
          <w:rFonts w:hint="eastAsia" w:ascii="宋体" w:hAnsi="宋体" w:cs="宋体"/>
          <w:color w:val="000000"/>
          <w:szCs w:val="21"/>
        </w:rPr>
        <w:t>特此证明。</w:t>
      </w:r>
      <w:r>
        <w:rPr>
          <w:rFonts w:hint="eastAsia" w:ascii="宋体" w:hAnsi="宋体" w:cs="宋体"/>
          <w:color w:val="000000"/>
          <w:szCs w:val="21"/>
        </w:rPr>
        <w:tab/>
      </w:r>
    </w:p>
    <w:p>
      <w:pPr>
        <w:spacing w:line="480" w:lineRule="auto"/>
        <w:rPr>
          <w:rFonts w:hint="eastAsia" w:ascii="宋体" w:hAnsi="宋体" w:cs="宋体"/>
          <w:color w:val="000000"/>
          <w:szCs w:val="21"/>
        </w:rPr>
      </w:pPr>
      <w:r>
        <w:rPr>
          <w:rFonts w:hint="eastAsia" w:ascii="宋体" w:hAnsi="宋体" w:cs="宋体"/>
          <w:color w:val="000000"/>
          <w:szCs w:val="21"/>
        </w:rPr>
        <w:t xml:space="preserve">                                       </w:t>
      </w:r>
    </w:p>
    <w:p>
      <w:pPr>
        <w:spacing w:line="480" w:lineRule="auto"/>
        <w:ind w:firstLine="4620" w:firstLineChars="2200"/>
        <w:rPr>
          <w:rFonts w:hint="eastAsia" w:ascii="宋体" w:hAnsi="宋体" w:cs="宋体"/>
          <w:color w:val="000000"/>
          <w:szCs w:val="21"/>
        </w:rPr>
      </w:pPr>
      <w:r>
        <w:rPr>
          <w:rFonts w:hint="eastAsia" w:cs="宋体"/>
          <w:color w:val="000000"/>
        </w:rPr>
        <w:t>投标单位</w:t>
      </w:r>
      <w:r>
        <w:rPr>
          <w:rFonts w:hint="eastAsia" w:ascii="宋体" w:hAnsi="宋体" w:cs="宋体"/>
          <w:color w:val="000000"/>
          <w:szCs w:val="21"/>
        </w:rPr>
        <w:t>：</w:t>
      </w:r>
      <w:r>
        <w:rPr>
          <w:rFonts w:hint="eastAsia" w:ascii="宋体" w:hAnsi="宋体" w:cs="宋体"/>
          <w:color w:val="000000"/>
          <w:szCs w:val="21"/>
          <w:u w:val="single"/>
        </w:rPr>
        <w:t xml:space="preserve">           盖章    </w:t>
      </w:r>
    </w:p>
    <w:p>
      <w:pPr>
        <w:spacing w:line="480" w:lineRule="auto"/>
        <w:ind w:left="4620" w:firstLine="420"/>
        <w:rPr>
          <w:rFonts w:hint="eastAsia"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80" w:lineRule="auto"/>
        <w:ind w:left="4620" w:firstLine="420"/>
        <w:rPr>
          <w:rFonts w:hint="eastAsia" w:ascii="宋体" w:hAnsi="宋体" w:cs="宋体"/>
          <w:color w:val="000000"/>
          <w:szCs w:val="21"/>
        </w:rPr>
      </w:pPr>
    </w:p>
    <w:p>
      <w:pPr>
        <w:spacing w:line="360" w:lineRule="auto"/>
        <w:jc w:val="center"/>
        <w:rPr>
          <w:rFonts w:hint="eastAsia" w:ascii="宋体" w:hAnsi="宋体" w:cs="宋体"/>
          <w:b/>
          <w:color w:val="000000"/>
          <w:szCs w:val="21"/>
        </w:rPr>
      </w:pPr>
      <w:r>
        <w:rPr>
          <w:rFonts w:hint="eastAsia" w:ascii="宋体" w:hAnsi="宋体" w:cs="宋体"/>
          <w:b/>
          <w:color w:val="000000"/>
          <w:szCs w:val="21"/>
        </w:rPr>
        <w:t>（附法定代表人有效的身份证复印件）</w:t>
      </w:r>
    </w:p>
    <w:p>
      <w:pPr>
        <w:pStyle w:val="20"/>
        <w:rPr>
          <w:rFonts w:hint="eastAsia" w:ascii="宋体" w:hAnsi="宋体" w:cs="宋体"/>
          <w:b w:val="0"/>
          <w:color w:val="000000"/>
          <w:sz w:val="21"/>
          <w:szCs w:val="21"/>
        </w:rPr>
      </w:pPr>
    </w:p>
    <w:p>
      <w:pPr>
        <w:rPr>
          <w:rFonts w:hint="eastAsia" w:ascii="宋体" w:hAnsi="宋体" w:cs="宋体"/>
          <w:b/>
          <w:color w:val="000000"/>
          <w:szCs w:val="21"/>
        </w:rPr>
      </w:pPr>
    </w:p>
    <w:p>
      <w:pPr>
        <w:pStyle w:val="20"/>
        <w:rPr>
          <w:rFonts w:hint="eastAsia" w:ascii="宋体" w:hAnsi="宋体" w:cs="宋体"/>
          <w:b w:val="0"/>
          <w:color w:val="000000"/>
          <w:sz w:val="21"/>
          <w:szCs w:val="21"/>
        </w:rPr>
      </w:pPr>
    </w:p>
    <w:p/>
    <w:p>
      <w:pPr>
        <w:jc w:val="center"/>
        <w:rPr>
          <w:rFonts w:hint="eastAsia" w:ascii="宋体" w:hAnsi="宋体" w:cs="宋体"/>
          <w:b/>
          <w:color w:val="000000"/>
          <w:sz w:val="28"/>
          <w:szCs w:val="21"/>
        </w:rPr>
      </w:pPr>
      <w:r>
        <w:rPr>
          <w:rFonts w:hint="eastAsia" w:ascii="宋体" w:hAnsi="宋体" w:cs="宋体"/>
          <w:b/>
          <w:color w:val="000000"/>
          <w:sz w:val="28"/>
          <w:szCs w:val="21"/>
        </w:rPr>
        <w:br w:type="page"/>
      </w:r>
    </w:p>
    <w:p>
      <w:pPr>
        <w:spacing w:line="360" w:lineRule="auto"/>
        <w:jc w:val="center"/>
        <w:outlineLvl w:val="3"/>
        <w:rPr>
          <w:rFonts w:hint="eastAsia" w:ascii="宋体" w:hAnsi="宋体" w:cs="宋体"/>
          <w:b/>
          <w:color w:val="000000"/>
          <w:sz w:val="24"/>
        </w:rPr>
      </w:pPr>
      <w:bookmarkStart w:id="223" w:name="_Toc214075901"/>
      <w:bookmarkStart w:id="224" w:name="_Toc443316855"/>
      <w:r>
        <w:rPr>
          <w:rFonts w:hint="eastAsia" w:ascii="宋体" w:hAnsi="宋体" w:cs="宋体"/>
          <w:b/>
          <w:color w:val="000000"/>
          <w:sz w:val="24"/>
        </w:rPr>
        <w:t>三、响应文件签署授权委托书</w:t>
      </w:r>
      <w:bookmarkEnd w:id="223"/>
      <w:bookmarkEnd w:id="224"/>
    </w:p>
    <w:p>
      <w:pPr>
        <w:spacing w:line="360" w:lineRule="auto"/>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本授权委托书声明：我 </w:t>
      </w:r>
      <w:r>
        <w:rPr>
          <w:rFonts w:hint="eastAsia" w:ascii="宋体" w:hAnsi="宋体" w:cs="宋体"/>
          <w:color w:val="000000"/>
          <w:szCs w:val="21"/>
          <w:u w:val="single"/>
        </w:rPr>
        <w:t xml:space="preserve">   （姓名）   </w:t>
      </w:r>
      <w:r>
        <w:rPr>
          <w:rFonts w:hint="eastAsia" w:ascii="宋体" w:hAnsi="宋体" w:cs="宋体"/>
          <w:color w:val="000000"/>
          <w:szCs w:val="21"/>
        </w:rPr>
        <w:t>系</w:t>
      </w:r>
      <w:r>
        <w:rPr>
          <w:rFonts w:hint="eastAsia" w:ascii="宋体" w:hAnsi="宋体" w:cs="宋体"/>
          <w:color w:val="000000"/>
          <w:szCs w:val="21"/>
          <w:u w:val="single"/>
        </w:rPr>
        <w:t xml:space="preserve">  （申请人名称）   </w:t>
      </w:r>
      <w:r>
        <w:rPr>
          <w:rFonts w:hint="eastAsia" w:ascii="宋体" w:hAnsi="宋体" w:cs="宋体"/>
          <w:color w:val="000000"/>
          <w:szCs w:val="21"/>
        </w:rPr>
        <w:t>的法定代表人，现授权委托</w:t>
      </w:r>
      <w:r>
        <w:rPr>
          <w:rFonts w:hint="eastAsia" w:ascii="宋体" w:hAnsi="宋体" w:cs="宋体"/>
          <w:color w:val="000000"/>
          <w:szCs w:val="21"/>
          <w:u w:val="single"/>
        </w:rPr>
        <w:t xml:space="preserve">     （申请人名称）        </w:t>
      </w:r>
      <w:r>
        <w:rPr>
          <w:rFonts w:hint="eastAsia" w:ascii="宋体" w:hAnsi="宋体" w:cs="宋体"/>
          <w:color w:val="000000"/>
          <w:szCs w:val="21"/>
        </w:rPr>
        <w:t>的</w:t>
      </w:r>
      <w:r>
        <w:rPr>
          <w:rFonts w:hint="eastAsia" w:ascii="宋体" w:hAnsi="宋体" w:cs="宋体"/>
          <w:color w:val="000000"/>
          <w:szCs w:val="21"/>
          <w:u w:val="single"/>
        </w:rPr>
        <w:t xml:space="preserve">   （姓名）   </w:t>
      </w:r>
      <w:r>
        <w:rPr>
          <w:rFonts w:hint="eastAsia" w:ascii="宋体" w:hAnsi="宋体" w:cs="宋体"/>
          <w:color w:val="000000"/>
          <w:szCs w:val="21"/>
        </w:rPr>
        <w:t>为我公司签署本工程的响应文件的法定代表人的授权委托代理人，我承认代理人全权代表我所签署的本工程的响应文件的内容。</w:t>
      </w: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代理人无转委托权，特此委托。</w:t>
      </w: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代理人：</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p>
    <w:p>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申请人：</w:t>
      </w:r>
      <w:r>
        <w:rPr>
          <w:rFonts w:hint="eastAsia" w:ascii="宋体" w:hAnsi="宋体" w:cs="宋体"/>
          <w:color w:val="000000"/>
          <w:szCs w:val="21"/>
          <w:u w:val="single"/>
        </w:rPr>
        <w:t xml:space="preserve">               盖章             </w:t>
      </w:r>
      <w:r>
        <w:rPr>
          <w:rFonts w:hint="eastAsia" w:ascii="宋体" w:hAnsi="宋体" w:cs="宋体"/>
          <w:color w:val="000000"/>
          <w:szCs w:val="21"/>
          <w:u w:val="single"/>
        </w:rPr>
        <w:tab/>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法定代表人：</w:t>
      </w:r>
      <w:r>
        <w:rPr>
          <w:rFonts w:hint="eastAsia" w:ascii="宋体" w:hAnsi="宋体" w:cs="宋体"/>
          <w:color w:val="000000"/>
          <w:szCs w:val="21"/>
          <w:u w:val="single"/>
        </w:rPr>
        <w:t xml:space="preserve">               盖章            </w:t>
      </w:r>
    </w:p>
    <w:p>
      <w:pPr>
        <w:spacing w:line="360" w:lineRule="auto"/>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360" w:lineRule="auto"/>
        <w:rPr>
          <w:rFonts w:hint="eastAsia" w:ascii="宋体" w:hAnsi="宋体" w:cs="宋体"/>
          <w:b/>
          <w:color w:val="000000"/>
          <w:szCs w:val="21"/>
        </w:rPr>
      </w:pPr>
    </w:p>
    <w:p>
      <w:pPr>
        <w:spacing w:line="360" w:lineRule="auto"/>
        <w:rPr>
          <w:rFonts w:hint="eastAsia" w:ascii="宋体" w:hAnsi="宋体" w:cs="宋体"/>
          <w:b/>
          <w:color w:val="000000"/>
          <w:szCs w:val="21"/>
        </w:rPr>
      </w:pPr>
    </w:p>
    <w:p>
      <w:pPr>
        <w:spacing w:line="360" w:lineRule="auto"/>
        <w:jc w:val="center"/>
        <w:rPr>
          <w:rFonts w:hint="eastAsia" w:ascii="宋体" w:hAnsi="宋体" w:cs="宋体"/>
          <w:b/>
          <w:color w:val="000000"/>
          <w:szCs w:val="21"/>
        </w:rPr>
      </w:pPr>
      <w:r>
        <w:rPr>
          <w:rFonts w:hint="eastAsia" w:ascii="宋体" w:hAnsi="宋体" w:cs="宋体"/>
          <w:b/>
          <w:color w:val="000000"/>
          <w:szCs w:val="21"/>
        </w:rPr>
        <w:t>（附代理人有效的身份证复印件）</w:t>
      </w:r>
    </w:p>
    <w:p>
      <w:pPr>
        <w:spacing w:line="360" w:lineRule="auto"/>
        <w:jc w:val="center"/>
        <w:rPr>
          <w:rFonts w:hint="eastAsia" w:ascii="宋体" w:hAnsi="宋体" w:cs="宋体"/>
          <w:color w:val="000000"/>
          <w:sz w:val="28"/>
          <w:szCs w:val="21"/>
        </w:rPr>
      </w:pPr>
    </w:p>
    <w:p>
      <w:pPr>
        <w:pStyle w:val="20"/>
        <w:rPr>
          <w:rFonts w:hint="eastAsia" w:ascii="宋体" w:hAnsi="宋体" w:cs="宋体"/>
          <w:color w:val="000000"/>
          <w:sz w:val="28"/>
          <w:szCs w:val="21"/>
        </w:rPr>
      </w:pPr>
    </w:p>
    <w:p>
      <w:pPr>
        <w:rPr>
          <w:rFonts w:hint="eastAsia" w:ascii="宋体" w:hAnsi="宋体" w:cs="宋体"/>
          <w:color w:val="000000"/>
          <w:sz w:val="28"/>
          <w:szCs w:val="21"/>
        </w:rPr>
      </w:pPr>
    </w:p>
    <w:p>
      <w:pPr>
        <w:pStyle w:val="6"/>
        <w:tabs>
          <w:tab w:val="left" w:pos="720"/>
        </w:tabs>
        <w:spacing w:line="600" w:lineRule="auto"/>
        <w:jc w:val="center"/>
        <w:rPr>
          <w:rFonts w:hint="eastAsia" w:hAnsi="宋体"/>
          <w:color w:val="000000"/>
        </w:rPr>
      </w:pPr>
      <w:r>
        <w:rPr>
          <w:rFonts w:hint="eastAsia" w:hAnsi="宋体"/>
          <w:color w:val="000000"/>
        </w:rPr>
        <w:br w:type="page"/>
      </w:r>
      <w:bookmarkStart w:id="225" w:name="_Toc32045"/>
      <w:bookmarkStart w:id="226" w:name="_Toc214075906"/>
      <w:bookmarkStart w:id="227" w:name="_Toc443316856"/>
      <w:bookmarkStart w:id="228" w:name="_Toc9509"/>
      <w:r>
        <w:rPr>
          <w:rFonts w:hint="eastAsia" w:hAnsi="宋体"/>
          <w:color w:val="000000"/>
        </w:rPr>
        <w:t>第二节  响应文件商务部分格式</w:t>
      </w:r>
      <w:bookmarkEnd w:id="225"/>
      <w:bookmarkEnd w:id="226"/>
      <w:bookmarkEnd w:id="227"/>
      <w:bookmarkEnd w:id="228"/>
    </w:p>
    <w:p>
      <w:pPr>
        <w:keepLines/>
        <w:tabs>
          <w:tab w:val="left" w:pos="-5300"/>
        </w:tabs>
        <w:spacing w:line="600" w:lineRule="auto"/>
        <w:jc w:val="center"/>
        <w:outlineLvl w:val="3"/>
        <w:rPr>
          <w:rFonts w:hint="eastAsia" w:ascii="宋体" w:hAnsi="宋体" w:cs="宋体"/>
          <w:b/>
          <w:color w:val="000000"/>
          <w:sz w:val="24"/>
        </w:rPr>
      </w:pPr>
      <w:bookmarkStart w:id="229" w:name="_Toc214075907"/>
      <w:bookmarkStart w:id="230" w:name="_Toc443316857"/>
      <w:r>
        <w:rPr>
          <w:rFonts w:hint="eastAsia" w:ascii="宋体" w:hAnsi="宋体" w:cs="宋体"/>
          <w:b/>
          <w:color w:val="000000"/>
          <w:sz w:val="24"/>
        </w:rPr>
        <w:t>一、竞标报价一览表</w:t>
      </w:r>
      <w:bookmarkEnd w:id="229"/>
      <w:bookmarkEnd w:id="230"/>
    </w:p>
    <w:p>
      <w:pPr>
        <w:autoSpaceDE w:val="0"/>
        <w:autoSpaceDN w:val="0"/>
        <w:adjustRightInd w:val="0"/>
        <w:jc w:val="left"/>
        <w:rPr>
          <w:rFonts w:hint="eastAsia" w:ascii="宋体" w:hAnsi="宋体" w:cs="宋体"/>
          <w:b/>
          <w:bCs/>
          <w:kern w:val="0"/>
          <w:szCs w:val="21"/>
        </w:rPr>
      </w:pPr>
      <w:r>
        <w:rPr>
          <w:rFonts w:hint="eastAsia" w:ascii="宋体" w:hAnsi="宋体" w:cs="宋体"/>
          <w:color w:val="000000"/>
          <w:szCs w:val="21"/>
        </w:rPr>
        <w:t>项目名称：</w:t>
      </w:r>
      <w:r>
        <w:rPr>
          <w:rFonts w:hint="eastAsia" w:ascii="宋体" w:hAnsi="宋体"/>
          <w:b/>
          <w:bCs/>
          <w:color w:val="000000" w:themeColor="text1"/>
          <w:spacing w:val="-4"/>
          <w:szCs w:val="21"/>
          <w14:textFill>
            <w14:solidFill>
              <w14:schemeClr w14:val="tx1"/>
            </w14:solidFill>
          </w14:textFill>
        </w:rPr>
        <w:t>呈贡区彩龙村二期项目</w:t>
      </w:r>
      <w:r>
        <w:rPr>
          <w:rFonts w:hint="eastAsia" w:ascii="宋体" w:hAnsi="宋体"/>
          <w:b/>
          <w:bCs/>
          <w:color w:val="000000" w:themeColor="text1"/>
          <w:spacing w:val="-4"/>
          <w:szCs w:val="21"/>
          <w:lang w:eastAsia="zh-CN"/>
          <w14:textFill>
            <w14:solidFill>
              <w14:schemeClr w14:val="tx1"/>
            </w14:solidFill>
          </w14:textFill>
        </w:rPr>
        <w:t>工程结算审核</w:t>
      </w:r>
      <w:r>
        <w:rPr>
          <w:rFonts w:hint="eastAsia" w:ascii="宋体" w:hAnsi="宋体"/>
          <w:b/>
          <w:bCs/>
          <w:color w:val="000000" w:themeColor="text1"/>
          <w:spacing w:val="-4"/>
          <w:szCs w:val="21"/>
          <w14:textFill>
            <w14:solidFill>
              <w14:schemeClr w14:val="tx1"/>
            </w14:solidFill>
          </w14:textFill>
        </w:rPr>
        <w:t>服务</w:t>
      </w:r>
    </w:p>
    <w:tbl>
      <w:tblPr>
        <w:tblStyle w:val="23"/>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pPr>
              <w:jc w:val="center"/>
              <w:rPr>
                <w:rFonts w:hint="eastAsia" w:ascii="宋体" w:hAnsi="宋体" w:cs="宋体"/>
                <w:b/>
                <w:color w:val="000000"/>
                <w:szCs w:val="21"/>
              </w:rPr>
            </w:pPr>
            <w:r>
              <w:rPr>
                <w:rFonts w:hint="eastAsia" w:ascii="宋体" w:hAnsi="宋体" w:cs="宋体"/>
                <w:b/>
                <w:color w:val="000000"/>
                <w:szCs w:val="21"/>
              </w:rPr>
              <w:t>项目名称</w:t>
            </w:r>
          </w:p>
        </w:tc>
        <w:tc>
          <w:tcPr>
            <w:tcW w:w="5577" w:type="dxa"/>
            <w:vAlign w:val="center"/>
          </w:tcPr>
          <w:p>
            <w:pPr>
              <w:jc w:val="center"/>
              <w:rPr>
                <w:rFonts w:hint="eastAsia" w:ascii="宋体" w:hAnsi="宋体" w:cs="宋体"/>
                <w:b/>
                <w:color w:val="000000"/>
                <w:szCs w:val="21"/>
              </w:rPr>
            </w:pPr>
            <w:r>
              <w:rPr>
                <w:rFonts w:hint="eastAsia" w:ascii="宋体" w:hAnsi="宋体" w:cs="宋体"/>
                <w:b/>
                <w:color w:val="000000"/>
                <w:szCs w:val="21"/>
              </w:rPr>
              <w:t>报价及承诺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pPr>
              <w:spacing w:line="480" w:lineRule="auto"/>
              <w:jc w:val="center"/>
              <w:rPr>
                <w:rFonts w:hint="eastAsia" w:ascii="宋体" w:hAnsi="宋体" w:cs="宋体"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竞标报价（元）</w:t>
            </w:r>
          </w:p>
        </w:tc>
        <w:tc>
          <w:tcPr>
            <w:tcW w:w="5577" w:type="dxa"/>
            <w:vAlign w:val="center"/>
          </w:tcPr>
          <w:p>
            <w:pPr>
              <w:spacing w:line="48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小写：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spacing w:line="48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大写：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pPr>
              <w:jc w:val="center"/>
              <w:rPr>
                <w:rFonts w:hint="eastAsia" w:ascii="宋体" w:hAnsi="宋体" w:cs="宋体"/>
                <w:color w:val="000000"/>
                <w:szCs w:val="21"/>
              </w:rPr>
            </w:pPr>
            <w:r>
              <w:rPr>
                <w:rFonts w:hint="eastAsia" w:ascii="宋体" w:hAnsi="宋体" w:cs="宋体"/>
                <w:color w:val="000000"/>
                <w:szCs w:val="21"/>
              </w:rPr>
              <w:t>服务周期</w:t>
            </w:r>
          </w:p>
        </w:tc>
        <w:tc>
          <w:tcPr>
            <w:tcW w:w="5577" w:type="dxa"/>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pPr>
              <w:jc w:val="center"/>
              <w:rPr>
                <w:rFonts w:hint="eastAsia" w:ascii="宋体" w:hAnsi="宋体" w:cs="宋体"/>
                <w:color w:val="000000"/>
                <w:szCs w:val="21"/>
              </w:rPr>
            </w:pPr>
            <w:r>
              <w:rPr>
                <w:rFonts w:hint="eastAsia" w:ascii="宋体" w:hAnsi="宋体" w:cs="宋体"/>
                <w:color w:val="000000"/>
                <w:szCs w:val="21"/>
              </w:rPr>
              <w:t>质量承诺</w:t>
            </w:r>
          </w:p>
        </w:tc>
        <w:tc>
          <w:tcPr>
            <w:tcW w:w="5577" w:type="dxa"/>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938" w:type="dxa"/>
            <w:vAlign w:val="center"/>
          </w:tcPr>
          <w:p>
            <w:pPr>
              <w:jc w:val="center"/>
              <w:rPr>
                <w:rFonts w:hint="eastAsia" w:ascii="宋体" w:hAnsi="宋体" w:cs="宋体"/>
                <w:color w:val="000000"/>
                <w:szCs w:val="21"/>
              </w:rPr>
            </w:pPr>
            <w:r>
              <w:rPr>
                <w:rFonts w:hint="eastAsia" w:ascii="宋体" w:hAnsi="宋体" w:cs="宋体"/>
                <w:color w:val="000000"/>
                <w:szCs w:val="21"/>
              </w:rPr>
              <w:t>项目负责人</w:t>
            </w:r>
          </w:p>
        </w:tc>
        <w:tc>
          <w:tcPr>
            <w:tcW w:w="5577" w:type="dxa"/>
            <w:vAlign w:val="center"/>
          </w:tcPr>
          <w:p>
            <w:r>
              <w:rPr>
                <w:rFonts w:hint="eastAsia"/>
              </w:rPr>
              <w:t>造价项目负责人：</w:t>
            </w:r>
          </w:p>
          <w:p>
            <w:r>
              <w:rPr>
                <w:rFonts w:hint="eastAsia"/>
              </w:rPr>
              <w:t>证书编号：</w:t>
            </w:r>
          </w:p>
          <w:p>
            <w:r>
              <w:rPr>
                <w:rFonts w:hint="eastAsi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pPr>
              <w:jc w:val="center"/>
              <w:rPr>
                <w:rFonts w:hint="eastAsia" w:ascii="宋体" w:hAnsi="宋体" w:cs="宋体"/>
                <w:color w:val="000000"/>
                <w:szCs w:val="21"/>
              </w:rPr>
            </w:pPr>
            <w:r>
              <w:rPr>
                <w:rFonts w:hint="eastAsia" w:ascii="宋体" w:hAnsi="宋体" w:cs="宋体"/>
                <w:color w:val="000000"/>
                <w:szCs w:val="21"/>
              </w:rPr>
              <w:t>说明</w:t>
            </w:r>
          </w:p>
        </w:tc>
        <w:tc>
          <w:tcPr>
            <w:tcW w:w="5577" w:type="dxa"/>
            <w:vAlign w:val="center"/>
          </w:tcPr>
          <w:p>
            <w:pPr>
              <w:jc w:val="center"/>
              <w:rPr>
                <w:rFonts w:hint="eastAsia" w:ascii="宋体" w:hAnsi="宋体" w:cs="宋体"/>
                <w:color w:val="000000"/>
                <w:szCs w:val="21"/>
              </w:rPr>
            </w:pPr>
          </w:p>
        </w:tc>
      </w:tr>
    </w:tbl>
    <w:p>
      <w:pPr>
        <w:spacing w:line="360" w:lineRule="auto"/>
        <w:ind w:firstLine="420"/>
        <w:rPr>
          <w:rFonts w:hint="eastAsia" w:ascii="宋体" w:hAnsi="宋体" w:cs="宋体"/>
          <w:color w:val="000000"/>
          <w:szCs w:val="21"/>
        </w:rPr>
      </w:pPr>
    </w:p>
    <w:p>
      <w:pPr>
        <w:spacing w:line="360" w:lineRule="auto"/>
        <w:ind w:firstLine="420"/>
        <w:rPr>
          <w:rFonts w:hint="eastAsia" w:ascii="宋体" w:hAnsi="宋体" w:cs="宋体"/>
          <w:color w:val="000000"/>
          <w:szCs w:val="21"/>
        </w:rPr>
      </w:pPr>
      <w:r>
        <w:rPr>
          <w:rFonts w:hint="eastAsia" w:ascii="宋体" w:hAnsi="宋体" w:cs="宋体"/>
          <w:color w:val="000000"/>
          <w:szCs w:val="21"/>
        </w:rPr>
        <w:t>投标单位盖章：___________________________</w:t>
      </w:r>
    </w:p>
    <w:p>
      <w:pPr>
        <w:spacing w:line="360" w:lineRule="auto"/>
        <w:ind w:firstLine="420"/>
        <w:rPr>
          <w:rFonts w:hint="eastAsia" w:ascii="宋体" w:hAnsi="宋体" w:cs="宋体"/>
          <w:color w:val="000000"/>
          <w:szCs w:val="21"/>
        </w:rPr>
      </w:pPr>
      <w:r>
        <w:rPr>
          <w:rFonts w:hint="eastAsia" w:ascii="宋体" w:hAnsi="宋体" w:cs="宋体"/>
          <w:color w:val="000000"/>
          <w:szCs w:val="21"/>
        </w:rPr>
        <w:t>法定代表人：__________盖章</w:t>
      </w:r>
    </w:p>
    <w:p>
      <w:pPr>
        <w:spacing w:line="360" w:lineRule="auto"/>
        <w:ind w:firstLine="420"/>
        <w:rPr>
          <w:rFonts w:hint="eastAsia" w:ascii="宋体" w:hAnsi="宋体" w:cs="宋体"/>
          <w:color w:val="000000"/>
          <w:szCs w:val="21"/>
        </w:rPr>
      </w:pPr>
      <w:r>
        <w:rPr>
          <w:rFonts w:hint="eastAsia" w:ascii="宋体" w:hAnsi="宋体" w:cs="宋体"/>
          <w:color w:val="000000"/>
          <w:szCs w:val="21"/>
        </w:rPr>
        <w:t>_______年______月______日</w:t>
      </w:r>
    </w:p>
    <w:p>
      <w:pPr>
        <w:spacing w:line="360" w:lineRule="auto"/>
        <w:ind w:firstLine="420"/>
        <w:rPr>
          <w:rFonts w:hint="eastAsia" w:ascii="宋体" w:hAnsi="宋体" w:cs="宋体"/>
          <w:color w:val="000000"/>
          <w:sz w:val="28"/>
          <w:szCs w:val="28"/>
        </w:rPr>
      </w:pPr>
    </w:p>
    <w:p>
      <w:pPr>
        <w:spacing w:line="360" w:lineRule="auto"/>
        <w:ind w:firstLine="420"/>
        <w:rPr>
          <w:rFonts w:hint="eastAsia" w:ascii="宋体" w:hAnsi="宋体" w:cs="宋体"/>
          <w:color w:val="000000"/>
          <w:sz w:val="28"/>
          <w:szCs w:val="28"/>
        </w:rPr>
      </w:pPr>
    </w:p>
    <w:p>
      <w:pPr>
        <w:spacing w:line="360" w:lineRule="auto"/>
        <w:rPr>
          <w:rFonts w:hint="eastAsia" w:ascii="宋体" w:hAnsi="宋体" w:cs="宋体"/>
          <w:color w:val="000000"/>
          <w:sz w:val="24"/>
        </w:rPr>
      </w:pPr>
      <w:bookmarkStart w:id="231" w:name="_Toc20169"/>
      <w:r>
        <w:rPr>
          <w:rFonts w:hint="eastAsia" w:ascii="宋体" w:hAnsi="宋体" w:cs="宋体"/>
          <w:b/>
          <w:color w:val="000000"/>
          <w:sz w:val="28"/>
          <w:szCs w:val="28"/>
        </w:rPr>
        <w:br w:type="page"/>
      </w:r>
      <w:bookmarkEnd w:id="231"/>
    </w:p>
    <w:p>
      <w:pPr>
        <w:pStyle w:val="6"/>
        <w:tabs>
          <w:tab w:val="left" w:pos="720"/>
        </w:tabs>
        <w:jc w:val="center"/>
        <w:rPr>
          <w:rFonts w:hint="eastAsia" w:hAnsi="宋体"/>
          <w:color w:val="000000"/>
        </w:rPr>
      </w:pPr>
      <w:bookmarkStart w:id="232" w:name="_Toc10127"/>
      <w:bookmarkStart w:id="233" w:name="_Toc21385"/>
      <w:bookmarkStart w:id="234" w:name="_Toc443316859"/>
      <w:bookmarkStart w:id="235" w:name="_Toc214075920"/>
      <w:r>
        <w:rPr>
          <w:rFonts w:hint="eastAsia" w:hAnsi="宋体"/>
          <w:color w:val="000000"/>
        </w:rPr>
        <w:t>第三节  响应文件技术部分格式</w:t>
      </w:r>
      <w:bookmarkEnd w:id="232"/>
      <w:bookmarkEnd w:id="233"/>
      <w:bookmarkEnd w:id="234"/>
      <w:bookmarkEnd w:id="235"/>
    </w:p>
    <w:p>
      <w:pPr>
        <w:spacing w:line="360" w:lineRule="auto"/>
        <w:ind w:firstLine="419" w:firstLineChars="199"/>
        <w:rPr>
          <w:rFonts w:hint="eastAsia" w:ascii="宋体" w:hAnsi="宋体" w:cs="宋体"/>
          <w:b/>
          <w:color w:val="000000"/>
          <w:sz w:val="28"/>
          <w:szCs w:val="28"/>
        </w:rPr>
      </w:pPr>
      <w:r>
        <w:rPr>
          <w:rFonts w:hint="eastAsia" w:ascii="宋体" w:hAnsi="宋体" w:cs="宋体"/>
          <w:b/>
          <w:color w:val="000000"/>
          <w:szCs w:val="21"/>
        </w:rPr>
        <w:t>技术部分包括但不限于以下内容：</w:t>
      </w:r>
    </w:p>
    <w:p>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工程结算审核</w:t>
      </w:r>
      <w:r>
        <w:rPr>
          <w:rFonts w:hint="eastAsia" w:ascii="宋体" w:hAnsi="宋体" w:cs="宋体"/>
          <w:color w:val="000000"/>
          <w:szCs w:val="21"/>
        </w:rPr>
        <w:t>服务方案</w:t>
      </w:r>
    </w:p>
    <w:p>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2、项目目标控制措施（包括</w:t>
      </w:r>
      <w:r>
        <w:rPr>
          <w:rFonts w:hint="eastAsia" w:ascii="宋体" w:hAnsi="宋体" w:cs="宋体"/>
          <w:color w:val="000000"/>
          <w:szCs w:val="21"/>
          <w:lang w:eastAsia="zh-CN"/>
        </w:rPr>
        <w:t>工程结算审核</w:t>
      </w:r>
      <w:r>
        <w:rPr>
          <w:rFonts w:hint="eastAsia" w:ascii="宋体" w:hAnsi="宋体" w:cs="宋体"/>
          <w:color w:val="000000"/>
          <w:szCs w:val="21"/>
        </w:rPr>
        <w:t>服务质量承诺及保证措施、工作期限承诺及保证措施）</w:t>
      </w:r>
    </w:p>
    <w:p>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3、</w:t>
      </w:r>
      <w:r>
        <w:rPr>
          <w:rFonts w:hint="eastAsia" w:ascii="宋体" w:hAnsi="宋体"/>
          <w:color w:val="000000"/>
          <w:szCs w:val="21"/>
        </w:rPr>
        <w:t>后续服务工作安排及承诺</w:t>
      </w:r>
    </w:p>
    <w:p>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4、拟派往本项目的造价人员配置情况</w:t>
      </w:r>
    </w:p>
    <w:p>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5、申请人认为须提供的其他材料或承诺</w:t>
      </w:r>
    </w:p>
    <w:p>
      <w:pPr>
        <w:spacing w:line="360" w:lineRule="auto"/>
        <w:rPr>
          <w:rFonts w:hint="eastAsia" w:ascii="宋体" w:hAnsi="宋体" w:cs="宋体"/>
          <w:color w:val="000000"/>
          <w:sz w:val="30"/>
          <w:szCs w:val="30"/>
        </w:rPr>
        <w:sectPr>
          <w:headerReference r:id="rId4" w:type="first"/>
          <w:footerReference r:id="rId6" w:type="first"/>
          <w:headerReference r:id="rId3" w:type="default"/>
          <w:footerReference r:id="rId5" w:type="default"/>
          <w:pgSz w:w="11906" w:h="16838"/>
          <w:pgMar w:top="1417" w:right="1134" w:bottom="1417" w:left="1134" w:header="850" w:footer="992" w:gutter="0"/>
          <w:pgNumType w:fmt="numberInDash"/>
          <w:cols w:space="708" w:num="1"/>
          <w:titlePg/>
          <w:docGrid w:type="lines" w:linePitch="317" w:charSpace="0"/>
        </w:sectPr>
      </w:pPr>
    </w:p>
    <w:p>
      <w:pPr>
        <w:pStyle w:val="6"/>
        <w:tabs>
          <w:tab w:val="left" w:pos="720"/>
        </w:tabs>
        <w:jc w:val="center"/>
        <w:rPr>
          <w:rFonts w:hint="eastAsia" w:hAnsi="宋体"/>
          <w:color w:val="000000"/>
        </w:rPr>
      </w:pPr>
      <w:bookmarkStart w:id="236" w:name="_Toc28628"/>
      <w:bookmarkStart w:id="237" w:name="_Toc443316860"/>
      <w:bookmarkStart w:id="238" w:name="_Toc22908"/>
      <w:bookmarkStart w:id="239" w:name="_Toc5879"/>
      <w:bookmarkStart w:id="240" w:name="_Toc443316861"/>
      <w:r>
        <w:rPr>
          <w:rFonts w:hint="eastAsia" w:hAnsi="宋体"/>
          <w:color w:val="000000"/>
        </w:rPr>
        <w:t>一、</w:t>
      </w:r>
      <w:bookmarkEnd w:id="236"/>
      <w:bookmarkEnd w:id="237"/>
      <w:r>
        <w:rPr>
          <w:rFonts w:hint="eastAsia" w:hAnsi="宋体"/>
          <w:color w:val="000000"/>
          <w:lang w:eastAsia="zh-CN"/>
        </w:rPr>
        <w:t>工程结算审核</w:t>
      </w:r>
      <w:r>
        <w:rPr>
          <w:rFonts w:hint="eastAsia" w:hAnsi="宋体"/>
          <w:color w:val="000000"/>
        </w:rPr>
        <w:t>服务技术服务方案</w:t>
      </w:r>
      <w:bookmarkEnd w:id="238"/>
    </w:p>
    <w:p>
      <w:pPr>
        <w:pStyle w:val="6"/>
        <w:tabs>
          <w:tab w:val="left" w:pos="720"/>
        </w:tabs>
        <w:jc w:val="center"/>
        <w:rPr>
          <w:rFonts w:hint="eastAsia" w:hAnsi="宋体"/>
          <w:color w:val="000000"/>
        </w:rPr>
      </w:pPr>
      <w:bookmarkStart w:id="241" w:name="_Toc24872"/>
      <w:r>
        <w:rPr>
          <w:rFonts w:hint="eastAsia" w:hAnsi="宋体"/>
          <w:color w:val="000000"/>
        </w:rPr>
        <w:t>（格式自拟）</w:t>
      </w:r>
      <w:bookmarkEnd w:id="241"/>
    </w:p>
    <w:p>
      <w:pPr>
        <w:pStyle w:val="6"/>
        <w:tabs>
          <w:tab w:val="left" w:pos="720"/>
        </w:tabs>
        <w:jc w:val="center"/>
        <w:rPr>
          <w:rFonts w:hint="eastAsia" w:hAnsi="宋体"/>
          <w:color w:val="000000"/>
        </w:rPr>
        <w:sectPr>
          <w:pgSz w:w="11906" w:h="16838"/>
          <w:pgMar w:top="1440" w:right="1417" w:bottom="1440" w:left="1417" w:header="850" w:footer="992" w:gutter="0"/>
          <w:pgNumType w:fmt="numberInDash"/>
          <w:cols w:space="708" w:num="1"/>
          <w:titlePg/>
          <w:docGrid w:type="lines" w:linePitch="317" w:charSpace="0"/>
        </w:sectPr>
      </w:pPr>
    </w:p>
    <w:p>
      <w:pPr>
        <w:spacing w:line="360" w:lineRule="auto"/>
        <w:ind w:firstLine="682" w:firstLineChars="325"/>
        <w:jc w:val="center"/>
        <w:rPr>
          <w:rFonts w:hint="eastAsia" w:ascii="宋体" w:hAnsi="宋体" w:cs="宋体"/>
          <w:color w:val="000000"/>
          <w:szCs w:val="21"/>
        </w:rPr>
      </w:pPr>
    </w:p>
    <w:p>
      <w:pPr>
        <w:pStyle w:val="6"/>
        <w:tabs>
          <w:tab w:val="left" w:pos="720"/>
        </w:tabs>
        <w:jc w:val="center"/>
        <w:rPr>
          <w:rFonts w:hint="eastAsia" w:hAnsi="宋体"/>
          <w:color w:val="000000"/>
        </w:rPr>
      </w:pPr>
      <w:bookmarkStart w:id="242" w:name="_Toc8124"/>
      <w:r>
        <w:rPr>
          <w:rFonts w:hint="eastAsia" w:hAnsi="宋体"/>
          <w:color w:val="000000"/>
        </w:rPr>
        <w:t>二、项目目标控制措施</w:t>
      </w:r>
      <w:bookmarkEnd w:id="242"/>
    </w:p>
    <w:p>
      <w:pPr>
        <w:pStyle w:val="6"/>
        <w:tabs>
          <w:tab w:val="left" w:pos="720"/>
        </w:tabs>
        <w:jc w:val="center"/>
        <w:rPr>
          <w:rFonts w:hint="eastAsia" w:hAnsi="宋体"/>
          <w:b w:val="0"/>
          <w:bCs w:val="0"/>
          <w:color w:val="000000"/>
        </w:rPr>
        <w:sectPr>
          <w:pgSz w:w="11906" w:h="16838"/>
          <w:pgMar w:top="1440" w:right="1417" w:bottom="1440" w:left="1417" w:header="850" w:footer="992" w:gutter="0"/>
          <w:pgNumType w:fmt="numberInDash"/>
          <w:cols w:space="708" w:num="1"/>
          <w:titlePg/>
          <w:docGrid w:type="lines" w:linePitch="317" w:charSpace="0"/>
        </w:sectPr>
      </w:pPr>
      <w:bookmarkStart w:id="243" w:name="_Toc6505"/>
      <w:r>
        <w:rPr>
          <w:rFonts w:hint="eastAsia" w:hAnsi="宋体"/>
          <w:b w:val="0"/>
          <w:bCs w:val="0"/>
          <w:color w:val="000000"/>
        </w:rPr>
        <w:t>格式自拟，至少应包括</w:t>
      </w:r>
      <w:r>
        <w:rPr>
          <w:rFonts w:hint="eastAsia" w:hAnsi="宋体"/>
          <w:b w:val="0"/>
          <w:bCs w:val="0"/>
          <w:color w:val="000000"/>
          <w:lang w:eastAsia="zh-CN"/>
        </w:rPr>
        <w:t>工程结算审核</w:t>
      </w:r>
      <w:r>
        <w:rPr>
          <w:rFonts w:hint="eastAsia" w:hAnsi="宋体"/>
          <w:b w:val="0"/>
          <w:bCs w:val="0"/>
          <w:color w:val="000000"/>
        </w:rPr>
        <w:t>服务质量承诺及保证措施、工作期限承诺及保证措施。</w:t>
      </w:r>
      <w:bookmarkEnd w:id="243"/>
    </w:p>
    <w:p>
      <w:pPr>
        <w:pStyle w:val="6"/>
        <w:tabs>
          <w:tab w:val="left" w:pos="720"/>
        </w:tabs>
        <w:jc w:val="center"/>
        <w:rPr>
          <w:rFonts w:hint="eastAsia" w:hAnsi="宋体"/>
          <w:color w:val="000000"/>
        </w:rPr>
      </w:pPr>
      <w:bookmarkStart w:id="244" w:name="_Toc10647"/>
      <w:r>
        <w:rPr>
          <w:rFonts w:hint="eastAsia" w:hAnsi="宋体"/>
          <w:color w:val="000000"/>
        </w:rPr>
        <w:t>三、后续服务工作安排及承诺</w:t>
      </w:r>
      <w:bookmarkEnd w:id="244"/>
    </w:p>
    <w:p>
      <w:pPr>
        <w:spacing w:line="360" w:lineRule="auto"/>
        <w:ind w:firstLine="682" w:firstLineChars="325"/>
        <w:jc w:val="center"/>
        <w:rPr>
          <w:rFonts w:hint="eastAsia" w:ascii="宋体" w:hAnsi="宋体" w:cs="宋体"/>
          <w:color w:val="000000"/>
          <w:szCs w:val="21"/>
        </w:rPr>
      </w:pPr>
      <w:r>
        <w:rPr>
          <w:rFonts w:hint="eastAsia" w:ascii="宋体" w:hAnsi="宋体" w:cs="宋体"/>
          <w:color w:val="000000"/>
          <w:szCs w:val="21"/>
        </w:rPr>
        <w:t>（格式自拟）</w:t>
      </w:r>
    </w:p>
    <w:p>
      <w:pPr>
        <w:spacing w:line="360" w:lineRule="auto"/>
        <w:ind w:firstLine="682" w:firstLineChars="325"/>
        <w:jc w:val="center"/>
        <w:rPr>
          <w:rFonts w:hint="eastAsia" w:ascii="宋体" w:hAnsi="宋体" w:cs="宋体"/>
          <w:color w:val="000000"/>
          <w:szCs w:val="21"/>
        </w:rPr>
      </w:pPr>
      <w:r>
        <w:rPr>
          <w:rFonts w:ascii="宋体" w:hAnsi="宋体" w:cs="宋体"/>
          <w:color w:val="000000"/>
          <w:szCs w:val="21"/>
        </w:rPr>
        <w:br w:type="page"/>
      </w:r>
    </w:p>
    <w:p>
      <w:pPr>
        <w:pStyle w:val="6"/>
        <w:tabs>
          <w:tab w:val="left" w:pos="720"/>
        </w:tabs>
        <w:jc w:val="center"/>
        <w:rPr>
          <w:rFonts w:hint="eastAsia" w:hAnsi="宋体"/>
          <w:color w:val="000000"/>
        </w:rPr>
      </w:pPr>
      <w:bookmarkStart w:id="245" w:name="_Toc26908"/>
      <w:r>
        <w:rPr>
          <w:rFonts w:hint="eastAsia" w:hAnsi="宋体"/>
          <w:color w:val="000000"/>
        </w:rPr>
        <w:t>四、</w:t>
      </w:r>
      <w:bookmarkEnd w:id="239"/>
      <w:bookmarkEnd w:id="240"/>
      <w:r>
        <w:rPr>
          <w:rFonts w:hint="eastAsia" w:hAnsi="宋体"/>
          <w:color w:val="000000"/>
        </w:rPr>
        <w:t>申请人认为须提供的其他材料或承诺</w:t>
      </w:r>
      <w:bookmarkEnd w:id="245"/>
    </w:p>
    <w:p>
      <w:pPr>
        <w:spacing w:line="360" w:lineRule="auto"/>
        <w:ind w:firstLine="682" w:firstLineChars="325"/>
        <w:jc w:val="center"/>
        <w:rPr>
          <w:rFonts w:hint="eastAsia" w:ascii="宋体" w:hAnsi="宋体" w:cs="宋体"/>
          <w:color w:val="000000"/>
          <w:szCs w:val="21"/>
        </w:rPr>
      </w:pPr>
      <w:r>
        <w:rPr>
          <w:rFonts w:hint="eastAsia" w:ascii="宋体" w:hAnsi="宋体" w:cs="宋体"/>
          <w:color w:val="000000"/>
          <w:szCs w:val="21"/>
        </w:rPr>
        <w:t>（若有，格式自拟）</w:t>
      </w:r>
    </w:p>
    <w:p>
      <w:pPr>
        <w:spacing w:line="360" w:lineRule="auto"/>
        <w:jc w:val="center"/>
        <w:rPr>
          <w:rFonts w:hint="eastAsia" w:ascii="宋体" w:hAnsi="宋体" w:cs="宋体"/>
          <w:b/>
          <w:color w:val="000000"/>
          <w:sz w:val="24"/>
        </w:rPr>
      </w:pPr>
      <w:r>
        <w:rPr>
          <w:rFonts w:hint="eastAsia" w:ascii="宋体" w:hAnsi="宋体" w:cs="宋体"/>
          <w:b/>
          <w:color w:val="000000"/>
          <w:sz w:val="24"/>
        </w:rPr>
        <w:br w:type="page"/>
      </w:r>
    </w:p>
    <w:p>
      <w:pPr>
        <w:pStyle w:val="6"/>
        <w:tabs>
          <w:tab w:val="left" w:pos="720"/>
        </w:tabs>
        <w:jc w:val="center"/>
        <w:rPr>
          <w:rFonts w:hint="eastAsia" w:hAnsi="宋体"/>
          <w:color w:val="000000"/>
        </w:rPr>
      </w:pPr>
      <w:bookmarkStart w:id="246" w:name="_Toc420"/>
      <w:bookmarkStart w:id="247" w:name="_Toc443316864"/>
      <w:bookmarkStart w:id="248" w:name="_Toc25427"/>
      <w:bookmarkStart w:id="249" w:name="_Toc214075904"/>
      <w:r>
        <w:rPr>
          <w:rFonts w:hint="eastAsia" w:hAnsi="宋体"/>
          <w:color w:val="000000"/>
        </w:rPr>
        <w:t>第四节  响应文件资格审查部分格式</w:t>
      </w:r>
      <w:bookmarkEnd w:id="246"/>
      <w:bookmarkEnd w:id="247"/>
      <w:bookmarkEnd w:id="248"/>
    </w:p>
    <w:bookmarkEnd w:id="249"/>
    <w:p>
      <w:pPr>
        <w:keepLines/>
        <w:tabs>
          <w:tab w:val="left" w:pos="-5300"/>
        </w:tabs>
        <w:spacing w:line="600" w:lineRule="auto"/>
        <w:jc w:val="center"/>
        <w:outlineLvl w:val="3"/>
        <w:rPr>
          <w:rFonts w:hint="eastAsia" w:ascii="宋体" w:hAnsi="宋体" w:cs="宋体"/>
          <w:b/>
          <w:color w:val="000000"/>
          <w:sz w:val="24"/>
        </w:rPr>
      </w:pPr>
      <w:bookmarkStart w:id="250" w:name="_Toc443316865"/>
      <w:bookmarkStart w:id="251" w:name="_Toc21533"/>
      <w:bookmarkStart w:id="252" w:name="_Toc366144105"/>
      <w:r>
        <w:rPr>
          <w:rFonts w:hint="eastAsia" w:ascii="宋体" w:hAnsi="宋体" w:cs="宋体"/>
          <w:b/>
          <w:color w:val="000000"/>
          <w:sz w:val="24"/>
        </w:rPr>
        <w:t>一、申请人基本情况表</w:t>
      </w:r>
      <w:bookmarkEnd w:id="250"/>
      <w:bookmarkEnd w:id="251"/>
      <w:bookmarkEnd w:id="2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2274"/>
        <w:gridCol w:w="144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bookmarkStart w:id="253" w:name="_Toc232075047"/>
            <w:r>
              <w:rPr>
                <w:rFonts w:hint="eastAsia" w:ascii="宋体" w:hAnsi="宋体" w:cs="宋体"/>
                <w:color w:val="000000"/>
                <w:szCs w:val="21"/>
              </w:rPr>
              <w:t>申请人全称</w:t>
            </w:r>
          </w:p>
        </w:tc>
        <w:tc>
          <w:tcPr>
            <w:tcW w:w="6605" w:type="dxa"/>
            <w:gridSpan w:val="3"/>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资质等级及业务范围</w:t>
            </w:r>
          </w:p>
        </w:tc>
        <w:tc>
          <w:tcPr>
            <w:tcW w:w="6605" w:type="dxa"/>
            <w:gridSpan w:val="3"/>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法定代表人名称</w:t>
            </w:r>
          </w:p>
        </w:tc>
        <w:tc>
          <w:tcPr>
            <w:tcW w:w="2274" w:type="dxa"/>
            <w:vAlign w:val="center"/>
          </w:tcPr>
          <w:p>
            <w:pPr>
              <w:rPr>
                <w:rFonts w:hint="eastAsia" w:ascii="宋体" w:hAnsi="宋体" w:cs="宋体"/>
                <w:color w:val="000000"/>
                <w:szCs w:val="21"/>
              </w:rPr>
            </w:pPr>
          </w:p>
        </w:tc>
        <w:tc>
          <w:tcPr>
            <w:tcW w:w="1440" w:type="dxa"/>
            <w:vAlign w:val="center"/>
          </w:tcPr>
          <w:p>
            <w:pPr>
              <w:rPr>
                <w:rFonts w:hint="eastAsia" w:ascii="宋体" w:hAnsi="宋体" w:cs="宋体"/>
                <w:color w:val="000000"/>
                <w:szCs w:val="21"/>
              </w:rPr>
            </w:pPr>
            <w:r>
              <w:rPr>
                <w:rFonts w:hint="eastAsia" w:ascii="宋体" w:hAnsi="宋体" w:cs="宋体"/>
                <w:color w:val="000000"/>
                <w:szCs w:val="21"/>
              </w:rPr>
              <w:t>职   务</w:t>
            </w:r>
          </w:p>
        </w:tc>
        <w:tc>
          <w:tcPr>
            <w:tcW w:w="2891"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申请人地址</w:t>
            </w:r>
          </w:p>
        </w:tc>
        <w:tc>
          <w:tcPr>
            <w:tcW w:w="2274" w:type="dxa"/>
            <w:vAlign w:val="center"/>
          </w:tcPr>
          <w:p>
            <w:pPr>
              <w:rPr>
                <w:rFonts w:hint="eastAsia" w:ascii="宋体" w:hAnsi="宋体" w:cs="宋体"/>
                <w:color w:val="000000"/>
                <w:szCs w:val="21"/>
              </w:rPr>
            </w:pPr>
          </w:p>
        </w:tc>
        <w:tc>
          <w:tcPr>
            <w:tcW w:w="1440" w:type="dxa"/>
            <w:vAlign w:val="center"/>
          </w:tcPr>
          <w:p>
            <w:pPr>
              <w:rPr>
                <w:rFonts w:hint="eastAsia" w:ascii="宋体" w:hAnsi="宋体" w:cs="宋体"/>
                <w:color w:val="000000"/>
                <w:szCs w:val="21"/>
              </w:rPr>
            </w:pPr>
            <w:r>
              <w:rPr>
                <w:rFonts w:hint="eastAsia" w:ascii="宋体" w:hAnsi="宋体" w:cs="宋体"/>
                <w:color w:val="000000"/>
                <w:szCs w:val="21"/>
              </w:rPr>
              <w:t>邮政编码</w:t>
            </w:r>
          </w:p>
        </w:tc>
        <w:tc>
          <w:tcPr>
            <w:tcW w:w="2891"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电   话</w:t>
            </w:r>
          </w:p>
        </w:tc>
        <w:tc>
          <w:tcPr>
            <w:tcW w:w="2274" w:type="dxa"/>
            <w:vAlign w:val="center"/>
          </w:tcPr>
          <w:p>
            <w:pPr>
              <w:rPr>
                <w:rFonts w:hint="eastAsia" w:ascii="宋体" w:hAnsi="宋体" w:cs="宋体"/>
                <w:color w:val="000000"/>
                <w:szCs w:val="21"/>
              </w:rPr>
            </w:pPr>
          </w:p>
        </w:tc>
        <w:tc>
          <w:tcPr>
            <w:tcW w:w="1440" w:type="dxa"/>
            <w:vAlign w:val="center"/>
          </w:tcPr>
          <w:p>
            <w:pPr>
              <w:rPr>
                <w:rFonts w:hint="eastAsia" w:ascii="宋体" w:hAnsi="宋体" w:cs="宋体"/>
                <w:color w:val="000000"/>
                <w:szCs w:val="21"/>
              </w:rPr>
            </w:pPr>
            <w:r>
              <w:rPr>
                <w:rFonts w:hint="eastAsia" w:ascii="宋体" w:hAnsi="宋体" w:cs="宋体"/>
                <w:color w:val="000000"/>
                <w:szCs w:val="21"/>
              </w:rPr>
              <w:t>传   真</w:t>
            </w:r>
          </w:p>
        </w:tc>
        <w:tc>
          <w:tcPr>
            <w:tcW w:w="2891"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成立日期</w:t>
            </w:r>
          </w:p>
        </w:tc>
        <w:tc>
          <w:tcPr>
            <w:tcW w:w="2274" w:type="dxa"/>
            <w:vAlign w:val="center"/>
          </w:tcPr>
          <w:p>
            <w:pPr>
              <w:rPr>
                <w:rFonts w:hint="eastAsia" w:ascii="宋体" w:hAnsi="宋体" w:cs="宋体"/>
                <w:color w:val="000000"/>
                <w:szCs w:val="21"/>
              </w:rPr>
            </w:pPr>
          </w:p>
        </w:tc>
        <w:tc>
          <w:tcPr>
            <w:tcW w:w="1440" w:type="dxa"/>
            <w:vAlign w:val="center"/>
          </w:tcPr>
          <w:p>
            <w:pPr>
              <w:rPr>
                <w:rFonts w:hint="eastAsia" w:ascii="宋体" w:hAnsi="宋体" w:cs="宋体"/>
                <w:color w:val="000000"/>
                <w:szCs w:val="21"/>
              </w:rPr>
            </w:pPr>
            <w:r>
              <w:rPr>
                <w:rFonts w:hint="eastAsia" w:ascii="宋体" w:hAnsi="宋体" w:cs="宋体"/>
                <w:color w:val="000000"/>
                <w:szCs w:val="21"/>
              </w:rPr>
              <w:t>职工人数</w:t>
            </w:r>
          </w:p>
        </w:tc>
        <w:tc>
          <w:tcPr>
            <w:tcW w:w="2891"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pPr>
              <w:rPr>
                <w:rFonts w:hint="eastAsia" w:ascii="宋体" w:hAnsi="宋体" w:cs="宋体"/>
                <w:color w:val="000000"/>
                <w:szCs w:val="21"/>
              </w:rPr>
            </w:pPr>
            <w:r>
              <w:rPr>
                <w:rFonts w:hint="eastAsia" w:ascii="宋体" w:hAnsi="宋体" w:cs="宋体"/>
                <w:color w:val="000000"/>
                <w:szCs w:val="21"/>
              </w:rPr>
              <w:t>管理体系认证证书</w:t>
            </w:r>
          </w:p>
        </w:tc>
        <w:tc>
          <w:tcPr>
            <w:tcW w:w="6605" w:type="dxa"/>
            <w:gridSpan w:val="3"/>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8959" w:type="dxa"/>
            <w:gridSpan w:val="4"/>
          </w:tcPr>
          <w:p>
            <w:pPr>
              <w:rPr>
                <w:rFonts w:hint="eastAsia" w:ascii="宋体" w:hAnsi="宋体" w:cs="宋体"/>
                <w:color w:val="000000"/>
                <w:szCs w:val="21"/>
              </w:rPr>
            </w:pPr>
            <w:r>
              <w:rPr>
                <w:rFonts w:hint="eastAsia" w:ascii="宋体" w:hAnsi="宋体" w:cs="宋体"/>
                <w:color w:val="000000"/>
                <w:szCs w:val="21"/>
              </w:rPr>
              <w:t>基本情况简介：</w:t>
            </w:r>
          </w:p>
        </w:tc>
      </w:tr>
      <w:bookmarkEnd w:id="253"/>
    </w:tbl>
    <w:p>
      <w:pPr>
        <w:pStyle w:val="2"/>
        <w:spacing w:line="360" w:lineRule="auto"/>
        <w:ind w:firstLine="630" w:firstLineChars="300"/>
        <w:rPr>
          <w:color w:val="000000"/>
          <w:sz w:val="21"/>
          <w:szCs w:val="21"/>
        </w:rPr>
      </w:pPr>
      <w:r>
        <w:rPr>
          <w:rFonts w:hint="eastAsia" w:ascii="宋体" w:hAnsi="宋体" w:cs="宋体"/>
          <w:color w:val="000000"/>
          <w:position w:val="-1"/>
          <w:sz w:val="21"/>
          <w:szCs w:val="21"/>
        </w:rPr>
        <w:t>注：申请人基本情况表应附材料，详见第二章“供应商须知4.1要求</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w:t>
      </w: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p>
    <w:p>
      <w:pPr>
        <w:spacing w:line="480" w:lineRule="auto"/>
        <w:jc w:val="center"/>
        <w:outlineLvl w:val="3"/>
        <w:rPr>
          <w:rFonts w:hint="eastAsia" w:ascii="宋体" w:hAnsi="宋体" w:cs="宋体"/>
          <w:b/>
          <w:bCs/>
          <w:color w:val="000000"/>
          <w:sz w:val="24"/>
        </w:rPr>
      </w:pPr>
      <w:r>
        <w:rPr>
          <w:rFonts w:hint="eastAsia" w:ascii="宋体" w:hAnsi="宋体" w:cs="宋体"/>
          <w:b/>
          <w:color w:val="000000"/>
          <w:sz w:val="29"/>
          <w:szCs w:val="21"/>
        </w:rPr>
        <w:br w:type="page"/>
      </w:r>
      <w:bookmarkStart w:id="254" w:name="_Toc443316866"/>
      <w:bookmarkStart w:id="255" w:name="_Toc366144107"/>
      <w:bookmarkStart w:id="256" w:name="_Toc24869"/>
      <w:r>
        <w:rPr>
          <w:rFonts w:hint="eastAsia" w:ascii="宋体" w:hAnsi="宋体" w:cs="宋体"/>
          <w:b/>
          <w:bCs/>
          <w:color w:val="000000"/>
          <w:sz w:val="24"/>
        </w:rPr>
        <w:t>二、拟派往本项目的造价人员配置情况</w:t>
      </w:r>
    </w:p>
    <w:p>
      <w:pPr>
        <w:pStyle w:val="31"/>
        <w:widowControl/>
        <w:tabs>
          <w:tab w:val="left" w:pos="420"/>
          <w:tab w:val="clear" w:pos="0"/>
        </w:tabs>
        <w:autoSpaceDE/>
        <w:adjustRightInd/>
        <w:spacing w:line="360" w:lineRule="auto"/>
        <w:rPr>
          <w:rFonts w:hint="eastAsia" w:ascii="宋体" w:hAnsi="宋体" w:cs="宋体"/>
          <w:color w:val="000000"/>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78"/>
        <w:gridCol w:w="1106"/>
        <w:gridCol w:w="1657"/>
        <w:gridCol w:w="900"/>
        <w:gridCol w:w="1028"/>
        <w:gridCol w:w="829"/>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14"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序号</w:t>
            </w:r>
          </w:p>
        </w:tc>
        <w:tc>
          <w:tcPr>
            <w:tcW w:w="778"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姓名</w:t>
            </w:r>
          </w:p>
        </w:tc>
        <w:tc>
          <w:tcPr>
            <w:tcW w:w="1106"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职称</w:t>
            </w:r>
          </w:p>
        </w:tc>
        <w:tc>
          <w:tcPr>
            <w:tcW w:w="4414" w:type="dxa"/>
            <w:gridSpan w:val="4"/>
            <w:vAlign w:val="center"/>
          </w:tcPr>
          <w:p>
            <w:pPr>
              <w:jc w:val="center"/>
              <w:rPr>
                <w:rFonts w:hint="eastAsia" w:ascii="宋体" w:hAnsi="宋体" w:cs="宋体"/>
                <w:color w:val="000000"/>
                <w:szCs w:val="21"/>
              </w:rPr>
            </w:pPr>
            <w:r>
              <w:rPr>
                <w:rFonts w:hint="eastAsia" w:ascii="宋体" w:hAnsi="宋体" w:cs="宋体"/>
                <w:color w:val="000000"/>
                <w:szCs w:val="21"/>
              </w:rPr>
              <w:t>执业或职业资格证明</w:t>
            </w:r>
          </w:p>
        </w:tc>
        <w:tc>
          <w:tcPr>
            <w:tcW w:w="1425"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14" w:type="dxa"/>
            <w:vMerge w:val="continue"/>
          </w:tcPr>
          <w:p>
            <w:pPr>
              <w:rPr>
                <w:rFonts w:hint="eastAsia" w:ascii="宋体" w:hAnsi="宋体" w:cs="宋体"/>
                <w:color w:val="000000"/>
                <w:szCs w:val="21"/>
              </w:rPr>
            </w:pPr>
          </w:p>
        </w:tc>
        <w:tc>
          <w:tcPr>
            <w:tcW w:w="778" w:type="dxa"/>
            <w:vMerge w:val="continue"/>
          </w:tcPr>
          <w:p>
            <w:pPr>
              <w:rPr>
                <w:rFonts w:hint="eastAsia" w:ascii="宋体" w:hAnsi="宋体" w:cs="宋体"/>
                <w:color w:val="000000"/>
                <w:szCs w:val="21"/>
              </w:rPr>
            </w:pPr>
          </w:p>
        </w:tc>
        <w:tc>
          <w:tcPr>
            <w:tcW w:w="1106" w:type="dxa"/>
            <w:vMerge w:val="continue"/>
          </w:tcPr>
          <w:p>
            <w:pPr>
              <w:rPr>
                <w:rFonts w:hint="eastAsia" w:ascii="宋体" w:hAnsi="宋体" w:cs="宋体"/>
                <w:color w:val="000000"/>
                <w:szCs w:val="21"/>
              </w:rPr>
            </w:pPr>
          </w:p>
        </w:tc>
        <w:tc>
          <w:tcPr>
            <w:tcW w:w="1657" w:type="dxa"/>
            <w:vAlign w:val="center"/>
          </w:tcPr>
          <w:p>
            <w:pPr>
              <w:jc w:val="center"/>
              <w:rPr>
                <w:rFonts w:hint="eastAsia" w:ascii="宋体" w:hAnsi="宋体" w:cs="宋体"/>
                <w:color w:val="000000"/>
                <w:szCs w:val="21"/>
              </w:rPr>
            </w:pPr>
            <w:r>
              <w:rPr>
                <w:rFonts w:hint="eastAsia" w:ascii="宋体" w:hAnsi="宋体" w:cs="宋体"/>
                <w:color w:val="000000"/>
                <w:szCs w:val="21"/>
              </w:rPr>
              <w:t>证书名称</w:t>
            </w:r>
          </w:p>
        </w:tc>
        <w:tc>
          <w:tcPr>
            <w:tcW w:w="900" w:type="dxa"/>
            <w:vAlign w:val="center"/>
          </w:tcPr>
          <w:p>
            <w:pPr>
              <w:jc w:val="center"/>
              <w:rPr>
                <w:rFonts w:hint="eastAsia" w:ascii="宋体" w:hAnsi="宋体" w:cs="宋体"/>
                <w:color w:val="000000"/>
                <w:szCs w:val="21"/>
              </w:rPr>
            </w:pPr>
            <w:r>
              <w:rPr>
                <w:rFonts w:hint="eastAsia" w:ascii="宋体" w:hAnsi="宋体" w:cs="宋体"/>
                <w:color w:val="000000"/>
                <w:szCs w:val="21"/>
              </w:rPr>
              <w:t>级别</w:t>
            </w:r>
          </w:p>
        </w:tc>
        <w:tc>
          <w:tcPr>
            <w:tcW w:w="1028" w:type="dxa"/>
            <w:vAlign w:val="center"/>
          </w:tcPr>
          <w:p>
            <w:pPr>
              <w:jc w:val="center"/>
              <w:rPr>
                <w:rFonts w:hint="eastAsia" w:ascii="宋体" w:hAnsi="宋体" w:cs="宋体"/>
                <w:color w:val="000000"/>
                <w:szCs w:val="21"/>
              </w:rPr>
            </w:pPr>
            <w:r>
              <w:rPr>
                <w:rFonts w:hint="eastAsia" w:ascii="宋体" w:hAnsi="宋体" w:cs="宋体"/>
                <w:color w:val="000000"/>
                <w:szCs w:val="21"/>
              </w:rPr>
              <w:t>证号</w:t>
            </w:r>
          </w:p>
        </w:tc>
        <w:tc>
          <w:tcPr>
            <w:tcW w:w="829" w:type="dxa"/>
            <w:vAlign w:val="center"/>
          </w:tcPr>
          <w:p>
            <w:pPr>
              <w:jc w:val="center"/>
              <w:rPr>
                <w:rFonts w:hint="eastAsia" w:ascii="宋体" w:hAnsi="宋体" w:cs="宋体"/>
                <w:color w:val="000000"/>
                <w:szCs w:val="21"/>
              </w:rPr>
            </w:pPr>
            <w:r>
              <w:rPr>
                <w:rFonts w:hint="eastAsia" w:ascii="宋体" w:hAnsi="宋体" w:cs="宋体"/>
                <w:color w:val="000000"/>
                <w:szCs w:val="21"/>
              </w:rPr>
              <w:t>专业</w:t>
            </w:r>
          </w:p>
        </w:tc>
        <w:tc>
          <w:tcPr>
            <w:tcW w:w="1425"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pPr>
              <w:rPr>
                <w:rFonts w:hint="eastAsia" w:ascii="宋体" w:hAnsi="宋体" w:cs="宋体"/>
                <w:color w:val="000000"/>
                <w:szCs w:val="21"/>
              </w:rPr>
            </w:pPr>
            <w:r>
              <w:rPr>
                <w:rFonts w:hint="eastAsia" w:ascii="宋体" w:hAnsi="宋体" w:cs="宋体"/>
                <w:color w:val="000000"/>
                <w:szCs w:val="21"/>
              </w:rPr>
              <w:t>···</w:t>
            </w:r>
          </w:p>
        </w:tc>
        <w:tc>
          <w:tcPr>
            <w:tcW w:w="778" w:type="dxa"/>
            <w:vAlign w:val="center"/>
          </w:tcPr>
          <w:p>
            <w:pPr>
              <w:rPr>
                <w:rFonts w:hint="eastAsia" w:ascii="宋体" w:hAnsi="宋体" w:cs="宋体"/>
                <w:color w:val="000000"/>
                <w:szCs w:val="21"/>
              </w:rPr>
            </w:pPr>
          </w:p>
        </w:tc>
        <w:tc>
          <w:tcPr>
            <w:tcW w:w="1106" w:type="dxa"/>
            <w:vAlign w:val="center"/>
          </w:tcPr>
          <w:p>
            <w:pPr>
              <w:rPr>
                <w:rFonts w:hint="eastAsia" w:ascii="宋体" w:hAnsi="宋体" w:cs="宋体"/>
                <w:color w:val="000000"/>
                <w:szCs w:val="21"/>
              </w:rPr>
            </w:pPr>
          </w:p>
        </w:tc>
        <w:tc>
          <w:tcPr>
            <w:tcW w:w="1657" w:type="dxa"/>
            <w:vAlign w:val="center"/>
          </w:tcPr>
          <w:p>
            <w:pPr>
              <w:rPr>
                <w:rFonts w:hint="eastAsia" w:ascii="宋体" w:hAnsi="宋体" w:cs="宋体"/>
                <w:color w:val="000000"/>
                <w:szCs w:val="21"/>
              </w:rPr>
            </w:pPr>
          </w:p>
        </w:tc>
        <w:tc>
          <w:tcPr>
            <w:tcW w:w="900" w:type="dxa"/>
            <w:vAlign w:val="center"/>
          </w:tcPr>
          <w:p>
            <w:pPr>
              <w:rPr>
                <w:rFonts w:hint="eastAsia" w:ascii="宋体" w:hAnsi="宋体" w:cs="宋体"/>
                <w:color w:val="000000"/>
                <w:szCs w:val="21"/>
              </w:rPr>
            </w:pPr>
          </w:p>
        </w:tc>
        <w:tc>
          <w:tcPr>
            <w:tcW w:w="1028" w:type="dxa"/>
            <w:vAlign w:val="center"/>
          </w:tcPr>
          <w:p>
            <w:pPr>
              <w:rPr>
                <w:rFonts w:hint="eastAsia" w:ascii="宋体" w:hAnsi="宋体" w:cs="宋体"/>
                <w:color w:val="000000"/>
                <w:szCs w:val="21"/>
              </w:rPr>
            </w:pPr>
          </w:p>
        </w:tc>
        <w:tc>
          <w:tcPr>
            <w:tcW w:w="829" w:type="dxa"/>
            <w:vAlign w:val="center"/>
          </w:tcPr>
          <w:p>
            <w:pPr>
              <w:rPr>
                <w:rFonts w:hint="eastAsia" w:ascii="宋体" w:hAnsi="宋体" w:cs="宋体"/>
                <w:color w:val="000000"/>
                <w:szCs w:val="21"/>
              </w:rPr>
            </w:pPr>
          </w:p>
        </w:tc>
        <w:tc>
          <w:tcPr>
            <w:tcW w:w="1425" w:type="dxa"/>
            <w:vAlign w:val="center"/>
          </w:tcPr>
          <w:p>
            <w:pPr>
              <w:rPr>
                <w:rFonts w:hint="eastAsia" w:ascii="宋体" w:hAnsi="宋体" w:cs="宋体"/>
                <w:color w:val="000000"/>
                <w:szCs w:val="21"/>
              </w:rPr>
            </w:pPr>
          </w:p>
        </w:tc>
      </w:tr>
    </w:tbl>
    <w:p>
      <w:pPr>
        <w:pStyle w:val="31"/>
        <w:widowControl/>
        <w:tabs>
          <w:tab w:val="left" w:pos="420"/>
          <w:tab w:val="clear" w:pos="0"/>
        </w:tabs>
        <w:autoSpaceDE/>
        <w:adjustRightInd/>
        <w:spacing w:line="360" w:lineRule="auto"/>
        <w:rPr>
          <w:rFonts w:hint="eastAsia" w:ascii="宋体" w:hAnsi="宋体" w:cs="宋体"/>
          <w:color w:val="000000"/>
          <w:szCs w:val="21"/>
        </w:rPr>
        <w:sectPr>
          <w:pgSz w:w="11906" w:h="16838"/>
          <w:pgMar w:top="1440" w:right="1417" w:bottom="1440" w:left="1417" w:header="850" w:footer="992" w:gutter="0"/>
          <w:pgNumType w:fmt="numberInDash"/>
          <w:cols w:space="708" w:num="1"/>
          <w:titlePg/>
          <w:docGrid w:type="lines" w:linePitch="317" w:charSpace="0"/>
        </w:sectPr>
      </w:pPr>
    </w:p>
    <w:p>
      <w:pPr>
        <w:spacing w:line="360" w:lineRule="auto"/>
        <w:jc w:val="center"/>
        <w:outlineLvl w:val="3"/>
        <w:rPr>
          <w:rFonts w:hint="eastAsia" w:ascii="宋体" w:hAnsi="宋体" w:cs="宋体"/>
          <w:color w:val="000000"/>
          <w:sz w:val="28"/>
          <w:szCs w:val="28"/>
        </w:rPr>
      </w:pPr>
      <w:r>
        <w:rPr>
          <w:rFonts w:hint="eastAsia" w:ascii="宋体" w:hAnsi="宋体" w:cs="宋体"/>
          <w:b/>
          <w:bCs/>
          <w:color w:val="000000"/>
          <w:sz w:val="24"/>
        </w:rPr>
        <w:t>2.1项目负责人简历表（造价）</w:t>
      </w:r>
    </w:p>
    <w:tbl>
      <w:tblPr>
        <w:tblStyle w:val="2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2"/>
        <w:gridCol w:w="2520"/>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姓    名</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性    别</w:t>
            </w:r>
          </w:p>
        </w:tc>
        <w:tc>
          <w:tcPr>
            <w:tcW w:w="2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出生年月</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拟任职务</w:t>
            </w:r>
          </w:p>
        </w:tc>
        <w:tc>
          <w:tcPr>
            <w:tcW w:w="2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专业技术职称</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职称评定机构</w:t>
            </w:r>
          </w:p>
        </w:tc>
        <w:tc>
          <w:tcPr>
            <w:tcW w:w="2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执业资格</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注册单位名称</w:t>
            </w:r>
          </w:p>
        </w:tc>
        <w:tc>
          <w:tcPr>
            <w:tcW w:w="2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2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r>
              <w:rPr>
                <w:rFonts w:hint="eastAsia" w:ascii="宋体" w:hAnsi="宋体" w:cs="宋体"/>
                <w:color w:val="000000"/>
                <w:szCs w:val="21"/>
              </w:rPr>
              <w:t>从事专业年限</w:t>
            </w:r>
          </w:p>
        </w:tc>
        <w:tc>
          <w:tcPr>
            <w:tcW w:w="50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1785" w:firstLineChars="850"/>
              <w:jc w:val="center"/>
              <w:rPr>
                <w:rFonts w:hint="eastAsia" w:ascii="宋体" w:hAnsi="宋体" w:cs="宋体"/>
                <w:color w:val="000000"/>
                <w:szCs w:val="21"/>
              </w:rPr>
            </w:pPr>
            <w:r>
              <w:rPr>
                <w:rFonts w:hint="eastAsia" w:ascii="宋体" w:hAnsi="宋体" w:cs="宋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4" w:hRule="atLeast"/>
        </w:trPr>
        <w:tc>
          <w:tcPr>
            <w:tcW w:w="9214"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000000"/>
                <w:szCs w:val="21"/>
              </w:rPr>
            </w:pPr>
            <w:r>
              <w:rPr>
                <w:rFonts w:hint="eastAsia" w:ascii="宋体" w:hAnsi="宋体" w:cs="宋体"/>
                <w:color w:val="000000"/>
                <w:szCs w:val="21"/>
              </w:rPr>
              <w:t>个人简历：</w:t>
            </w:r>
          </w:p>
        </w:tc>
      </w:tr>
    </w:tbl>
    <w:p>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p>
    <w:p>
      <w:pPr>
        <w:spacing w:line="360" w:lineRule="auto"/>
        <w:ind w:firstLine="840" w:firstLineChars="400"/>
        <w:rPr>
          <w:rFonts w:hint="eastAsia" w:ascii="宋体" w:hAnsi="宋体" w:cs="宋体"/>
          <w:color w:val="000000"/>
          <w:szCs w:val="21"/>
        </w:rPr>
      </w:pPr>
    </w:p>
    <w:p>
      <w:pPr>
        <w:spacing w:line="360" w:lineRule="auto"/>
        <w:jc w:val="center"/>
        <w:outlineLvl w:val="3"/>
        <w:rPr>
          <w:rFonts w:hint="eastAsia" w:ascii="宋体" w:hAnsi="宋体" w:cs="宋体"/>
          <w:color w:val="000000"/>
          <w:sz w:val="28"/>
          <w:szCs w:val="28"/>
        </w:rPr>
      </w:pPr>
      <w:r>
        <w:rPr>
          <w:rFonts w:hint="eastAsia" w:ascii="宋体" w:hAnsi="宋体" w:cs="宋体"/>
          <w:b/>
          <w:color w:val="000000"/>
          <w:sz w:val="28"/>
          <w:szCs w:val="28"/>
        </w:rPr>
        <w:br w:type="page"/>
      </w:r>
      <w:r>
        <w:rPr>
          <w:rFonts w:hint="eastAsia" w:ascii="宋体" w:hAnsi="宋体" w:cs="宋体"/>
          <w:b/>
          <w:bCs/>
          <w:color w:val="000000"/>
          <w:sz w:val="24"/>
        </w:rPr>
        <w:t>2.2主要人员简历表（造价）</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2"/>
        <w:gridCol w:w="1470"/>
        <w:gridCol w:w="105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出生年月</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拟任职务</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专业技术职称</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职称评定机构</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执业资格</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注册单位名称</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2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25"/>
              <w:jc w:val="center"/>
              <w:rPr>
                <w:rFonts w:hint="eastAsia" w:ascii="宋体" w:hAnsi="宋体" w:cs="宋体"/>
                <w:color w:val="000000"/>
                <w:szCs w:val="21"/>
              </w:rPr>
            </w:pPr>
            <w:r>
              <w:rPr>
                <w:rFonts w:hint="eastAsia" w:ascii="宋体" w:hAnsi="宋体" w:cs="宋体"/>
                <w:color w:val="000000"/>
                <w:szCs w:val="21"/>
              </w:rPr>
              <w:t>从事专业年限</w:t>
            </w:r>
          </w:p>
        </w:tc>
        <w:tc>
          <w:tcPr>
            <w:tcW w:w="473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1785" w:firstLineChars="850"/>
              <w:jc w:val="center"/>
              <w:rPr>
                <w:rFonts w:hint="eastAsia" w:ascii="宋体" w:hAnsi="宋体" w:cs="宋体"/>
                <w:color w:val="000000"/>
                <w:szCs w:val="21"/>
              </w:rPr>
            </w:pPr>
            <w:r>
              <w:rPr>
                <w:rFonts w:hint="eastAsia" w:ascii="宋体" w:hAnsi="宋体" w:cs="宋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20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曾参与咨询的最高任职工程</w:t>
            </w:r>
          </w:p>
          <w:p>
            <w:pPr>
              <w:spacing w:line="360" w:lineRule="auto"/>
              <w:jc w:val="center"/>
              <w:rPr>
                <w:rFonts w:hint="eastAsia" w:ascii="宋体" w:hAnsi="宋体" w:cs="宋体"/>
                <w:color w:val="000000"/>
                <w:szCs w:val="21"/>
              </w:rPr>
            </w:pPr>
            <w:r>
              <w:rPr>
                <w:rFonts w:hint="eastAsia" w:ascii="宋体" w:hAnsi="宋体" w:cs="宋体"/>
                <w:color w:val="000000"/>
                <w:szCs w:val="21"/>
              </w:rPr>
              <w:t>名称及所任职务</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工程名称</w:t>
            </w:r>
          </w:p>
        </w:tc>
        <w:tc>
          <w:tcPr>
            <w:tcW w:w="3261"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最高任职</w:t>
            </w:r>
          </w:p>
        </w:tc>
        <w:tc>
          <w:tcPr>
            <w:tcW w:w="3261"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rPr>
        <w:tc>
          <w:tcPr>
            <w:tcW w:w="8931" w:type="dxa"/>
            <w:gridSpan w:val="5"/>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000000"/>
                <w:szCs w:val="21"/>
              </w:rPr>
            </w:pPr>
            <w:r>
              <w:rPr>
                <w:rFonts w:hint="eastAsia" w:ascii="宋体" w:hAnsi="宋体" w:cs="宋体"/>
                <w:color w:val="000000"/>
                <w:szCs w:val="21"/>
              </w:rPr>
              <w:t>个人简历：</w:t>
            </w:r>
          </w:p>
        </w:tc>
      </w:tr>
    </w:tbl>
    <w:p>
      <w:pPr>
        <w:ind w:firstLine="420" w:firstLineChars="200"/>
        <w:rPr>
          <w:rFonts w:hint="eastAsia" w:ascii="宋体" w:hAnsi="宋体" w:cs="宋体"/>
          <w:color w:val="000000"/>
          <w:szCs w:val="21"/>
        </w:rPr>
      </w:pPr>
      <w:r>
        <w:rPr>
          <w:rFonts w:hint="eastAsia" w:ascii="宋体" w:hAnsi="宋体" w:cs="宋体"/>
          <w:color w:val="000000"/>
          <w:szCs w:val="21"/>
        </w:rPr>
        <w:t>注：1、拟投入本项目的主要人员应填写此表，每人一张；</w:t>
      </w:r>
    </w:p>
    <w:p>
      <w:pPr>
        <w:spacing w:line="360" w:lineRule="auto"/>
        <w:ind w:firstLine="840" w:firstLineChars="4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position w:val="-1"/>
          <w:szCs w:val="21"/>
        </w:rPr>
        <w:t>应附材料，详见第二章“供应商须知”4.1要求</w:t>
      </w:r>
      <w:r>
        <w:rPr>
          <w:rFonts w:hint="eastAsia" w:ascii="宋体" w:hAnsi="宋体" w:cs="宋体"/>
          <w:color w:val="000000"/>
          <w:szCs w:val="21"/>
        </w:rPr>
        <w:t xml:space="preserve"> </w:t>
      </w:r>
    </w:p>
    <w:p>
      <w:pPr>
        <w:ind w:firstLine="840" w:firstLineChars="400"/>
        <w:rPr>
          <w:rFonts w:hint="eastAsia" w:ascii="宋体" w:hAnsi="宋体" w:cs="宋体"/>
          <w:color w:val="000000"/>
          <w:szCs w:val="21"/>
        </w:rPr>
      </w:pPr>
    </w:p>
    <w:bookmarkEnd w:id="254"/>
    <w:bookmarkEnd w:id="255"/>
    <w:bookmarkEnd w:id="256"/>
    <w:p>
      <w:pPr>
        <w:ind w:firstLine="0" w:firstLineChars="0"/>
        <w:jc w:val="center"/>
        <w:rPr>
          <w:rFonts w:hint="eastAsia" w:ascii="宋体" w:hAnsi="宋体" w:cs="宋体"/>
          <w:b/>
          <w:bCs/>
          <w:color w:val="000000"/>
          <w:szCs w:val="21"/>
        </w:rPr>
      </w:pPr>
      <w:r>
        <w:rPr>
          <w:rFonts w:ascii="宋体" w:hAnsi="宋体" w:cs="宋体"/>
          <w:color w:val="000000"/>
          <w:sz w:val="28"/>
          <w:szCs w:val="28"/>
        </w:rPr>
        <w:br w:type="page"/>
      </w:r>
    </w:p>
    <w:p>
      <w:pPr>
        <w:ind w:firstLine="0" w:firstLineChars="0"/>
        <w:jc w:val="center"/>
        <w:rPr>
          <w:rFonts w:hint="eastAsia" w:ascii="宋体" w:hAnsi="宋体" w:cs="宋体"/>
          <w:b/>
          <w:bCs/>
          <w:color w:val="000000"/>
          <w:szCs w:val="21"/>
        </w:rPr>
      </w:pPr>
    </w:p>
    <w:p>
      <w:pPr>
        <w:spacing w:before="165" w:beforeLines="50" w:after="165" w:afterLines="50" w:line="360" w:lineRule="auto"/>
        <w:jc w:val="center"/>
        <w:rPr>
          <w:rFonts w:hint="eastAsia" w:ascii="宋体" w:hAnsi="宋体" w:cs="宋体"/>
          <w:color w:val="000000"/>
          <w:szCs w:val="21"/>
        </w:rPr>
      </w:pPr>
      <w:r>
        <w:rPr>
          <w:rFonts w:hint="eastAsia" w:ascii="宋体" w:hAnsi="宋体" w:eastAsia="宋体" w:cs="宋体"/>
          <w:b/>
          <w:bCs/>
          <w:color w:val="000000"/>
          <w:sz w:val="24"/>
        </w:rPr>
        <w:t>三、近三年财务状况表</w:t>
      </w:r>
    </w:p>
    <w:p>
      <w:pPr>
        <w:ind w:firstLine="0" w:firstLineChars="0"/>
        <w:jc w:val="center"/>
        <w:rPr>
          <w:rFonts w:hint="eastAsia" w:ascii="宋体" w:hAnsi="宋体" w:cs="宋体"/>
          <w:b/>
          <w:bCs/>
          <w:color w:val="000000"/>
          <w:szCs w:val="21"/>
        </w:rPr>
      </w:pPr>
    </w:p>
    <w:p>
      <w:pPr>
        <w:pStyle w:val="2"/>
        <w:ind w:firstLine="3900" w:firstLineChars="2600"/>
        <w:rPr>
          <w:rFonts w:hint="eastAsia"/>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rPr>
        <w:br w:type="page"/>
      </w:r>
    </w:p>
    <w:p>
      <w:pPr>
        <w:pStyle w:val="7"/>
        <w:spacing w:before="165" w:beforeLines="50" w:after="165" w:afterLines="50"/>
        <w:jc w:val="center"/>
        <w:rPr>
          <w:rFonts w:hint="eastAsia" w:ascii="宋体" w:hAnsi="宋体" w:eastAsia="宋体" w:cs="宋体"/>
          <w:bCs/>
          <w:color w:val="000000"/>
          <w:sz w:val="24"/>
        </w:rPr>
      </w:pPr>
      <w:bookmarkStart w:id="257" w:name="_Toc443316868"/>
      <w:bookmarkStart w:id="258" w:name="_Toc8875"/>
      <w:bookmarkStart w:id="259" w:name="_Toc366144109"/>
      <w:r>
        <w:rPr>
          <w:rFonts w:hint="eastAsia" w:ascii="宋体" w:hAnsi="宋体" w:eastAsia="宋体" w:cs="宋体"/>
          <w:bCs/>
          <w:color w:val="000000"/>
          <w:sz w:val="24"/>
        </w:rPr>
        <w:t>四、近年承担过的类似项目情况表</w:t>
      </w:r>
      <w:bookmarkEnd w:id="257"/>
      <w:bookmarkEnd w:id="258"/>
      <w:bookmarkEnd w:id="259"/>
      <w:r>
        <w:rPr>
          <w:rFonts w:hint="eastAsia" w:ascii="宋体" w:hAnsi="宋体" w:eastAsia="宋体" w:cs="宋体"/>
          <w:color w:val="000000"/>
          <w:sz w:val="24"/>
        </w:rPr>
        <w:t>（造价咨询服务）</w:t>
      </w:r>
    </w:p>
    <w:p>
      <w:pPr>
        <w:autoSpaceDE w:val="0"/>
        <w:autoSpaceDN w:val="0"/>
        <w:adjustRightInd w:val="0"/>
        <w:spacing w:line="200" w:lineRule="exact"/>
        <w:rPr>
          <w:rFonts w:hint="eastAsia" w:ascii="宋体" w:hAnsi="宋体" w:cs="宋体"/>
          <w:color w:val="000000"/>
          <w:szCs w:val="22"/>
        </w:rPr>
      </w:pP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3"/>
        <w:gridCol w:w="1534"/>
        <w:gridCol w:w="1599"/>
        <w:gridCol w:w="1703"/>
        <w:gridCol w:w="1553"/>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jc w:val="center"/>
              <w:rPr>
                <w:rFonts w:hint="eastAsia" w:ascii="宋体" w:hAnsi="宋体" w:cs="宋体"/>
                <w:color w:val="000000"/>
                <w:szCs w:val="21"/>
              </w:rPr>
            </w:pPr>
            <w:r>
              <w:rPr>
                <w:rFonts w:hint="eastAsia" w:ascii="宋体" w:hAnsi="宋体" w:cs="宋体"/>
                <w:color w:val="000000"/>
                <w:szCs w:val="21"/>
              </w:rPr>
              <w:t>序号</w:t>
            </w:r>
          </w:p>
        </w:tc>
        <w:tc>
          <w:tcPr>
            <w:tcW w:w="1534" w:type="dxa"/>
            <w:vAlign w:val="center"/>
          </w:tcPr>
          <w:p>
            <w:pPr>
              <w:jc w:val="center"/>
              <w:rPr>
                <w:rFonts w:hint="eastAsia" w:ascii="宋体" w:hAnsi="宋体" w:cs="宋体"/>
                <w:color w:val="000000"/>
                <w:szCs w:val="21"/>
              </w:rPr>
            </w:pPr>
            <w:r>
              <w:rPr>
                <w:rFonts w:hint="eastAsia" w:ascii="宋体" w:hAnsi="宋体" w:cs="宋体"/>
                <w:color w:val="000000"/>
                <w:szCs w:val="21"/>
              </w:rPr>
              <w:t>项目名称</w:t>
            </w:r>
          </w:p>
        </w:tc>
        <w:tc>
          <w:tcPr>
            <w:tcW w:w="1599" w:type="dxa"/>
            <w:tcBorders>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业主名称</w:t>
            </w: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承担范围</w:t>
            </w:r>
          </w:p>
        </w:tc>
        <w:tc>
          <w:tcPr>
            <w:tcW w:w="1553" w:type="dxa"/>
            <w:tcBorders>
              <w:right w:val="single" w:color="auto" w:sz="4" w:space="0"/>
            </w:tcBorders>
            <w:vAlign w:val="center"/>
          </w:tcPr>
          <w:p>
            <w:pPr>
              <w:jc w:val="center"/>
              <w:rPr>
                <w:color w:val="000000"/>
                <w:szCs w:val="21"/>
              </w:rPr>
            </w:pPr>
            <w:r>
              <w:rPr>
                <w:rFonts w:hint="eastAsia"/>
                <w:color w:val="000000"/>
                <w:szCs w:val="21"/>
              </w:rPr>
              <w:t>总投资或</w:t>
            </w:r>
          </w:p>
          <w:p>
            <w:pPr>
              <w:jc w:val="center"/>
              <w:rPr>
                <w:rFonts w:hint="eastAsia" w:ascii="宋体" w:hAnsi="宋体" w:cs="宋体"/>
                <w:color w:val="000000"/>
                <w:szCs w:val="21"/>
              </w:rPr>
            </w:pPr>
            <w:r>
              <w:rPr>
                <w:rFonts w:hint="eastAsia"/>
                <w:color w:val="000000"/>
                <w:szCs w:val="21"/>
              </w:rPr>
              <w:t>建筑面积</w:t>
            </w:r>
          </w:p>
        </w:tc>
        <w:tc>
          <w:tcPr>
            <w:tcW w:w="1424" w:type="dxa"/>
            <w:vAlign w:val="center"/>
          </w:tcPr>
          <w:p>
            <w:pPr>
              <w:jc w:val="center"/>
              <w:rPr>
                <w:rFonts w:hint="eastAsia" w:ascii="宋体" w:hAnsi="宋体" w:cs="宋体"/>
                <w:color w:val="000000"/>
                <w:szCs w:val="21"/>
              </w:rPr>
            </w:pPr>
            <w:r>
              <w:rPr>
                <w:rFonts w:hint="eastAsia" w:ascii="宋体" w:hAnsi="宋体" w:cs="宋体"/>
                <w:color w:val="000000"/>
                <w:szCs w:val="21"/>
              </w:rPr>
              <w:t>合同签订时间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ind w:left="120"/>
              <w:jc w:val="center"/>
              <w:rPr>
                <w:rFonts w:hint="eastAsia" w:ascii="宋体" w:hAnsi="宋体" w:cs="宋体"/>
                <w:color w:val="000000"/>
                <w:szCs w:val="21"/>
              </w:rPr>
            </w:pPr>
            <w:r>
              <w:rPr>
                <w:rFonts w:hint="eastAsia" w:ascii="宋体" w:hAnsi="宋体" w:cs="宋体"/>
                <w:color w:val="000000"/>
                <w:szCs w:val="21"/>
              </w:rPr>
              <w:t>1</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ind w:left="120"/>
              <w:jc w:val="center"/>
              <w:rPr>
                <w:rFonts w:hint="eastAsia" w:ascii="宋体" w:hAnsi="宋体" w:cs="宋体"/>
                <w:color w:val="000000"/>
                <w:szCs w:val="21"/>
              </w:rPr>
            </w:pPr>
            <w:r>
              <w:rPr>
                <w:rFonts w:hint="eastAsia" w:ascii="宋体" w:hAnsi="宋体" w:cs="宋体"/>
                <w:color w:val="000000"/>
                <w:szCs w:val="21"/>
              </w:rPr>
              <w:t>2</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ind w:left="120"/>
              <w:jc w:val="center"/>
              <w:rPr>
                <w:rFonts w:hint="eastAsia" w:ascii="宋体" w:hAnsi="宋体" w:cs="宋体"/>
                <w:color w:val="000000"/>
                <w:szCs w:val="21"/>
              </w:rPr>
            </w:pPr>
            <w:r>
              <w:rPr>
                <w:rFonts w:hint="eastAsia" w:ascii="宋体" w:hAnsi="宋体" w:cs="宋体"/>
                <w:color w:val="000000"/>
                <w:szCs w:val="21"/>
              </w:rPr>
              <w:t>3</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ind w:left="120"/>
              <w:jc w:val="center"/>
              <w:rPr>
                <w:rFonts w:hint="eastAsia" w:ascii="宋体" w:hAnsi="宋体" w:cs="宋体"/>
                <w:color w:val="000000"/>
                <w:szCs w:val="21"/>
              </w:rPr>
            </w:pPr>
            <w:r>
              <w:rPr>
                <w:rFonts w:hint="eastAsia" w:ascii="宋体" w:hAnsi="宋体" w:cs="宋体"/>
                <w:color w:val="000000"/>
                <w:szCs w:val="21"/>
              </w:rPr>
              <w:t>4</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ind w:left="120"/>
              <w:jc w:val="center"/>
              <w:rPr>
                <w:rFonts w:hint="eastAsia" w:ascii="宋体" w:hAnsi="宋体" w:cs="宋体"/>
                <w:color w:val="000000"/>
                <w:szCs w:val="21"/>
              </w:rPr>
            </w:pPr>
            <w:r>
              <w:rPr>
                <w:rFonts w:hint="eastAsia" w:ascii="宋体" w:hAnsi="宋体" w:cs="宋体"/>
                <w:color w:val="000000"/>
                <w:szCs w:val="21"/>
              </w:rPr>
              <w:t>5</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jc w:val="center"/>
              <w:rPr>
                <w:rFonts w:hint="eastAsia" w:ascii="宋体" w:hAnsi="宋体" w:cs="宋体"/>
                <w:color w:val="000000"/>
                <w:szCs w:val="21"/>
              </w:rPr>
            </w:pPr>
            <w:r>
              <w:rPr>
                <w:rFonts w:hint="eastAsia" w:ascii="宋体" w:hAnsi="宋体" w:cs="宋体"/>
                <w:color w:val="000000"/>
                <w:szCs w:val="21"/>
              </w:rPr>
              <w:t>…</w:t>
            </w: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rPr>
                <w:rFonts w:hint="eastAsia" w:ascii="宋体" w:hAnsi="宋体" w:cs="宋体"/>
                <w:color w:val="000000"/>
                <w:szCs w:val="21"/>
              </w:rPr>
            </w:pP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rPr>
                <w:rFonts w:hint="eastAsia" w:ascii="宋体" w:hAnsi="宋体" w:cs="宋体"/>
                <w:color w:val="000000"/>
                <w:szCs w:val="21"/>
              </w:rPr>
            </w:pP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rPr>
                <w:rFonts w:hint="eastAsia" w:ascii="宋体" w:hAnsi="宋体" w:cs="宋体"/>
                <w:color w:val="000000"/>
                <w:szCs w:val="21"/>
              </w:rPr>
            </w:pP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rPr>
                <w:rFonts w:hint="eastAsia" w:ascii="宋体" w:hAnsi="宋体" w:cs="宋体"/>
                <w:color w:val="000000"/>
                <w:szCs w:val="21"/>
              </w:rPr>
            </w:pP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pPr>
              <w:rPr>
                <w:rFonts w:hint="eastAsia" w:ascii="宋体" w:hAnsi="宋体" w:cs="宋体"/>
                <w:color w:val="000000"/>
                <w:szCs w:val="21"/>
              </w:rPr>
            </w:pPr>
          </w:p>
        </w:tc>
        <w:tc>
          <w:tcPr>
            <w:tcW w:w="1534" w:type="dxa"/>
            <w:vAlign w:val="center"/>
          </w:tcPr>
          <w:p>
            <w:pPr>
              <w:jc w:val="center"/>
              <w:rPr>
                <w:rFonts w:hint="eastAsia" w:ascii="宋体" w:hAnsi="宋体" w:cs="宋体"/>
                <w:color w:val="000000"/>
                <w:szCs w:val="21"/>
              </w:rPr>
            </w:pPr>
          </w:p>
        </w:tc>
        <w:tc>
          <w:tcPr>
            <w:tcW w:w="1599" w:type="dxa"/>
            <w:tcBorders>
              <w:right w:val="single" w:color="auto" w:sz="4" w:space="0"/>
            </w:tcBorders>
            <w:vAlign w:val="center"/>
          </w:tcPr>
          <w:p>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pPr>
              <w:jc w:val="center"/>
              <w:rPr>
                <w:rFonts w:hint="eastAsia" w:ascii="宋体" w:hAnsi="宋体" w:cs="宋体"/>
                <w:color w:val="000000"/>
                <w:szCs w:val="21"/>
              </w:rPr>
            </w:pPr>
          </w:p>
        </w:tc>
        <w:tc>
          <w:tcPr>
            <w:tcW w:w="1553" w:type="dxa"/>
            <w:tcBorders>
              <w:right w:val="single" w:color="auto" w:sz="4" w:space="0"/>
            </w:tcBorders>
            <w:vAlign w:val="center"/>
          </w:tcPr>
          <w:p>
            <w:pPr>
              <w:jc w:val="center"/>
              <w:rPr>
                <w:rFonts w:hint="eastAsia" w:ascii="宋体" w:hAnsi="宋体" w:cs="宋体"/>
                <w:color w:val="000000"/>
                <w:szCs w:val="21"/>
              </w:rPr>
            </w:pPr>
          </w:p>
        </w:tc>
        <w:tc>
          <w:tcPr>
            <w:tcW w:w="1424" w:type="dxa"/>
            <w:vAlign w:val="center"/>
          </w:tcPr>
          <w:p>
            <w:pPr>
              <w:jc w:val="center"/>
              <w:rPr>
                <w:rFonts w:hint="eastAsia" w:ascii="宋体" w:hAnsi="宋体" w:cs="宋体"/>
                <w:color w:val="000000"/>
                <w:szCs w:val="21"/>
              </w:rPr>
            </w:pPr>
          </w:p>
        </w:tc>
      </w:tr>
    </w:tbl>
    <w:p>
      <w:pPr>
        <w:spacing w:line="360" w:lineRule="auto"/>
        <w:ind w:firstLine="840" w:firstLineChars="400"/>
        <w:rPr>
          <w:rFonts w:hint="eastAsia" w:ascii="宋体" w:hAnsi="宋体" w:cs="宋体"/>
          <w:color w:val="000000"/>
          <w:szCs w:val="21"/>
        </w:rPr>
      </w:pPr>
      <w:bookmarkStart w:id="260" w:name="_Toc443316869"/>
      <w:r>
        <w:rPr>
          <w:rFonts w:ascii="宋体" w:hAnsi="宋体" w:cs="宋体"/>
          <w:color w:val="000000"/>
          <w:szCs w:val="21"/>
        </w:rPr>
        <w:t>注：</w:t>
      </w:r>
      <w:r>
        <w:rPr>
          <w:rFonts w:hint="eastAsia" w:ascii="宋体" w:hAnsi="宋体" w:cs="宋体"/>
          <w:color w:val="000000"/>
          <w:szCs w:val="21"/>
        </w:rPr>
        <w:t>1、</w:t>
      </w:r>
      <w:r>
        <w:rPr>
          <w:rFonts w:ascii="宋体" w:hAnsi="宋体" w:cs="宋体"/>
          <w:color w:val="000000"/>
          <w:szCs w:val="21"/>
        </w:rPr>
        <w:t>造价咨询服务业绩及</w:t>
      </w:r>
      <w:r>
        <w:rPr>
          <w:rFonts w:hint="eastAsia" w:ascii="宋体" w:hAnsi="宋体" w:cs="宋体"/>
          <w:color w:val="000000"/>
          <w:szCs w:val="21"/>
        </w:rPr>
        <w:t>竣工</w:t>
      </w:r>
      <w:r>
        <w:rPr>
          <w:rFonts w:hint="eastAsia" w:ascii="宋体" w:hAnsi="宋体" w:cs="宋体"/>
          <w:color w:val="000000"/>
          <w:szCs w:val="21"/>
          <w:lang w:eastAsia="zh-CN"/>
        </w:rPr>
        <w:t>工程结算审核</w:t>
      </w:r>
      <w:r>
        <w:rPr>
          <w:rFonts w:ascii="宋体" w:hAnsi="宋体" w:cs="宋体"/>
          <w:color w:val="000000"/>
          <w:szCs w:val="21"/>
        </w:rPr>
        <w:t>业绩可一并填入本汇总表。</w:t>
      </w:r>
      <w:r>
        <w:rPr>
          <w:rFonts w:hint="eastAsia" w:ascii="宋体" w:hAnsi="宋体" w:cs="宋体"/>
          <w:color w:val="000000"/>
          <w:szCs w:val="21"/>
        </w:rPr>
        <w:t>2、</w:t>
      </w:r>
      <w:r>
        <w:rPr>
          <w:rFonts w:hint="eastAsia" w:ascii="宋体" w:hAnsi="宋体" w:cs="宋体"/>
          <w:b/>
          <w:color w:val="000000"/>
          <w:szCs w:val="28"/>
        </w:rPr>
        <w:t>近年承担过的类似项目情况表</w:t>
      </w:r>
      <w:r>
        <w:rPr>
          <w:rFonts w:hint="eastAsia" w:ascii="宋体" w:hAnsi="宋体" w:cs="宋体"/>
          <w:color w:val="000000"/>
          <w:position w:val="-1"/>
          <w:szCs w:val="21"/>
        </w:rPr>
        <w:t>应附材料，详见第二章“供应商须知”4.1要求</w:t>
      </w:r>
      <w:r>
        <w:rPr>
          <w:rFonts w:hint="eastAsia" w:ascii="宋体" w:hAnsi="宋体" w:cs="宋体"/>
          <w:color w:val="000000"/>
          <w:szCs w:val="21"/>
        </w:rPr>
        <w:t xml:space="preserve"> 。</w:t>
      </w:r>
    </w:p>
    <w:p>
      <w:pPr>
        <w:pStyle w:val="8"/>
        <w:jc w:val="center"/>
        <w:rPr>
          <w:rFonts w:hint="eastAsia" w:ascii="宋体" w:hAnsi="宋体" w:cs="宋体"/>
          <w:color w:val="000000"/>
          <w:sz w:val="24"/>
          <w:szCs w:val="24"/>
        </w:rPr>
      </w:pPr>
      <w:r>
        <w:rPr>
          <w:rFonts w:ascii="宋体" w:hAnsi="宋体" w:cs="宋体"/>
          <w:b w:val="0"/>
          <w:color w:val="000000"/>
          <w:sz w:val="20"/>
          <w:szCs w:val="21"/>
        </w:rPr>
        <w:br w:type="page"/>
      </w:r>
      <w:r>
        <w:rPr>
          <w:rFonts w:hint="eastAsia" w:ascii="宋体" w:hAnsi="宋体" w:cs="宋体"/>
          <w:color w:val="000000"/>
          <w:sz w:val="24"/>
          <w:szCs w:val="24"/>
        </w:rPr>
        <w:t>4.1近年承担过的类似（造价咨询服务）业绩</w:t>
      </w:r>
      <w:bookmarkEnd w:id="260"/>
      <w:r>
        <w:rPr>
          <w:rFonts w:hint="eastAsia" w:ascii="宋体" w:hAnsi="宋体" w:cs="宋体"/>
          <w:color w:val="000000"/>
          <w:sz w:val="24"/>
          <w:szCs w:val="24"/>
        </w:rPr>
        <w:t>情况表</w:t>
      </w:r>
    </w:p>
    <w:p>
      <w:pPr>
        <w:rPr>
          <w:color w:val="000000"/>
        </w:rPr>
      </w:pPr>
      <w:r>
        <w:rPr>
          <w:rFonts w:hint="eastAsia"/>
          <w:color w:val="000000"/>
        </w:rPr>
        <w:t>序号1</w:t>
      </w:r>
      <w:r>
        <w:rPr>
          <w:color w:val="000000"/>
        </w:rPr>
        <w:t>…</w:t>
      </w:r>
      <w:r>
        <w:rPr>
          <w:rFonts w:hint="eastAsia"/>
          <w:color w:val="000000"/>
        </w:rPr>
        <w:t>..............</w:t>
      </w:r>
    </w:p>
    <w:p>
      <w:r>
        <w:rPr>
          <w:rFonts w:hint="eastAsia"/>
          <w:color w:val="000000"/>
        </w:rPr>
        <w:t>序号2</w:t>
      </w:r>
      <w:r>
        <w:rPr>
          <w:color w:val="000000"/>
        </w:rPr>
        <w:t>…</w:t>
      </w:r>
      <w:r>
        <w:rPr>
          <w:rFonts w:hint="eastAsia"/>
          <w:color w:val="000000"/>
        </w:rPr>
        <w:t>..............</w:t>
      </w:r>
    </w:p>
    <w:tbl>
      <w:tblPr>
        <w:tblStyle w:val="23"/>
        <w:tblpPr w:leftFromText="180" w:rightFromText="180" w:vertAnchor="text" w:horzAnchor="page" w:tblpX="1531"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建 设 单 位</w:t>
            </w:r>
          </w:p>
          <w:p>
            <w:pPr>
              <w:spacing w:line="360" w:lineRule="exact"/>
              <w:jc w:val="center"/>
              <w:rPr>
                <w:rFonts w:hint="eastAsia" w:ascii="宋体" w:hAnsi="宋体" w:cs="宋体"/>
                <w:color w:val="000000"/>
                <w:szCs w:val="21"/>
              </w:rPr>
            </w:pPr>
            <w:r>
              <w:rPr>
                <w:rFonts w:hint="eastAsia" w:ascii="宋体" w:hAnsi="宋体" w:cs="宋体"/>
                <w:color w:val="000000"/>
                <w:szCs w:val="21"/>
              </w:rPr>
              <w:t>（业主）</w:t>
            </w:r>
          </w:p>
        </w:tc>
        <w:tc>
          <w:tcPr>
            <w:tcW w:w="6411" w:type="dxa"/>
            <w:vAlign w:val="center"/>
          </w:tcPr>
          <w:p>
            <w:pPr>
              <w:spacing w:line="36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6411" w:type="dxa"/>
            <w:vAlign w:val="center"/>
          </w:tcPr>
          <w:p>
            <w:pPr>
              <w:spacing w:line="36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项目概况</w:t>
            </w:r>
          </w:p>
        </w:tc>
        <w:tc>
          <w:tcPr>
            <w:tcW w:w="6411" w:type="dxa"/>
            <w:vAlign w:val="center"/>
          </w:tcPr>
          <w:p>
            <w:pPr>
              <w:spacing w:line="36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服务起止时间</w:t>
            </w:r>
          </w:p>
        </w:tc>
        <w:tc>
          <w:tcPr>
            <w:tcW w:w="6411" w:type="dxa"/>
            <w:vAlign w:val="center"/>
          </w:tcPr>
          <w:p>
            <w:pPr>
              <w:spacing w:line="36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主要人员情况</w:t>
            </w:r>
          </w:p>
        </w:tc>
        <w:tc>
          <w:tcPr>
            <w:tcW w:w="6411" w:type="dxa"/>
            <w:vAlign w:val="center"/>
          </w:tcPr>
          <w:p>
            <w:pPr>
              <w:spacing w:line="36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628" w:type="dxa"/>
            <w:vAlign w:val="center"/>
          </w:tcPr>
          <w:p>
            <w:pPr>
              <w:spacing w:line="360" w:lineRule="exact"/>
              <w:jc w:val="center"/>
              <w:rPr>
                <w:rFonts w:hint="eastAsia" w:ascii="宋体" w:hAnsi="宋体" w:cs="宋体"/>
                <w:color w:val="000000"/>
                <w:szCs w:val="21"/>
              </w:rPr>
            </w:pPr>
            <w:r>
              <w:rPr>
                <w:rFonts w:hint="eastAsia" w:ascii="宋体" w:hAnsi="宋体" w:cs="宋体"/>
                <w:color w:val="000000"/>
                <w:szCs w:val="21"/>
              </w:rPr>
              <w:t>……</w:t>
            </w:r>
          </w:p>
        </w:tc>
        <w:tc>
          <w:tcPr>
            <w:tcW w:w="6411" w:type="dxa"/>
            <w:vAlign w:val="center"/>
          </w:tcPr>
          <w:p>
            <w:pPr>
              <w:spacing w:line="360" w:lineRule="exact"/>
              <w:jc w:val="center"/>
              <w:rPr>
                <w:rFonts w:hint="eastAsia" w:ascii="宋体" w:hAnsi="宋体" w:cs="宋体"/>
                <w:color w:val="000000"/>
                <w:szCs w:val="21"/>
              </w:rPr>
            </w:pPr>
          </w:p>
        </w:tc>
      </w:tr>
    </w:tbl>
    <w:p>
      <w:pPr>
        <w:spacing w:line="360" w:lineRule="auto"/>
        <w:ind w:firstLine="420" w:firstLineChars="200"/>
        <w:rPr>
          <w:rFonts w:hint="eastAsia" w:ascii="宋体" w:hAnsi="宋体" w:cs="宋体"/>
          <w:color w:val="000000"/>
          <w:position w:val="-1"/>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p>
    <w:p>
      <w:pPr>
        <w:spacing w:line="360" w:lineRule="auto"/>
        <w:rPr>
          <w:rFonts w:hint="eastAsia" w:ascii="宋体" w:hAnsi="宋体" w:cs="宋体"/>
          <w:color w:val="000000"/>
          <w:szCs w:val="21"/>
        </w:rPr>
      </w:pPr>
    </w:p>
    <w:p>
      <w:pPr>
        <w:pStyle w:val="7"/>
        <w:numPr>
          <w:ilvl w:val="0"/>
          <w:numId w:val="3"/>
        </w:numPr>
        <w:spacing w:before="165" w:beforeLines="50" w:after="165" w:afterLines="50"/>
        <w:jc w:val="center"/>
        <w:rPr>
          <w:rFonts w:hint="eastAsia" w:ascii="宋体" w:hAnsi="宋体" w:eastAsia="宋体" w:cs="宋体"/>
          <w:bCs/>
          <w:color w:val="000000"/>
          <w:sz w:val="24"/>
        </w:rPr>
      </w:pPr>
      <w:r>
        <w:rPr>
          <w:rFonts w:hint="eastAsia" w:ascii="宋体" w:hAnsi="宋体" w:cs="宋体"/>
          <w:b w:val="0"/>
          <w:color w:val="000000"/>
          <w:sz w:val="24"/>
        </w:rPr>
        <w:br w:type="page"/>
      </w:r>
      <w:r>
        <w:rPr>
          <w:rFonts w:hint="eastAsia" w:ascii="宋体" w:hAnsi="宋体" w:eastAsia="宋体" w:cs="宋体"/>
          <w:bCs/>
          <w:color w:val="000000"/>
          <w:sz w:val="24"/>
        </w:rPr>
        <w:t>信誉要求</w:t>
      </w:r>
    </w:p>
    <w:p>
      <w:pPr>
        <w:jc w:val="center"/>
      </w:pPr>
      <w:r>
        <w:rPr>
          <w:rFonts w:hint="eastAsia" w:ascii="宋体" w:hAnsi="宋体" w:cs="宋体"/>
          <w:color w:val="000000"/>
          <w:szCs w:val="21"/>
        </w:rPr>
        <w:t>格式自拟</w:t>
      </w:r>
    </w:p>
    <w:p>
      <w:pPr>
        <w:pStyle w:val="2"/>
        <w:rPr>
          <w:color w:val="000000"/>
        </w:rPr>
      </w:pPr>
    </w:p>
    <w:p>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1、无因供应商违约或不恰当履约引起的合同中止、纠纷、争议、仲裁和诉讼记录，无竞标资格被取消的情形（供应商自行提交相关材料原件扫描件，若无情况发生的须作出相应内容的承诺）</w:t>
      </w:r>
    </w:p>
    <w:p>
      <w:pPr>
        <w:pStyle w:val="14"/>
        <w:spacing w:line="500" w:lineRule="exact"/>
        <w:jc w:val="left"/>
        <w:rPr>
          <w:rFonts w:hint="eastAsia" w:asciiTheme="minorEastAsia" w:hAnsiTheme="minorEastAsia" w:eastAsiaTheme="minorEastAsia" w:cstheme="minorEastAsia"/>
          <w:bCs/>
          <w:sz w:val="24"/>
        </w:rPr>
      </w:pPr>
    </w:p>
    <w:p>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2.供应商没有处于被责令停业，或者竞标资格被暂停、取消，或者财务被接管、冻结、破产等状态（供应商自行提交相关材料原件扫描件，若无情况发生的须作出相应内容的承诺）</w:t>
      </w:r>
    </w:p>
    <w:p>
      <w:pPr>
        <w:pStyle w:val="14"/>
        <w:spacing w:line="500" w:lineRule="exact"/>
        <w:jc w:val="left"/>
        <w:rPr>
          <w:rFonts w:hint="eastAsia" w:asciiTheme="minorEastAsia" w:hAnsiTheme="minorEastAsia" w:eastAsiaTheme="minorEastAsia" w:cstheme="minorEastAsia"/>
          <w:bCs/>
          <w:sz w:val="24"/>
        </w:rPr>
      </w:pPr>
    </w:p>
    <w:p>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3、“信用中国”、“中国政府采购网”“中国裁判文书网”查询结果网页截图（扫描件）</w:t>
      </w:r>
    </w:p>
    <w:p>
      <w:pPr>
        <w:pStyle w:val="14"/>
        <w:spacing w:line="500" w:lineRule="exact"/>
        <w:jc w:val="left"/>
        <w:rPr>
          <w:rFonts w:hint="eastAsia" w:asciiTheme="minorEastAsia" w:hAnsiTheme="minorEastAsia" w:eastAsiaTheme="minorEastAsia" w:cstheme="minorEastAsia"/>
          <w:bCs/>
          <w:sz w:val="24"/>
        </w:rPr>
      </w:pPr>
    </w:p>
    <w:p>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4、采购人或竞争性磋商文件要求的其他材料（如有则附）</w:t>
      </w:r>
    </w:p>
    <w:p>
      <w:pPr>
        <w:spacing w:line="360" w:lineRule="auto"/>
        <w:rPr>
          <w:rFonts w:hint="eastAsia" w:asciiTheme="minorEastAsia" w:hAnsiTheme="minorEastAsia" w:eastAsiaTheme="minorEastAsia" w:cstheme="minorEastAsia"/>
          <w:sz w:val="24"/>
        </w:rPr>
      </w:pPr>
    </w:p>
    <w:p>
      <w:pPr>
        <w:pStyle w:val="2"/>
        <w:ind w:firstLine="450" w:firstLineChars="300"/>
        <w:rPr>
          <w:color w:val="000000"/>
        </w:rPr>
      </w:pPr>
    </w:p>
    <w:p>
      <w:pPr>
        <w:pStyle w:val="7"/>
        <w:spacing w:before="165" w:beforeLines="50" w:after="165" w:afterLines="50"/>
        <w:jc w:val="center"/>
        <w:rPr>
          <w:rFonts w:hint="eastAsia" w:ascii="宋体" w:hAnsi="宋体" w:eastAsia="宋体" w:cs="宋体"/>
          <w:bCs/>
          <w:color w:val="000000"/>
          <w:sz w:val="24"/>
        </w:rPr>
      </w:pPr>
      <w:r>
        <w:rPr>
          <w:rFonts w:hint="eastAsia" w:ascii="宋体" w:hAnsi="宋体" w:eastAsia="宋体" w:cs="宋体"/>
          <w:b w:val="0"/>
          <w:color w:val="000000"/>
          <w:sz w:val="21"/>
          <w:szCs w:val="21"/>
        </w:rPr>
        <w:br w:type="page"/>
      </w:r>
      <w:bookmarkStart w:id="261" w:name="_Toc366144112"/>
      <w:bookmarkStart w:id="262" w:name="_Toc443316873"/>
      <w:bookmarkStart w:id="263" w:name="_Toc10364"/>
      <w:r>
        <w:rPr>
          <w:rFonts w:hint="eastAsia" w:ascii="宋体" w:hAnsi="宋体" w:eastAsia="宋体" w:cs="宋体"/>
          <w:bCs/>
          <w:color w:val="000000"/>
          <w:sz w:val="24"/>
        </w:rPr>
        <w:t>六、申请人承诺书</w:t>
      </w:r>
      <w:bookmarkEnd w:id="261"/>
      <w:bookmarkEnd w:id="262"/>
      <w:bookmarkEnd w:id="263"/>
    </w:p>
    <w:p>
      <w:pPr>
        <w:jc w:val="center"/>
        <w:rPr>
          <w:rFonts w:hint="eastAsia" w:ascii="宋体" w:hAnsi="宋体" w:cs="宋体"/>
          <w:color w:val="000000"/>
          <w:u w:val="single"/>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本公司参与</w:t>
      </w:r>
      <w:r>
        <w:rPr>
          <w:rFonts w:hint="eastAsia" w:ascii="宋体" w:hAnsi="宋体" w:cs="宋体"/>
          <w:color w:val="000000"/>
          <w:szCs w:val="21"/>
          <w:u w:val="single"/>
        </w:rPr>
        <w:t xml:space="preserve">                          </w:t>
      </w:r>
      <w:r>
        <w:rPr>
          <w:rFonts w:hint="eastAsia" w:ascii="宋体" w:hAnsi="宋体" w:cs="宋体"/>
          <w:color w:val="000000"/>
          <w:szCs w:val="21"/>
        </w:rPr>
        <w:t>项目的投标，现作如下承诺：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1、我公司参与此次投标活动所提交的所有资料都是合法、真实、有效的。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2、不与其他申请人串通投标、围标，依法、依规公平竞争，不损害采购人或其他申请人的合法权益。</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3、不转让、出租、出借资质证书、人员岗位证书，不以法律、法规禁止的方式投标。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4、不与采购人或招标代理机构串通投标，不损害国家利益、社会公共利益或其他当事人的合法权益。</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5、不向采购人、评标委员会成员、监督人员行贿。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6、不扰乱公共资源交易活动正常秩序。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7、不进行虚假恶意投诉。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8、因违反法律、法规或相关规定被查处的，不干预案件查处。</w:t>
      </w:r>
    </w:p>
    <w:p>
      <w:pPr>
        <w:spacing w:line="360" w:lineRule="auto"/>
        <w:rPr>
          <w:rFonts w:hint="eastAsia" w:ascii="宋体" w:hAnsi="宋体" w:cs="宋体"/>
          <w:color w:val="000000"/>
          <w:szCs w:val="21"/>
        </w:rPr>
      </w:pPr>
      <w:r>
        <w:rPr>
          <w:rFonts w:hint="eastAsia" w:ascii="宋体" w:hAnsi="宋体" w:cs="宋体"/>
          <w:color w:val="000000"/>
          <w:szCs w:val="21"/>
        </w:rPr>
        <w:t>如出现违法、违规或不良行为，甘愿接受公共资源交易监督管理部门、纪检监察机关或司法机关调查处理。违法、违规或不良行为事实成立的，本申请人不再要求退还投标时所提交的投标保证金和廉政保证金，并承担相关责任。给采购人造成损失的，依法承担赔偿责任。</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rPr>
        <w:t>申请人盖章：</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rPr>
        <w:t>法定代表人盖章：</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360" w:lineRule="auto"/>
        <w:ind w:firstLine="420" w:firstLineChars="200"/>
        <w:rPr>
          <w:rFonts w:hint="eastAsia" w:ascii="宋体" w:hAnsi="宋体" w:cs="宋体"/>
          <w:color w:val="000000"/>
          <w:szCs w:val="21"/>
        </w:rPr>
      </w:pPr>
    </w:p>
    <w:p>
      <w:pPr>
        <w:pStyle w:val="14"/>
        <w:spacing w:line="500" w:lineRule="exact"/>
        <w:jc w:val="center"/>
        <w:rPr>
          <w:rFonts w:hint="eastAsia" w:asciiTheme="minorEastAsia" w:hAnsiTheme="minorEastAsia" w:eastAsiaTheme="minorEastAsia" w:cstheme="minorEastAsia"/>
          <w:b/>
          <w:sz w:val="24"/>
        </w:rPr>
      </w:pPr>
      <w:r>
        <w:rPr>
          <w:rFonts w:hint="eastAsia" w:hAnsi="宋体" w:cs="宋体"/>
          <w:color w:val="000000"/>
          <w:szCs w:val="28"/>
        </w:rPr>
        <w:br w:type="page"/>
      </w:r>
      <w:bookmarkEnd w:id="212"/>
      <w:bookmarkEnd w:id="213"/>
    </w:p>
    <w:p>
      <w:pPr>
        <w:pStyle w:val="14"/>
        <w:spacing w:line="500" w:lineRule="exact"/>
        <w:jc w:val="center"/>
        <w:rPr>
          <w:rFonts w:hint="eastAsia" w:hAnsi="宋体" w:cs="宋体"/>
          <w:b/>
          <w:bCs/>
          <w:color w:val="000000"/>
          <w:sz w:val="24"/>
        </w:rPr>
      </w:pPr>
      <w:r>
        <w:rPr>
          <w:rFonts w:hint="eastAsia" w:hAnsi="宋体" w:cs="宋体"/>
          <w:b/>
          <w:bCs/>
          <w:color w:val="000000"/>
          <w:sz w:val="24"/>
          <w:lang w:eastAsia="zh-CN"/>
        </w:rPr>
        <w:t>七</w:t>
      </w:r>
      <w:r>
        <w:rPr>
          <w:rFonts w:hint="eastAsia" w:hAnsi="宋体" w:cs="宋体"/>
          <w:b/>
          <w:bCs/>
          <w:color w:val="000000"/>
          <w:sz w:val="24"/>
        </w:rPr>
        <w:t>、2023年至今任意3个月缴纳税金和社保资金的证明材料（扫描件）</w:t>
      </w:r>
    </w:p>
    <w:p>
      <w:pPr>
        <w:pStyle w:val="14"/>
        <w:spacing w:line="500" w:lineRule="exact"/>
        <w:jc w:val="center"/>
        <w:rPr>
          <w:rFonts w:hint="eastAsia" w:asciiTheme="minorEastAsia" w:hAnsiTheme="minorEastAsia" w:eastAsiaTheme="minorEastAsia" w:cstheme="minorEastAsia"/>
          <w:b/>
          <w:sz w:val="24"/>
        </w:rPr>
      </w:pPr>
    </w:p>
    <w:p>
      <w:pPr>
        <w:pStyle w:val="14"/>
        <w:spacing w:line="500" w:lineRule="exact"/>
        <w:jc w:val="center"/>
        <w:rPr>
          <w:rFonts w:hint="eastAsia" w:asciiTheme="minorEastAsia" w:hAnsiTheme="minorEastAsia" w:eastAsiaTheme="minorEastAsia" w:cstheme="minorEastAsia"/>
          <w:b/>
          <w:sz w:val="24"/>
        </w:rPr>
      </w:pPr>
    </w:p>
    <w:p>
      <w:pPr>
        <w:pStyle w:val="19"/>
        <w:spacing w:line="360" w:lineRule="auto"/>
        <w:rPr>
          <w:rFonts w:hint="eastAsia" w:asciiTheme="minorEastAsia" w:hAnsiTheme="minorEastAsia" w:eastAsiaTheme="minorEastAsia" w:cstheme="minorEastAsia"/>
          <w:szCs w:val="21"/>
        </w:rPr>
      </w:pPr>
    </w:p>
    <w:p>
      <w:pPr>
        <w:spacing w:line="360" w:lineRule="auto"/>
        <w:ind w:firstLine="480"/>
        <w:rPr>
          <w:rFonts w:hint="eastAsia" w:asciiTheme="minorEastAsia" w:hAnsiTheme="minorEastAsia" w:eastAsiaTheme="minorEastAsia" w:cstheme="minorEastAsia"/>
          <w:sz w:val="24"/>
        </w:rPr>
      </w:pPr>
    </w:p>
    <w:p>
      <w:pPr>
        <w:pStyle w:val="14"/>
        <w:spacing w:line="500" w:lineRule="exact"/>
        <w:jc w:val="center"/>
        <w:rPr>
          <w:rFonts w:hint="eastAsia" w:hAnsi="宋体" w:cs="宋体"/>
          <w:b/>
          <w:bCs/>
          <w:color w:val="000000"/>
          <w:sz w:val="24"/>
        </w:rPr>
      </w:pPr>
      <w:bookmarkStart w:id="264" w:name="_Toc21446830"/>
      <w:bookmarkStart w:id="265" w:name="_Toc414014553"/>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pStyle w:val="14"/>
        <w:spacing w:line="500" w:lineRule="exact"/>
        <w:jc w:val="center"/>
        <w:rPr>
          <w:rFonts w:hint="eastAsia" w:hAnsi="宋体" w:cs="宋体"/>
          <w:b/>
          <w:bCs/>
          <w:color w:val="000000"/>
          <w:sz w:val="24"/>
        </w:rPr>
      </w:pPr>
    </w:p>
    <w:p>
      <w:pPr>
        <w:rPr>
          <w:rFonts w:hint="eastAsia" w:ascii="宋体" w:hAnsi="宋体" w:cs="宋体"/>
          <w:b/>
          <w:bCs/>
          <w:color w:val="000000"/>
          <w:sz w:val="24"/>
        </w:rPr>
      </w:pPr>
      <w:r>
        <w:rPr>
          <w:rFonts w:hint="eastAsia" w:ascii="宋体" w:hAnsi="宋体" w:cs="宋体"/>
          <w:b/>
          <w:bCs/>
          <w:color w:val="000000"/>
          <w:sz w:val="24"/>
        </w:rPr>
        <w:br w:type="page"/>
      </w:r>
    </w:p>
    <w:p>
      <w:pPr>
        <w:spacing w:line="720" w:lineRule="auto"/>
        <w:jc w:val="center"/>
        <w:outlineLvl w:val="1"/>
        <w:rPr>
          <w:rFonts w:hint="eastAsia" w:ascii="宋体" w:hAnsi="宋体" w:cs="宋体"/>
          <w:b/>
          <w:bCs/>
          <w:color w:val="auto"/>
          <w:sz w:val="24"/>
        </w:rPr>
      </w:pPr>
      <w:bookmarkStart w:id="266" w:name="_Toc28552"/>
      <w:r>
        <w:rPr>
          <w:rFonts w:hint="eastAsia" w:ascii="宋体" w:hAnsi="宋体" w:cs="宋体"/>
          <w:b/>
          <w:bCs/>
          <w:color w:val="auto"/>
          <w:sz w:val="24"/>
          <w:lang w:eastAsia="zh-CN"/>
        </w:rPr>
        <w:t>八</w:t>
      </w:r>
      <w:r>
        <w:rPr>
          <w:rFonts w:hint="eastAsia" w:ascii="宋体" w:hAnsi="宋体" w:cs="宋体"/>
          <w:b/>
          <w:bCs/>
          <w:color w:val="auto"/>
          <w:sz w:val="24"/>
        </w:rPr>
        <w:t>、中小企业声明函</w:t>
      </w:r>
      <w:bookmarkEnd w:id="266"/>
    </w:p>
    <w:p>
      <w:pPr>
        <w:spacing w:line="360" w:lineRule="auto"/>
        <w:ind w:firstLine="420"/>
        <w:rPr>
          <w:rFonts w:hint="eastAsia" w:ascii="宋体" w:hAnsi="宋体" w:cs="宋体"/>
          <w:color w:val="auto"/>
          <w:szCs w:val="21"/>
        </w:rPr>
      </w:pPr>
      <w:r>
        <w:rPr>
          <w:rFonts w:hint="eastAsia" w:ascii="宋体" w:hAnsi="宋体" w:cs="宋体"/>
          <w:color w:val="auto"/>
          <w:szCs w:val="21"/>
        </w:rPr>
        <w:t>本公司（联合体）郑重声明，根据《政府采购促进中小企业发展管理办法》（财库（2020）46号）的规定，本公司（联合体）参加</w:t>
      </w:r>
      <w:r>
        <w:rPr>
          <w:rFonts w:hint="eastAsia" w:ascii="宋体" w:hAnsi="宋体" w:cs="宋体"/>
          <w:color w:val="auto"/>
          <w:szCs w:val="21"/>
          <w:u w:val="single"/>
        </w:rPr>
        <w:t>（单位名称）</w:t>
      </w:r>
      <w:r>
        <w:rPr>
          <w:rFonts w:hint="eastAsia" w:ascii="宋体" w:hAnsi="宋体" w:cs="宋体"/>
          <w:color w:val="auto"/>
          <w:szCs w:val="21"/>
        </w:rPr>
        <w:t>的</w:t>
      </w:r>
      <w:r>
        <w:rPr>
          <w:rFonts w:hint="eastAsia" w:ascii="宋体" w:hAnsi="宋体" w:cs="宋体"/>
          <w:color w:val="auto"/>
          <w:szCs w:val="21"/>
          <w:u w:val="single"/>
        </w:rPr>
        <w:t>（项目名称）</w:t>
      </w:r>
      <w:r>
        <w:rPr>
          <w:rFonts w:hint="eastAsia" w:ascii="宋体" w:hAnsi="宋体" w:cs="宋体"/>
          <w:color w:val="auto"/>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建筑服务</w:t>
      </w:r>
      <w:r>
        <w:rPr>
          <w:rFonts w:hint="eastAsia" w:ascii="宋体" w:hAnsi="宋体" w:cs="宋体"/>
          <w:color w:val="auto"/>
          <w:szCs w:val="21"/>
        </w:rPr>
        <w:t>；承建（承接）企业为</w:t>
      </w:r>
      <w:r>
        <w:rPr>
          <w:rFonts w:hint="eastAsia" w:ascii="宋体" w:hAnsi="宋体" w:cs="宋体"/>
          <w:color w:val="auto"/>
          <w:szCs w:val="21"/>
          <w:u w:val="single"/>
        </w:rPr>
        <w:t>（企业名称）</w:t>
      </w:r>
      <w:r>
        <w:rPr>
          <w:rFonts w:hint="eastAsia" w:ascii="宋体" w:hAnsi="宋体" w:cs="宋体"/>
          <w:color w:val="auto"/>
          <w:szCs w:val="21"/>
        </w:rPr>
        <w:t>，从业人员人，营业收入为</w:t>
      </w:r>
      <w:r>
        <w:rPr>
          <w:rFonts w:hint="eastAsia" w:ascii="宋体" w:hAnsi="宋体" w:cs="宋体"/>
          <w:color w:val="auto"/>
          <w:szCs w:val="21"/>
          <w:u w:val="single"/>
        </w:rPr>
        <w:t xml:space="preserve">  万</w:t>
      </w:r>
      <w:r>
        <w:rPr>
          <w:rFonts w:hint="eastAsia" w:ascii="宋体" w:hAnsi="宋体" w:cs="宋体"/>
          <w:color w:val="auto"/>
          <w:szCs w:val="21"/>
        </w:rPr>
        <w:t>元，资产总额为</w:t>
      </w:r>
      <w:r>
        <w:rPr>
          <w:rFonts w:hint="eastAsia" w:ascii="宋体" w:hAnsi="宋体" w:cs="宋体"/>
          <w:color w:val="auto"/>
          <w:szCs w:val="21"/>
          <w:u w:val="single"/>
        </w:rPr>
        <w:t xml:space="preserve">  万元</w:t>
      </w:r>
      <w:r>
        <w:rPr>
          <w:rFonts w:hint="eastAsia" w:ascii="宋体" w:hAnsi="宋体" w:cs="宋体"/>
          <w:color w:val="auto"/>
          <w:szCs w:val="21"/>
        </w:rPr>
        <w:t>，属于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pPr>
        <w:spacing w:line="360" w:lineRule="auto"/>
        <w:ind w:firstLine="42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服务</w:t>
      </w:r>
      <w:r>
        <w:rPr>
          <w:rFonts w:hint="eastAsia" w:ascii="宋体" w:hAnsi="宋体" w:cs="宋体"/>
          <w:color w:val="auto"/>
          <w:szCs w:val="21"/>
        </w:rPr>
        <w:t>；承建（承接）企业为（企业</w:t>
      </w:r>
      <w:r>
        <w:rPr>
          <w:rFonts w:hint="eastAsia" w:ascii="宋体" w:hAnsi="宋体" w:cs="宋体"/>
          <w:color w:val="auto"/>
          <w:szCs w:val="21"/>
          <w:u w:val="single"/>
        </w:rPr>
        <w:t>（企业名称）</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pPr>
        <w:spacing w:line="360" w:lineRule="auto"/>
        <w:ind w:firstLine="420"/>
        <w:rPr>
          <w:rFonts w:hint="eastAsia" w:ascii="宋体" w:hAnsi="宋体" w:cs="宋体"/>
          <w:color w:val="auto"/>
          <w:szCs w:val="21"/>
        </w:rPr>
      </w:pPr>
      <w:r>
        <w:rPr>
          <w:rFonts w:hint="eastAsia" w:ascii="宋体" w:hAnsi="宋体" w:cs="宋体"/>
          <w:color w:val="auto"/>
          <w:szCs w:val="21"/>
        </w:rPr>
        <w:t>本企业对上述声明内容的真实性负责，如有虚假，将依法承担相应责任。</w:t>
      </w:r>
    </w:p>
    <w:p>
      <w:pPr>
        <w:spacing w:line="360" w:lineRule="auto"/>
        <w:rPr>
          <w:rFonts w:hint="eastAsia" w:ascii="宋体" w:hAnsi="宋体" w:cs="宋体"/>
          <w:color w:val="auto"/>
          <w:szCs w:val="21"/>
        </w:rPr>
      </w:pPr>
    </w:p>
    <w:p>
      <w:pPr>
        <w:spacing w:line="360" w:lineRule="auto"/>
        <w:ind w:firstLine="4620" w:firstLineChars="2200"/>
        <w:rPr>
          <w:rFonts w:hint="eastAsia" w:ascii="宋体" w:hAnsi="宋体" w:cs="宋体"/>
          <w:color w:val="auto"/>
          <w:szCs w:val="21"/>
        </w:rPr>
      </w:pPr>
      <w:r>
        <w:rPr>
          <w:rFonts w:hint="eastAsia" w:ascii="宋体" w:hAnsi="宋体" w:cs="宋体"/>
          <w:color w:val="auto"/>
          <w:szCs w:val="21"/>
        </w:rPr>
        <w:t>企业名称（盖章）：</w:t>
      </w:r>
    </w:p>
    <w:p>
      <w:pPr>
        <w:spacing w:line="360" w:lineRule="auto"/>
        <w:ind w:firstLine="4620" w:firstLineChars="2200"/>
        <w:rPr>
          <w:rFonts w:hint="eastAsia" w:ascii="宋体" w:hAnsi="宋体" w:cs="宋体"/>
          <w:color w:val="auto"/>
          <w:szCs w:val="21"/>
        </w:rPr>
      </w:pPr>
      <w:r>
        <w:rPr>
          <w:rFonts w:hint="eastAsia" w:ascii="宋体" w:hAnsi="宋体" w:cs="宋体"/>
          <w:color w:val="auto"/>
          <w:szCs w:val="21"/>
        </w:rPr>
        <w:t>日期：</w:t>
      </w:r>
    </w:p>
    <w:p>
      <w:pPr>
        <w:pStyle w:val="19"/>
        <w:spacing w:line="360" w:lineRule="auto"/>
        <w:rPr>
          <w:color w:val="auto"/>
          <w:sz w:val="21"/>
          <w:szCs w:val="21"/>
        </w:rPr>
      </w:pPr>
      <w:r>
        <w:rPr>
          <w:rFonts w:hint="eastAsia"/>
          <w:color w:val="auto"/>
          <w:sz w:val="21"/>
          <w:szCs w:val="21"/>
        </w:rPr>
        <w:t>注：1.从业人员、营业收入，资产总额填报上一年度数据，无上一年度数据的新成立企业可不填报。</w:t>
      </w:r>
    </w:p>
    <w:p>
      <w:pPr>
        <w:pStyle w:val="19"/>
        <w:spacing w:line="360" w:lineRule="auto"/>
        <w:ind w:firstLine="420" w:firstLineChars="200"/>
        <w:rPr>
          <w:color w:val="auto"/>
          <w:sz w:val="21"/>
          <w:szCs w:val="21"/>
        </w:rPr>
      </w:pPr>
      <w:r>
        <w:rPr>
          <w:rFonts w:hint="eastAsia"/>
          <w:color w:val="auto"/>
          <w:sz w:val="21"/>
          <w:szCs w:val="21"/>
        </w:rPr>
        <w:t>2.中小企业应当按照《政府采购促进中小企业发展管理办法》（财库〔2020〕46号）规定和《中小企业划型标准规定》（工信部联企业〔2011〕300号），如实填写并提交《中小企业声明函》。投标人可通过工业化和信息化部网站自测小程序，识别企业规模类型。（http://202.106.120.146/baosong/appweb/orgScale.html）</w:t>
      </w:r>
    </w:p>
    <w:p>
      <w:pPr>
        <w:rPr>
          <w:rFonts w:hint="eastAsia" w:hAnsi="宋体" w:cs="宋体"/>
          <w:b/>
          <w:bCs/>
          <w:color w:val="E54C5E" w:themeColor="accent6"/>
          <w:sz w:val="24"/>
          <w14:textFill>
            <w14:solidFill>
              <w14:schemeClr w14:val="accent6"/>
            </w14:solidFill>
          </w14:textFill>
        </w:rPr>
      </w:pPr>
      <w:r>
        <w:rPr>
          <w:rFonts w:hint="eastAsia" w:hAnsi="宋体" w:cs="宋体"/>
          <w:b/>
          <w:bCs/>
          <w:color w:val="E54C5E" w:themeColor="accent6"/>
          <w:sz w:val="24"/>
          <w14:textFill>
            <w14:solidFill>
              <w14:schemeClr w14:val="accent6"/>
            </w14:solidFill>
          </w14:textFill>
        </w:rPr>
        <w:br w:type="page"/>
      </w:r>
    </w:p>
    <w:p>
      <w:pPr>
        <w:jc w:val="center"/>
        <w:outlineLvl w:val="1"/>
        <w:rPr>
          <w:rFonts w:hint="eastAsia" w:ascii="宋体" w:hAnsi="宋体" w:cs="宋体"/>
          <w:b/>
          <w:bCs/>
          <w:color w:val="auto"/>
          <w:sz w:val="24"/>
        </w:rPr>
      </w:pPr>
      <w:bookmarkStart w:id="267" w:name="_Hlk180757879"/>
      <w:bookmarkStart w:id="268" w:name="_Toc485026324"/>
      <w:bookmarkStart w:id="269" w:name="_Toc2539"/>
      <w:bookmarkStart w:id="270" w:name="_Toc511385766"/>
      <w:bookmarkStart w:id="271" w:name="_Toc10957"/>
      <w:bookmarkStart w:id="272" w:name="_Toc511034451"/>
      <w:r>
        <w:rPr>
          <w:rFonts w:hint="eastAsia" w:ascii="宋体" w:hAnsi="宋体" w:cs="宋体"/>
          <w:b/>
          <w:bCs/>
          <w:color w:val="auto"/>
          <w:sz w:val="24"/>
          <w:lang w:eastAsia="zh-CN"/>
        </w:rPr>
        <w:t>九</w:t>
      </w:r>
      <w:r>
        <w:rPr>
          <w:rFonts w:hint="eastAsia" w:ascii="宋体" w:hAnsi="宋体" w:cs="宋体"/>
          <w:b/>
          <w:bCs/>
          <w:color w:val="auto"/>
          <w:sz w:val="24"/>
        </w:rPr>
        <w:t>、省级以上监狱管理局、戒毒管理局（含新疆生产建设兵团）出具的属于监狱企业的证明文件（若适用）</w:t>
      </w:r>
      <w:bookmarkEnd w:id="267"/>
      <w:r>
        <w:rPr>
          <w:rFonts w:hint="eastAsia" w:ascii="宋体" w:hAnsi="宋体" w:cs="宋体"/>
          <w:b/>
          <w:bCs/>
          <w:color w:val="auto"/>
          <w:sz w:val="24"/>
        </w:rPr>
        <w:t>；</w:t>
      </w:r>
      <w:bookmarkEnd w:id="268"/>
      <w:bookmarkEnd w:id="269"/>
      <w:bookmarkEnd w:id="270"/>
      <w:bookmarkEnd w:id="271"/>
      <w:bookmarkEnd w:id="272"/>
    </w:p>
    <w:p>
      <w:pPr>
        <w:rPr>
          <w:rFonts w:hint="eastAsia" w:asciiTheme="minorEastAsia" w:hAnsiTheme="minorEastAsia" w:eastAsiaTheme="minorEastAsia" w:cstheme="minorEastAsia"/>
          <w:color w:val="auto"/>
          <w:kern w:val="28"/>
        </w:rPr>
      </w:pP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单位名称（</w:t>
      </w:r>
      <w:r>
        <w:rPr>
          <w:rFonts w:hint="eastAsia" w:asciiTheme="minorEastAsia" w:hAnsiTheme="minorEastAsia" w:eastAsiaTheme="minorEastAsia" w:cstheme="minorEastAsia"/>
          <w:color w:val="auto"/>
          <w:spacing w:val="6"/>
          <w:sz w:val="24"/>
        </w:rPr>
        <w:t>盖单位公章</w:t>
      </w:r>
      <w:r>
        <w:rPr>
          <w:rFonts w:hint="eastAsia" w:asciiTheme="minorEastAsia" w:hAnsiTheme="minorEastAsia" w:eastAsiaTheme="minorEastAsia" w:cstheme="minorEastAsia"/>
          <w:color w:val="auto"/>
          <w:szCs w:val="21"/>
        </w:rPr>
        <w:t>）：</w:t>
      </w: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日期：年</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日</w:t>
      </w:r>
    </w:p>
    <w:p>
      <w:pPr>
        <w:jc w:val="center"/>
        <w:outlineLvl w:val="1"/>
        <w:rPr>
          <w:rFonts w:hAnsi="宋体" w:cs="宋体"/>
          <w:b/>
          <w:bCs/>
          <w:color w:val="auto"/>
          <w:sz w:val="24"/>
        </w:rPr>
      </w:pPr>
    </w:p>
    <w:p>
      <w:pPr>
        <w:jc w:val="center"/>
        <w:outlineLvl w:val="1"/>
        <w:rPr>
          <w:rFonts w:hAnsi="宋体" w:cs="宋体"/>
          <w:b/>
          <w:bCs/>
          <w:color w:val="auto"/>
          <w:sz w:val="24"/>
        </w:rPr>
      </w:pPr>
    </w:p>
    <w:p>
      <w:pPr>
        <w:jc w:val="center"/>
        <w:outlineLvl w:val="1"/>
        <w:rPr>
          <w:rFonts w:hAnsi="宋体" w:cs="宋体"/>
          <w:b/>
          <w:bCs/>
          <w:color w:val="auto"/>
          <w:sz w:val="24"/>
        </w:rPr>
      </w:pPr>
    </w:p>
    <w:p>
      <w:pPr>
        <w:jc w:val="center"/>
        <w:outlineLvl w:val="1"/>
        <w:rPr>
          <w:rFonts w:hAnsi="宋体" w:cs="宋体"/>
          <w:b/>
          <w:bCs/>
          <w:color w:val="auto"/>
          <w:sz w:val="24"/>
        </w:rPr>
      </w:pPr>
    </w:p>
    <w:p>
      <w:pPr>
        <w:jc w:val="center"/>
        <w:outlineLvl w:val="1"/>
        <w:rPr>
          <w:rFonts w:hint="eastAsia" w:ascii="宋体" w:hAnsi="宋体" w:cs="宋体"/>
          <w:b/>
          <w:bCs/>
          <w:color w:val="auto"/>
          <w:sz w:val="24"/>
        </w:rPr>
      </w:pPr>
      <w:bookmarkStart w:id="273" w:name="_Hlk180757913"/>
      <w:r>
        <w:rPr>
          <w:rFonts w:hint="eastAsia" w:hAnsi="宋体" w:cs="宋体"/>
          <w:b/>
          <w:bCs/>
          <w:color w:val="auto"/>
          <w:sz w:val="24"/>
        </w:rPr>
        <w:t>十、残疾人福利性单位声明函</w:t>
      </w:r>
      <w:r>
        <w:rPr>
          <w:rFonts w:hint="eastAsia" w:ascii="宋体" w:hAnsi="宋体" w:cs="宋体"/>
          <w:b/>
          <w:bCs/>
          <w:color w:val="auto"/>
          <w:sz w:val="24"/>
        </w:rPr>
        <w:t>（若适用）；</w:t>
      </w:r>
    </w:p>
    <w:bookmarkEnd w:id="273"/>
    <w:p>
      <w:pPr>
        <w:rPr>
          <w:rFonts w:asciiTheme="minorEastAsia" w:hAnsiTheme="minorEastAsia" w:eastAsiaTheme="minorEastAsia" w:cstheme="minorEastAsia"/>
          <w:color w:val="auto"/>
          <w:kern w:val="28"/>
        </w:rPr>
      </w:pPr>
    </w:p>
    <w:p>
      <w:pPr>
        <w:pStyle w:val="2"/>
        <w:rPr>
          <w:rFonts w:hint="eastAsia" w:asciiTheme="minorEastAsia" w:hAnsiTheme="minorEastAsia" w:eastAsiaTheme="minorEastAsia" w:cstheme="minorEastAsia"/>
          <w:color w:val="auto"/>
          <w:kern w:val="28"/>
        </w:rPr>
      </w:pP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单位名称（</w:t>
      </w:r>
      <w:r>
        <w:rPr>
          <w:rFonts w:hint="eastAsia" w:asciiTheme="minorEastAsia" w:hAnsiTheme="minorEastAsia" w:eastAsiaTheme="minorEastAsia" w:cstheme="minorEastAsia"/>
          <w:color w:val="auto"/>
          <w:spacing w:val="6"/>
          <w:sz w:val="24"/>
        </w:rPr>
        <w:t>盖单位公章</w:t>
      </w:r>
      <w:r>
        <w:rPr>
          <w:rFonts w:hint="eastAsia" w:asciiTheme="minorEastAsia" w:hAnsiTheme="minorEastAsia" w:eastAsiaTheme="minorEastAsia" w:cstheme="minorEastAsia"/>
          <w:color w:val="auto"/>
          <w:szCs w:val="21"/>
        </w:rPr>
        <w:t>）：</w:t>
      </w:r>
    </w:p>
    <w:p>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日期：年</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日</w:t>
      </w:r>
    </w:p>
    <w:p>
      <w:pPr>
        <w:rPr>
          <w:rFonts w:hint="eastAsia" w:hAnsi="宋体" w:cs="宋体"/>
          <w:b/>
          <w:bCs/>
          <w:color w:val="E54C5E" w:themeColor="accent6"/>
          <w:sz w:val="24"/>
          <w14:textFill>
            <w14:solidFill>
              <w14:schemeClr w14:val="accent6"/>
            </w14:solidFill>
          </w14:textFill>
        </w:rPr>
      </w:pPr>
    </w:p>
    <w:p>
      <w:pPr>
        <w:pStyle w:val="2"/>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3"/>
        <w:rPr>
          <w:rFonts w:hint="eastAsia" w:hAnsi="宋体" w:cs="宋体"/>
          <w:b/>
          <w:bCs/>
          <w:color w:val="E54C5E" w:themeColor="accent6"/>
          <w:sz w:val="24"/>
          <w14:textFill>
            <w14:solidFill>
              <w14:schemeClr w14:val="accent6"/>
            </w14:solidFill>
          </w14:textFill>
        </w:rPr>
      </w:pPr>
    </w:p>
    <w:p>
      <w:pPr>
        <w:pStyle w:val="14"/>
        <w:spacing w:line="500" w:lineRule="exact"/>
        <w:jc w:val="center"/>
        <w:rPr>
          <w:rFonts w:hint="eastAsia" w:hAnsi="宋体" w:cs="宋体"/>
          <w:b/>
          <w:bCs/>
          <w:color w:val="000000"/>
          <w:sz w:val="24"/>
        </w:rPr>
      </w:pPr>
      <w:r>
        <w:rPr>
          <w:rFonts w:hint="eastAsia" w:hAnsi="宋体" w:cs="宋体"/>
          <w:b/>
          <w:bCs/>
          <w:color w:val="000000"/>
          <w:sz w:val="24"/>
        </w:rPr>
        <w:t>十</w:t>
      </w:r>
      <w:r>
        <w:rPr>
          <w:rFonts w:hint="eastAsia" w:hAnsi="宋体" w:cs="宋体"/>
          <w:b/>
          <w:bCs/>
          <w:color w:val="000000"/>
          <w:sz w:val="24"/>
          <w:lang w:eastAsia="zh-CN"/>
        </w:rPr>
        <w:t>二</w:t>
      </w:r>
      <w:r>
        <w:rPr>
          <w:rFonts w:hint="eastAsia" w:hAnsi="宋体" w:cs="宋体"/>
          <w:b/>
          <w:bCs/>
          <w:color w:val="000000"/>
          <w:sz w:val="24"/>
        </w:rPr>
        <w:t>、供应商须知前附表规定外的其他材料</w:t>
      </w:r>
      <w:bookmarkEnd w:id="264"/>
      <w:bookmarkEnd w:id="265"/>
    </w:p>
    <w:p>
      <w:pPr>
        <w:pStyle w:val="6"/>
        <w:spacing w:before="120" w:after="120"/>
        <w:rPr>
          <w:rFonts w:hint="eastAsia" w:asciiTheme="minorEastAsia" w:hAnsiTheme="minorEastAsia" w:eastAsiaTheme="minorEastAsia" w:cstheme="minorEastAsia"/>
        </w:rPr>
      </w:pPr>
      <w:bookmarkStart w:id="274" w:name="_Toc10242"/>
      <w:bookmarkStart w:id="275" w:name="_Toc435966546"/>
      <w:bookmarkStart w:id="276" w:name="_Toc425415774"/>
      <w:bookmarkStart w:id="277" w:name="_Toc21446831"/>
      <w:r>
        <w:rPr>
          <w:rFonts w:hint="eastAsia" w:asciiTheme="minorEastAsia" w:hAnsiTheme="minorEastAsia" w:eastAsiaTheme="minorEastAsia" w:cstheme="minorEastAsia"/>
        </w:rPr>
        <w:t>附件1：第二次报价表</w:t>
      </w:r>
      <w:bookmarkEnd w:id="274"/>
      <w:bookmarkEnd w:id="275"/>
      <w:bookmarkEnd w:id="276"/>
      <w:bookmarkEnd w:id="277"/>
    </w:p>
    <w:p>
      <w:pPr>
        <w:spacing w:line="360" w:lineRule="auto"/>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第二次报价表（最终报价）</w:t>
      </w:r>
    </w:p>
    <w:p>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项目名称：</w:t>
      </w:r>
      <w:r>
        <w:rPr>
          <w:rFonts w:hint="eastAsia" w:asciiTheme="minorEastAsia" w:hAnsiTheme="minorEastAsia" w:eastAsiaTheme="minorEastAsia" w:cstheme="minorEastAsia"/>
          <w:b/>
          <w:sz w:val="24"/>
          <w:u w:val="single"/>
        </w:rPr>
        <w:t xml:space="preserve">                </w:t>
      </w:r>
    </w:p>
    <w:p>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项目编号：</w:t>
      </w:r>
      <w:r>
        <w:rPr>
          <w:rFonts w:hint="eastAsia" w:asciiTheme="minorEastAsia" w:hAnsiTheme="minorEastAsia" w:eastAsiaTheme="minorEastAsia" w:cstheme="minorEastAsia"/>
          <w:b/>
          <w:sz w:val="24"/>
          <w:u w:val="single"/>
        </w:rPr>
        <w:t xml:space="preserve">                </w:t>
      </w:r>
    </w:p>
    <w:tbl>
      <w:tblPr>
        <w:tblStyle w:val="23"/>
        <w:tblpPr w:leftFromText="180" w:rightFromText="180" w:vertAnchor="text" w:tblpXSpec="center"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22"/>
        <w:gridCol w:w="40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7" w:type="dxa"/>
            <w:vAlign w:val="center"/>
          </w:tcPr>
          <w:p>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722" w:type="dxa"/>
            <w:vAlign w:val="center"/>
          </w:tcPr>
          <w:p>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报价内容</w:t>
            </w:r>
          </w:p>
        </w:tc>
        <w:tc>
          <w:tcPr>
            <w:tcW w:w="4082" w:type="dxa"/>
            <w:vAlign w:val="center"/>
          </w:tcPr>
          <w:p>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 价</w:t>
            </w:r>
          </w:p>
        </w:tc>
        <w:tc>
          <w:tcPr>
            <w:tcW w:w="1701" w:type="dxa"/>
            <w:vAlign w:val="center"/>
          </w:tcPr>
          <w:p>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722"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竞标报价（元）</w:t>
            </w:r>
          </w:p>
        </w:tc>
        <w:tc>
          <w:tcPr>
            <w:tcW w:w="4082" w:type="dxa"/>
            <w:vAlign w:val="center"/>
          </w:tcPr>
          <w:p>
            <w:pPr>
              <w:spacing w:line="480" w:lineRule="auto"/>
              <w:jc w:val="lef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小写：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480" w:lineRule="auto"/>
              <w:jc w:val="lef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大写：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c>
        <w:tc>
          <w:tcPr>
            <w:tcW w:w="1701"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72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4082" w:type="dxa"/>
            <w:vAlign w:val="center"/>
          </w:tcPr>
          <w:p>
            <w:pPr>
              <w:spacing w:line="360" w:lineRule="auto"/>
              <w:jc w:val="center"/>
              <w:rPr>
                <w:rFonts w:hint="eastAsia" w:asciiTheme="minorEastAsia" w:hAnsiTheme="minorEastAsia" w:eastAsiaTheme="minorEastAsia" w:cstheme="minorEastAsia"/>
                <w:sz w:val="24"/>
              </w:rPr>
            </w:pPr>
          </w:p>
        </w:tc>
        <w:tc>
          <w:tcPr>
            <w:tcW w:w="1701"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72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质量承诺</w:t>
            </w:r>
          </w:p>
        </w:tc>
        <w:tc>
          <w:tcPr>
            <w:tcW w:w="4082" w:type="dxa"/>
            <w:vAlign w:val="center"/>
          </w:tcPr>
          <w:p>
            <w:pPr>
              <w:spacing w:line="360" w:lineRule="auto"/>
              <w:jc w:val="center"/>
              <w:rPr>
                <w:rFonts w:hint="eastAsia" w:asciiTheme="minorEastAsia" w:hAnsiTheme="minorEastAsia" w:eastAsiaTheme="minorEastAsia" w:cstheme="minorEastAsia"/>
                <w:sz w:val="24"/>
              </w:rPr>
            </w:pPr>
          </w:p>
        </w:tc>
        <w:tc>
          <w:tcPr>
            <w:tcW w:w="1701"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72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4082" w:type="dxa"/>
            <w:vAlign w:val="center"/>
          </w:tcPr>
          <w:p>
            <w:pPr>
              <w:spacing w:line="360" w:lineRule="auto"/>
              <w:jc w:val="center"/>
              <w:rPr>
                <w:rFonts w:hint="eastAsia" w:asciiTheme="minorEastAsia" w:hAnsiTheme="minorEastAsia" w:eastAsiaTheme="minorEastAsia" w:cstheme="minorEastAsia"/>
                <w:sz w:val="24"/>
              </w:rPr>
            </w:pPr>
          </w:p>
        </w:tc>
        <w:tc>
          <w:tcPr>
            <w:tcW w:w="1701" w:type="dxa"/>
            <w:vAlign w:val="center"/>
          </w:tcPr>
          <w:p>
            <w:pPr>
              <w:spacing w:line="360" w:lineRule="auto"/>
              <w:jc w:val="center"/>
              <w:rPr>
                <w:rFonts w:hint="eastAsia" w:asciiTheme="minorEastAsia" w:hAnsiTheme="minorEastAsia" w:eastAsiaTheme="minorEastAsia" w:cstheme="minorEastAsia"/>
                <w:sz w:val="24"/>
              </w:rPr>
            </w:pPr>
          </w:p>
        </w:tc>
      </w:tr>
    </w:tbl>
    <w:p>
      <w:pPr>
        <w:spacing w:line="360" w:lineRule="auto"/>
        <w:rPr>
          <w:rFonts w:hint="eastAsia" w:asciiTheme="minorEastAsia" w:hAnsiTheme="minorEastAsia" w:eastAsiaTheme="minorEastAsia" w:cstheme="minorEastAsia"/>
          <w:b/>
          <w:sz w:val="24"/>
          <w:u w:val="single"/>
        </w:rPr>
      </w:pPr>
    </w:p>
    <w:p>
      <w:pPr>
        <w:spacing w:line="360" w:lineRule="auto"/>
        <w:ind w:firstLine="481"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注：1、此表由供应商单独带到磋商地点，并加盖公章，此表一式二份，无需装订在响应文件中。</w:t>
      </w:r>
    </w:p>
    <w:p>
      <w:pPr>
        <w:spacing w:line="360" w:lineRule="auto"/>
        <w:ind w:firstLine="963" w:firstLineChars="4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2、供应商只需在“供应商名称（盖章）：</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rPr>
        <w:t>”处加盖公章外，其余内容不填写。若供应商擅自填写的，造成的后果由供应商自行承担。</w:t>
      </w:r>
    </w:p>
    <w:p>
      <w:pPr>
        <w:spacing w:line="360" w:lineRule="auto"/>
        <w:ind w:firstLine="963" w:firstLineChars="4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3、此表用于磋商阶段，在进行磋商时，供应商根据磋商结果填写相应内容。</w:t>
      </w: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供应商名称（盖章）：</w:t>
      </w:r>
      <w:r>
        <w:rPr>
          <w:rFonts w:hint="eastAsia" w:asciiTheme="minorEastAsia" w:hAnsiTheme="minorEastAsia" w:eastAsiaTheme="minorEastAsia" w:cstheme="minorEastAsia"/>
          <w:sz w:val="24"/>
          <w:u w:val="single"/>
        </w:rPr>
        <w:t xml:space="preserve">                                      </w:t>
      </w:r>
    </w:p>
    <w:p>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法定代表人或其委托代理人（签字或盖章）：</w:t>
      </w:r>
      <w:r>
        <w:rPr>
          <w:rFonts w:hint="eastAsia" w:asciiTheme="minorEastAsia" w:hAnsiTheme="minorEastAsia" w:eastAsiaTheme="minorEastAsia" w:cstheme="minorEastAsia"/>
          <w:sz w:val="24"/>
          <w:u w:val="single"/>
        </w:rPr>
        <w:t xml:space="preserve">                        </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填表时间：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200"/>
    <w:bookmarkEnd w:id="201"/>
    <w:bookmarkEnd w:id="202"/>
    <w:bookmarkEnd w:id="203"/>
    <w:bookmarkEnd w:id="204"/>
    <w:bookmarkEnd w:id="205"/>
    <w:bookmarkEnd w:id="206"/>
    <w:p>
      <w:pPr>
        <w:numPr>
          <w:ilvl w:val="0"/>
          <w:numId w:val="4"/>
        </w:numPr>
        <w:spacing w:line="56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bookmarkStart w:id="278" w:name="_Toc30535"/>
      <w:r>
        <w:rPr>
          <w:rFonts w:hint="eastAsia" w:asciiTheme="minorEastAsia" w:hAnsiTheme="minorEastAsia" w:eastAsiaTheme="minorEastAsia" w:cstheme="minorEastAsia"/>
          <w:b/>
          <w:sz w:val="36"/>
          <w:szCs w:val="36"/>
        </w:rPr>
        <w:t>技术要求</w:t>
      </w:r>
      <w:bookmarkEnd w:id="278"/>
    </w:p>
    <w:p>
      <w:pPr>
        <w:pStyle w:val="29"/>
      </w:pPr>
    </w:p>
    <w:p>
      <w:pPr>
        <w:spacing w:line="360" w:lineRule="auto"/>
        <w:ind w:firstLine="481" w:firstLineChars="200"/>
        <w:rPr>
          <w:rFonts w:hint="eastAsia" w:ascii="宋体" w:hAnsi="宋体" w:cs="宋体"/>
          <w:b/>
          <w:bCs/>
          <w:color w:val="000000"/>
          <w:sz w:val="24"/>
        </w:rPr>
      </w:pPr>
      <w:bookmarkStart w:id="279" w:name="_Toc26332"/>
      <w:bookmarkStart w:id="280" w:name="_Toc5760"/>
      <w:bookmarkStart w:id="281" w:name="_Toc436942628"/>
      <w:bookmarkStart w:id="282" w:name="_Toc24119"/>
      <w:bookmarkStart w:id="283" w:name="_Toc14073"/>
      <w:bookmarkStart w:id="284" w:name="_Toc997"/>
      <w:bookmarkStart w:id="285" w:name="_Toc8790"/>
      <w:r>
        <w:rPr>
          <w:rFonts w:hint="eastAsia" w:ascii="宋体" w:hAnsi="宋体" w:cs="宋体"/>
          <w:b/>
          <w:bCs/>
          <w:color w:val="000000"/>
          <w:sz w:val="24"/>
        </w:rPr>
        <w:t>一、造价咨询服务工作相关法律法规，包括但不限于：</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中华人民共和国审计法》；《中华人民共和国建筑法》；《中华人民共和国民法典》；《中华人民共和国审计法实施条例》；《政府投资项目审计规定》（审投发（2010）173号）；《国家审计准则》（（2010）审计署令 第8号）；《云南省政府投资建设项目审计办法》（云南省人民政府令第145号）；</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2、《工程造价咨询单位执业行为准则》（中价协（2002）第015号）、《造价工程师职业道德行为准则》（中价协（2002）第015号）、《工程造价咨询业务操作指导规程》（中价协【2002】16号）；</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 xml:space="preserve">3、《建设工程价款结算暂行办法》（财政部、建设部财建【2004】369号）； </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 财政部关于印发《会计师事务所从事基本建设工程预算、结算、决算审核暂行办法》的通知（财协字[1999]103号）；中华人民共和国财政部令第81号公布的《基本建设财务规则》</w:t>
      </w:r>
      <w:r>
        <w:rPr>
          <w:rFonts w:hint="eastAsia" w:ascii="宋体" w:hAnsi="宋体" w:cs="宋体"/>
          <w:bCs/>
          <w:szCs w:val="21"/>
        </w:rPr>
        <w:t>；</w:t>
      </w:r>
      <w:r>
        <w:rPr>
          <w:rFonts w:hint="eastAsia" w:ascii="宋体" w:hAnsi="宋体" w:cs="宋体"/>
          <w:bCs/>
          <w:color w:val="000000"/>
          <w:szCs w:val="21"/>
        </w:rPr>
        <w:t>《财政部关于解释〈基本建设财务管理规定〉执行中有关问题的通知》（财建［2003］724号）；</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5、《国有建设单位会计制度》及财政部关于印发《国有建设单位会计制度补充规定》（财会字[1998]17号）；</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6、《企业会计准则》；《企业会计制度》；</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7、《云南省建筑市场管理条例》；</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8、《云南省建设工程造价管理条例》；</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9、《工程建设项目施工招标投标办法》；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10、 国家、行业和云南省政府行政主管部门颁布的与本项目有关的计价规范及相关文件；</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11、 衡量、判定建设行为合法性、合规性及规范性的政策依据。包括国家、部委、建设等行政主管部门以及相应省级部门颁发的与招投标、财务管理、工程质量管理、投资控制、土地征用、耕地保护、环境保护等建设行为有关的法律及行政法规。</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12、 上级部门对本项目的批复文件。包括国家、部委和云南省政府、厅委下发的与本项目可行性研究、初步设计及概算（含调整概算）、施工图设计及预算（含调整预算）、开工报告、年度投资计划等有关的批复文件。</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13、 其他有关基本建设财务管理的规定，有关的财经规章制度及与本项目工程审计需要的相关资料。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14、合同履行期间国家、云南省及造价管理机构新出台的相关法律法规、管理制度等。</w:t>
      </w:r>
    </w:p>
    <w:p>
      <w:pPr>
        <w:spacing w:line="560" w:lineRule="exact"/>
        <w:jc w:val="center"/>
        <w:outlineLvl w:val="0"/>
      </w:pPr>
      <w:r>
        <w:rPr>
          <w:rFonts w:hint="eastAsia" w:ascii="宋体" w:hAnsi="宋体" w:cs="宋体"/>
          <w:bCs/>
          <w:color w:val="000000"/>
          <w:szCs w:val="21"/>
        </w:rPr>
        <w:t xml:space="preserve">   </w:t>
      </w:r>
    </w:p>
    <w:p>
      <w:pPr>
        <w:spacing w:line="560" w:lineRule="exact"/>
        <w:outlineLvl w:val="0"/>
        <w:rPr>
          <w:rFonts w:hint="eastAsia" w:asciiTheme="minorEastAsia" w:hAnsiTheme="minorEastAsia" w:eastAsiaTheme="minorEastAsia" w:cstheme="minorEastAsia"/>
          <w:b/>
          <w:sz w:val="28"/>
          <w:szCs w:val="28"/>
        </w:rPr>
      </w:pPr>
    </w:p>
    <w:p>
      <w:pPr>
        <w:spacing w:line="560" w:lineRule="exact"/>
        <w:jc w:val="center"/>
        <w:outlineLvl w:val="0"/>
        <w:rPr>
          <w:rFonts w:hint="eastAsia" w:asciiTheme="minorEastAsia" w:hAnsiTheme="minorEastAsia" w:eastAsiaTheme="minorEastAsia" w:cstheme="minorEastAsia"/>
          <w:b/>
          <w:sz w:val="28"/>
          <w:szCs w:val="28"/>
        </w:rPr>
      </w:pPr>
      <w:bookmarkStart w:id="286" w:name="_Toc30975"/>
      <w:r>
        <w:rPr>
          <w:rFonts w:hint="eastAsia" w:asciiTheme="minorEastAsia" w:hAnsiTheme="minorEastAsia" w:eastAsiaTheme="minorEastAsia" w:cstheme="minorEastAsia"/>
          <w:b/>
          <w:sz w:val="36"/>
          <w:szCs w:val="36"/>
        </w:rPr>
        <w:t>第六章  磋商办法（综合评估法）</w:t>
      </w:r>
      <w:bookmarkEnd w:id="207"/>
      <w:bookmarkEnd w:id="279"/>
      <w:bookmarkEnd w:id="280"/>
      <w:bookmarkEnd w:id="281"/>
      <w:bookmarkEnd w:id="282"/>
      <w:bookmarkEnd w:id="283"/>
      <w:bookmarkEnd w:id="284"/>
      <w:bookmarkEnd w:id="285"/>
      <w:bookmarkEnd w:id="286"/>
    </w:p>
    <w:p>
      <w:pPr>
        <w:pStyle w:val="6"/>
        <w:ind w:firstLine="0"/>
        <w:jc w:val="center"/>
        <w:rPr>
          <w:rFonts w:hint="eastAsia" w:asciiTheme="minorEastAsia" w:hAnsiTheme="minorEastAsia" w:eastAsiaTheme="minorEastAsia" w:cstheme="minorEastAsia"/>
        </w:rPr>
      </w:pPr>
      <w:bookmarkStart w:id="287" w:name="_Toc22091"/>
      <w:bookmarkStart w:id="288" w:name="_Toc436942629"/>
      <w:bookmarkStart w:id="289" w:name="_Toc13928"/>
      <w:bookmarkStart w:id="290" w:name="_Toc6323"/>
      <w:bookmarkStart w:id="291" w:name="_Toc4318"/>
      <w:bookmarkStart w:id="292" w:name="_Toc341306192"/>
      <w:bookmarkStart w:id="293" w:name="_Toc23509"/>
      <w:bookmarkStart w:id="294" w:name="_Toc31901_WPSOffice_Level2"/>
      <w:bookmarkStart w:id="295" w:name="_Toc23855"/>
      <w:bookmarkStart w:id="296" w:name="_Toc213141119"/>
      <w:bookmarkStart w:id="297" w:name="_Toc28199"/>
      <w:r>
        <w:rPr>
          <w:rFonts w:hint="eastAsia" w:asciiTheme="minorEastAsia" w:hAnsiTheme="minorEastAsia" w:eastAsiaTheme="minorEastAsia" w:cstheme="minorEastAsia"/>
        </w:rPr>
        <w:t>磋商办法前附表</w:t>
      </w:r>
      <w:bookmarkEnd w:id="287"/>
      <w:bookmarkEnd w:id="288"/>
      <w:bookmarkEnd w:id="289"/>
      <w:bookmarkEnd w:id="290"/>
      <w:bookmarkEnd w:id="291"/>
      <w:bookmarkEnd w:id="292"/>
      <w:bookmarkEnd w:id="293"/>
      <w:bookmarkEnd w:id="294"/>
      <w:bookmarkEnd w:id="295"/>
      <w:bookmarkEnd w:id="296"/>
      <w:bookmarkEnd w:id="297"/>
    </w:p>
    <w:tbl>
      <w:tblPr>
        <w:tblStyle w:val="23"/>
        <w:tblpPr w:leftFromText="180" w:rightFromText="180" w:vertAnchor="text" w:horzAnchor="page" w:tblpXSpec="center" w:tblpY="467"/>
        <w:tblOverlap w:val="never"/>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
        <w:gridCol w:w="1268"/>
        <w:gridCol w:w="250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b/>
                <w:bCs/>
                <w:szCs w:val="21"/>
              </w:rPr>
            </w:pPr>
            <w:bookmarkStart w:id="298" w:name="_Toc18691"/>
            <w:bookmarkStart w:id="299" w:name="_Toc306524550"/>
            <w:bookmarkStart w:id="300" w:name="_Toc2697"/>
            <w:bookmarkStart w:id="301" w:name="_Toc366144088"/>
            <w:bookmarkStart w:id="302" w:name="_Toc425171836"/>
            <w:r>
              <w:rPr>
                <w:rFonts w:hint="eastAsia" w:asciiTheme="minorEastAsia" w:hAnsiTheme="minorEastAsia" w:eastAsiaTheme="minorEastAsia" w:cstheme="minorEastAsia"/>
                <w:b/>
                <w:bCs/>
                <w:szCs w:val="21"/>
              </w:rPr>
              <w:t>条款号</w:t>
            </w:r>
          </w:p>
        </w:tc>
        <w:tc>
          <w:tcPr>
            <w:tcW w:w="2502" w:type="dxa"/>
            <w:vAlign w:val="center"/>
          </w:tcPr>
          <w:p>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评审因素</w:t>
            </w:r>
          </w:p>
        </w:tc>
        <w:tc>
          <w:tcPr>
            <w:tcW w:w="5485" w:type="dxa"/>
            <w:vAlign w:val="center"/>
          </w:tcPr>
          <w:p>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restart"/>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w:t>
            </w:r>
          </w:p>
        </w:tc>
        <w:tc>
          <w:tcPr>
            <w:tcW w:w="1274" w:type="dxa"/>
            <w:gridSpan w:val="2"/>
            <w:vMerge w:val="restart"/>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w:t>
            </w:r>
          </w:p>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w:t>
            </w:r>
          </w:p>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w:t>
            </w: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资质条件</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财务要求</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信誉要求</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法定代表人身份证明或附有法定代表人身份证明的授权委托书</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格式</w:t>
            </w:r>
            <w:r>
              <w:rPr>
                <w:rFonts w:hint="eastAsia" w:asciiTheme="minorEastAsia" w:hAnsiTheme="minorEastAsia" w:eastAsiaTheme="minorEastAsia" w:cstheme="minorEastAsia"/>
                <w:kern w:val="1"/>
                <w:szCs w:val="21"/>
              </w:rPr>
              <w:t>符合竞争性磋商文件要求</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相关承诺</w:t>
            </w:r>
          </w:p>
        </w:tc>
        <w:tc>
          <w:tcPr>
            <w:tcW w:w="5485"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6" w:type="dxa"/>
            <w:gridSpan w:val="2"/>
            <w:vMerge w:val="restart"/>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w:t>
            </w:r>
          </w:p>
        </w:tc>
        <w:tc>
          <w:tcPr>
            <w:tcW w:w="1268" w:type="dxa"/>
            <w:vMerge w:val="restart"/>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性评</w:t>
            </w:r>
          </w:p>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审标</w:t>
            </w:r>
          </w:p>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w:t>
            </w:r>
          </w:p>
        </w:tc>
        <w:tc>
          <w:tcPr>
            <w:tcW w:w="2502"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响应文件的签署</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有法定代表人或其委托代理人签字或盖章，并加盖单位章。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响应文件格式</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pStyle w:val="19"/>
              <w:widowControl/>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质量要求</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符合第二章“供应商须知前附表”第3.3项规定。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服务周期</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符合第二章“供应商须知前附表”第3.2项规定。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竞标报价</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供应商递交两份或多份内容不同的响应文件，或在一份响应文件中对同一招标项目报有两个或多个报价，且未声明哪一个有效的。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dxa"/>
            <w:gridSpan w:val="2"/>
            <w:vMerge w:val="continue"/>
            <w:vAlign w:val="center"/>
          </w:tcPr>
          <w:p>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pPr>
              <w:spacing w:line="420" w:lineRule="exact"/>
              <w:jc w:val="center"/>
              <w:rPr>
                <w:rFonts w:hint="eastAsia" w:asciiTheme="minorEastAsia" w:hAnsiTheme="minorEastAsia" w:eastAsiaTheme="minorEastAsia" w:cstheme="minorEastAsia"/>
                <w:szCs w:val="21"/>
              </w:rPr>
            </w:pPr>
          </w:p>
        </w:tc>
        <w:tc>
          <w:tcPr>
            <w:tcW w:w="2502"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废标条件</w:t>
            </w:r>
          </w:p>
        </w:tc>
        <w:tc>
          <w:tcPr>
            <w:tcW w:w="5485" w:type="dxa"/>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符合第六章“磋商办法（综合评估法）”附件要求。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条款号</w:t>
            </w:r>
          </w:p>
        </w:tc>
        <w:tc>
          <w:tcPr>
            <w:tcW w:w="2502" w:type="dxa"/>
            <w:vAlign w:val="center"/>
          </w:tcPr>
          <w:p>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条款内容</w:t>
            </w:r>
          </w:p>
        </w:tc>
        <w:tc>
          <w:tcPr>
            <w:tcW w:w="5485" w:type="dxa"/>
            <w:vAlign w:val="center"/>
          </w:tcPr>
          <w:p>
            <w:pPr>
              <w:autoSpaceDE w:val="0"/>
              <w:autoSpaceDN w:val="0"/>
              <w:adjustRightInd w:val="0"/>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w:t>
            </w:r>
          </w:p>
        </w:tc>
        <w:tc>
          <w:tcPr>
            <w:tcW w:w="2502" w:type="dxa"/>
            <w:vAlign w:val="center"/>
          </w:tcPr>
          <w:p>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分值构成</w:t>
            </w:r>
          </w:p>
          <w:p>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（商务部分分值为15分，技术部分分值为85分）</w:t>
            </w:r>
          </w:p>
        </w:tc>
        <w:tc>
          <w:tcPr>
            <w:tcW w:w="5485" w:type="dxa"/>
          </w:tcPr>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本项目采用综合评估法</w:t>
            </w:r>
          </w:p>
          <w:p>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第一阶段：</w:t>
            </w:r>
          </w:p>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磋商小组对供应商的响应文件进行资格评审、符合性评审，供应商只有全部满足磋商办法前附表中的评审标准才能通过进入第二阶段评审。</w:t>
            </w:r>
          </w:p>
          <w:p>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第二阶段：</w:t>
            </w:r>
          </w:p>
          <w:p>
            <w:pPr>
              <w:spacing w:line="420" w:lineRule="exact"/>
              <w:rPr>
                <w:rFonts w:hint="eastAsia" w:ascii="仿宋_GB2312" w:hAnsi="仿宋_GB2312" w:eastAsia="仿宋_GB2312" w:cs="仿宋_GB2312"/>
                <w:color w:val="auto"/>
                <w:szCs w:val="21"/>
              </w:rPr>
            </w:pPr>
            <w:r>
              <w:rPr>
                <w:rFonts w:hint="eastAsia" w:asciiTheme="minorEastAsia" w:hAnsiTheme="minorEastAsia" w:eastAsiaTheme="minorEastAsia" w:cstheme="minorEastAsia"/>
                <w:color w:val="auto"/>
                <w:szCs w:val="21"/>
              </w:rPr>
              <w:t>1.磋商小组按照各供应商抽取的磋商顺序与供应商分别磋商后供应商进行二次报价。</w:t>
            </w:r>
          </w:p>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2.磋商小组对各供应商的响应文件进行技术部分和商务部分详细评审打分。</w:t>
            </w:r>
          </w:p>
          <w:p>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第三阶段：</w:t>
            </w:r>
          </w:p>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磋商小组根据综合评分得分由高到低推荐1-3名成交候选人，并出具评审报告。</w:t>
            </w:r>
          </w:p>
          <w:p>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Z=S+J其中：</w:t>
            </w:r>
          </w:p>
          <w:p>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Z：指供应商的最终得分；</w:t>
            </w:r>
          </w:p>
          <w:p>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S：指供应商的商务部分得分；</w:t>
            </w:r>
          </w:p>
          <w:p>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J：指供应商的技术部分得分。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w:t>
            </w:r>
          </w:p>
        </w:tc>
        <w:tc>
          <w:tcPr>
            <w:tcW w:w="2502" w:type="dxa"/>
            <w:vAlign w:val="center"/>
          </w:tcPr>
          <w:p>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磋商基准价计算方法</w:t>
            </w:r>
          </w:p>
        </w:tc>
        <w:tc>
          <w:tcPr>
            <w:tcW w:w="5485" w:type="dxa"/>
          </w:tcPr>
          <w:p>
            <w:pPr>
              <w:pStyle w:val="32"/>
              <w:kinsoku w:val="0"/>
              <w:overflowPunct w:val="0"/>
              <w:spacing w:line="420" w:lineRule="exact"/>
              <w:jc w:val="left"/>
              <w:rPr>
                <w:rFonts w:hint="eastAsia" w:asciiTheme="minorEastAsia" w:hAnsiTheme="minorEastAsia" w:cstheme="minorEastAsia"/>
              </w:rPr>
            </w:pPr>
            <w:r>
              <w:rPr>
                <w:rFonts w:hint="eastAsia" w:ascii="宋体" w:hAnsi="宋体"/>
                <w:szCs w:val="21"/>
              </w:rPr>
              <w:t>有效竞标的最低价作为磋商基准价。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11" w:type="dxa"/>
            <w:gridSpan w:val="5"/>
            <w:vAlign w:val="center"/>
          </w:tcPr>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w:t>
            </w:r>
            <w:r>
              <w:rPr>
                <w:rFonts w:hint="eastAsia" w:asciiTheme="minorEastAsia" w:hAnsiTheme="minorEastAsia" w:eastAsiaTheme="minorEastAsia" w:cstheme="minorEastAsia"/>
                <w:color w:val="auto"/>
                <w:szCs w:val="21"/>
                <w:highlight w:val="none"/>
              </w:rPr>
              <w:t>部分满分（15分）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111" w:type="dxa"/>
            <w:gridSpan w:val="5"/>
            <w:vAlign w:val="center"/>
          </w:tcPr>
          <w:p>
            <w:pPr>
              <w:rPr>
                <w:rFonts w:hint="eastAsia" w:ascii="宋体" w:hAnsi="宋体"/>
                <w:color w:val="auto"/>
                <w:szCs w:val="21"/>
              </w:rPr>
            </w:pPr>
            <w:r>
              <w:rPr>
                <w:rFonts w:hint="eastAsia" w:ascii="宋体" w:hAnsi="宋体"/>
                <w:color w:val="auto"/>
                <w:szCs w:val="21"/>
              </w:rPr>
              <w:t>本次竞标价报价不得高于最高控制价的要求。</w:t>
            </w:r>
          </w:p>
          <w:p>
            <w:pPr>
              <w:pStyle w:val="32"/>
              <w:kinsoku w:val="0"/>
              <w:overflowPunct w:val="0"/>
              <w:spacing w:line="420" w:lineRule="exact"/>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满足磋商文件要求</w:t>
            </w:r>
            <w:r>
              <w:rPr>
                <w:rFonts w:hint="eastAsia" w:ascii="宋体" w:hAnsi="宋体"/>
                <w:color w:val="auto"/>
                <w:szCs w:val="21"/>
              </w:rPr>
              <w:t>的有效竞标报价的最低价作为评标指标价，供应商的竞标报价等于评标指标价时得15分。其余供应商报价得分统一按以下公式计算：磋商报价得分=（</w:t>
            </w:r>
            <w:r>
              <w:rPr>
                <w:rFonts w:hint="eastAsia" w:ascii="宋体" w:hAnsi="宋体"/>
                <w:szCs w:val="21"/>
              </w:rPr>
              <w:t>磋商基准价</w:t>
            </w:r>
            <w:r>
              <w:rPr>
                <w:rFonts w:hint="eastAsia" w:ascii="宋体" w:hAnsi="宋体"/>
                <w:color w:val="auto"/>
                <w:szCs w:val="21"/>
              </w:rPr>
              <w:t>/最后磋商报价）*15，保留小数点2位。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111" w:type="dxa"/>
            <w:gridSpan w:val="5"/>
            <w:vAlign w:val="center"/>
          </w:tcPr>
          <w:p>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技术部分满分（85分）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124" w:type="dxa"/>
            <w:gridSpan w:val="3"/>
            <w:vAlign w:val="center"/>
          </w:tcPr>
          <w:p>
            <w:pPr>
              <w:spacing w:line="276" w:lineRule="auto"/>
              <w:rPr>
                <w:rFonts w:hint="eastAsia" w:asciiTheme="minorEastAsia" w:hAnsiTheme="minorEastAsia" w:eastAsiaTheme="minorEastAsia" w:cstheme="minorEastAsia"/>
                <w:color w:val="auto"/>
                <w:szCs w:val="21"/>
              </w:rPr>
            </w:pPr>
            <w:r>
              <w:rPr>
                <w:rFonts w:hint="eastAsia" w:ascii="宋体" w:hAnsi="宋体" w:cs="宋体"/>
                <w:color w:val="auto"/>
                <w:szCs w:val="21"/>
                <w:lang w:eastAsia="zh-CN"/>
              </w:rPr>
              <w:t>工程结算审核</w:t>
            </w:r>
            <w:r>
              <w:rPr>
                <w:rFonts w:hint="eastAsia" w:ascii="宋体" w:hAnsi="宋体" w:cs="宋体"/>
                <w:color w:val="auto"/>
                <w:szCs w:val="21"/>
              </w:rPr>
              <w:t>服务方案（满分36分）</w:t>
            </w:r>
          </w:p>
        </w:tc>
        <w:tc>
          <w:tcPr>
            <w:tcW w:w="7987" w:type="dxa"/>
            <w:gridSpan w:val="2"/>
            <w:vAlign w:val="center"/>
          </w:tcPr>
          <w:p>
            <w:pPr>
              <w:tabs>
                <w:tab w:val="left" w:pos="540"/>
              </w:tabs>
              <w:spacing w:line="276"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工程结算审核</w:t>
            </w:r>
            <w:r>
              <w:rPr>
                <w:rFonts w:hint="eastAsia" w:ascii="宋体" w:hAnsi="宋体" w:cs="宋体"/>
                <w:color w:val="auto"/>
                <w:szCs w:val="21"/>
              </w:rPr>
              <w:t>服务方案的拟定较合理，针对性较强，服务范围较完整，方案整体评价较好的得25-36分；</w:t>
            </w:r>
          </w:p>
          <w:p>
            <w:pPr>
              <w:tabs>
                <w:tab w:val="left" w:pos="540"/>
              </w:tabs>
              <w:spacing w:line="276"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工程结算审核</w:t>
            </w:r>
            <w:r>
              <w:rPr>
                <w:rFonts w:hint="eastAsia" w:ascii="宋体" w:hAnsi="宋体" w:cs="宋体"/>
                <w:color w:val="auto"/>
                <w:szCs w:val="21"/>
              </w:rPr>
              <w:t>服务方案的拟定基本合理，针对本项目的可行性一般，服务范围完整，方案整体评价一般的得13-24分；</w:t>
            </w:r>
          </w:p>
          <w:p>
            <w:pPr>
              <w:tabs>
                <w:tab w:val="left" w:pos="540"/>
              </w:tabs>
              <w:spacing w:line="276" w:lineRule="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工程结算审核</w:t>
            </w:r>
            <w:r>
              <w:rPr>
                <w:rFonts w:hint="eastAsia" w:ascii="宋体" w:hAnsi="宋体" w:cs="宋体"/>
                <w:color w:val="auto"/>
                <w:szCs w:val="21"/>
              </w:rPr>
              <w:t>服务方案的拟定基本合理，不具针对性，服务范围基本完整，方案整体评价基本响应招标要求的得1-12分；</w:t>
            </w:r>
          </w:p>
          <w:p>
            <w:pPr>
              <w:spacing w:line="276" w:lineRule="auto"/>
              <w:rPr>
                <w:rFonts w:hint="eastAsia" w:asciiTheme="minorEastAsia" w:hAnsiTheme="minorEastAsia" w:eastAsiaTheme="minorEastAsia" w:cstheme="minorEastAsia"/>
                <w:color w:val="auto"/>
                <w:szCs w:val="21"/>
              </w:rPr>
            </w:pPr>
            <w:r>
              <w:rPr>
                <w:rFonts w:hint="eastAsia" w:ascii="宋体" w:hAnsi="宋体" w:cs="宋体"/>
                <w:color w:val="auto"/>
                <w:szCs w:val="21"/>
              </w:rPr>
              <w:t>4.方案不合理或未作描述得0分。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24" w:type="dxa"/>
            <w:gridSpan w:val="3"/>
            <w:vAlign w:val="center"/>
          </w:tcPr>
          <w:p>
            <w:pPr>
              <w:spacing w:line="276" w:lineRule="auto"/>
              <w:rPr>
                <w:rFonts w:hint="eastAsia" w:ascii="宋体" w:hAnsi="宋体" w:cs="宋体"/>
                <w:color w:val="auto"/>
                <w:szCs w:val="21"/>
              </w:rPr>
            </w:pPr>
            <w:r>
              <w:rPr>
                <w:rFonts w:hint="eastAsia" w:ascii="宋体" w:hAnsi="宋体" w:cs="宋体"/>
                <w:color w:val="auto"/>
                <w:szCs w:val="21"/>
              </w:rPr>
              <w:t>项目目标控制措施评审评分(满分15分)</w:t>
            </w:r>
          </w:p>
          <w:p>
            <w:pPr>
              <w:spacing w:line="276" w:lineRule="auto"/>
              <w:rPr>
                <w:rFonts w:hint="eastAsia" w:asciiTheme="minorEastAsia" w:hAnsiTheme="minorEastAsia" w:eastAsiaTheme="minorEastAsia" w:cstheme="minorEastAsia"/>
                <w:color w:val="auto"/>
                <w:szCs w:val="21"/>
              </w:rPr>
            </w:pPr>
          </w:p>
        </w:tc>
        <w:tc>
          <w:tcPr>
            <w:tcW w:w="7987" w:type="dxa"/>
            <w:gridSpan w:val="2"/>
            <w:vAlign w:val="center"/>
          </w:tcPr>
          <w:p>
            <w:pPr>
              <w:tabs>
                <w:tab w:val="left" w:pos="540"/>
              </w:tabs>
              <w:spacing w:line="276" w:lineRule="auto"/>
              <w:rPr>
                <w:rFonts w:hint="eastAsia" w:ascii="宋体" w:hAnsi="宋体" w:cs="宋体"/>
                <w:b/>
                <w:color w:val="auto"/>
                <w:szCs w:val="21"/>
              </w:rPr>
            </w:pPr>
            <w:r>
              <w:rPr>
                <w:rFonts w:hint="eastAsia" w:ascii="宋体" w:hAnsi="宋体" w:cs="宋体"/>
                <w:b/>
                <w:bCs/>
                <w:color w:val="auto"/>
                <w:szCs w:val="21"/>
              </w:rPr>
              <w:t>1.</w:t>
            </w:r>
            <w:r>
              <w:rPr>
                <w:rFonts w:hint="eastAsia" w:ascii="宋体" w:hAnsi="宋体" w:cs="宋体"/>
                <w:b/>
                <w:bCs/>
                <w:color w:val="auto"/>
                <w:szCs w:val="21"/>
                <w:lang w:eastAsia="zh-CN"/>
              </w:rPr>
              <w:t>工程结算审核</w:t>
            </w:r>
            <w:r>
              <w:rPr>
                <w:rFonts w:hint="eastAsia" w:ascii="宋体" w:hAnsi="宋体" w:cs="宋体"/>
                <w:b/>
                <w:bCs/>
                <w:color w:val="auto"/>
                <w:szCs w:val="21"/>
              </w:rPr>
              <w:t>服务方案</w:t>
            </w:r>
            <w:r>
              <w:rPr>
                <w:rFonts w:hint="eastAsia" w:ascii="宋体" w:hAnsi="宋体" w:cs="宋体"/>
                <w:b/>
                <w:color w:val="auto"/>
                <w:szCs w:val="21"/>
              </w:rPr>
              <w:t>质量承诺及保证措施评审评分（5分）</w:t>
            </w:r>
          </w:p>
          <w:p>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①</w:t>
            </w:r>
            <w:r>
              <w:rPr>
                <w:rFonts w:hint="eastAsia" w:ascii="宋体" w:hAnsi="宋体" w:cs="宋体"/>
                <w:color w:val="auto"/>
                <w:szCs w:val="21"/>
                <w:lang w:eastAsia="zh-CN"/>
              </w:rPr>
              <w:t>工程结算审核</w:t>
            </w:r>
            <w:r>
              <w:rPr>
                <w:rFonts w:hint="eastAsia" w:ascii="宋体" w:hAnsi="宋体" w:cs="宋体"/>
                <w:bCs/>
                <w:color w:val="auto"/>
                <w:szCs w:val="21"/>
              </w:rPr>
              <w:t>服务质量保证体系健全，工作程序清晰，安排科学，保证措施有力，有具体的质量违约责任承诺得4-5分；</w:t>
            </w:r>
          </w:p>
          <w:p>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②</w:t>
            </w:r>
            <w:r>
              <w:rPr>
                <w:rFonts w:hint="eastAsia" w:ascii="宋体" w:hAnsi="宋体" w:cs="宋体"/>
                <w:color w:val="auto"/>
                <w:szCs w:val="21"/>
                <w:lang w:eastAsia="zh-CN"/>
              </w:rPr>
              <w:t>工程结算审核</w:t>
            </w:r>
            <w:r>
              <w:rPr>
                <w:rFonts w:hint="eastAsia" w:ascii="宋体" w:hAnsi="宋体" w:cs="宋体"/>
                <w:color w:val="auto"/>
                <w:szCs w:val="21"/>
              </w:rPr>
              <w:t>服务</w:t>
            </w:r>
            <w:r>
              <w:rPr>
                <w:rFonts w:hint="eastAsia" w:ascii="宋体" w:hAnsi="宋体" w:cs="宋体"/>
                <w:bCs/>
                <w:color w:val="auto"/>
                <w:szCs w:val="21"/>
              </w:rPr>
              <w:t>质量保证体系健全，工作程序清晰，安排基本合理，保证措施基本合理，有质量违约责任承诺但不具体得2-3分；</w:t>
            </w:r>
          </w:p>
          <w:p>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③</w:t>
            </w:r>
            <w:r>
              <w:rPr>
                <w:rFonts w:hint="eastAsia" w:ascii="宋体" w:hAnsi="宋体" w:cs="宋体"/>
                <w:color w:val="auto"/>
                <w:szCs w:val="21"/>
                <w:lang w:eastAsia="zh-CN"/>
              </w:rPr>
              <w:t>工程结算审核</w:t>
            </w:r>
            <w:r>
              <w:rPr>
                <w:rFonts w:hint="eastAsia" w:ascii="宋体" w:hAnsi="宋体" w:cs="宋体"/>
                <w:color w:val="auto"/>
                <w:szCs w:val="21"/>
              </w:rPr>
              <w:t>服务</w:t>
            </w:r>
            <w:r>
              <w:rPr>
                <w:rFonts w:hint="eastAsia" w:ascii="宋体" w:hAnsi="宋体" w:cs="宋体"/>
                <w:bCs/>
                <w:color w:val="auto"/>
                <w:szCs w:val="21"/>
              </w:rPr>
              <w:t>质量保证体系一般，工作程序清晰，安排基本合理，保证措施基本合理，无质量违约责任承诺的得0-1分。</w:t>
            </w:r>
          </w:p>
          <w:p>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b/>
                <w:color w:val="auto"/>
                <w:szCs w:val="21"/>
              </w:rPr>
              <w:t>工作期限承诺及保证措施评审评分（5分</w:t>
            </w:r>
            <w:r>
              <w:rPr>
                <w:rFonts w:hint="eastAsia" w:ascii="宋体" w:hAnsi="宋体" w:cs="宋体"/>
                <w:bCs/>
                <w:color w:val="auto"/>
                <w:szCs w:val="21"/>
              </w:rPr>
              <w:t>）</w:t>
            </w:r>
          </w:p>
          <w:p>
            <w:pPr>
              <w:tabs>
                <w:tab w:val="left" w:pos="540"/>
              </w:tabs>
              <w:spacing w:line="276" w:lineRule="auto"/>
              <w:rPr>
                <w:rFonts w:hint="eastAsia" w:ascii="宋体" w:hAnsi="宋体" w:cs="宋体"/>
                <w:color w:val="auto"/>
                <w:szCs w:val="21"/>
              </w:rPr>
            </w:pPr>
            <w:r>
              <w:rPr>
                <w:rFonts w:hint="eastAsia" w:ascii="宋体" w:hAnsi="宋体" w:cs="宋体"/>
                <w:bCs/>
                <w:color w:val="auto"/>
                <w:szCs w:val="21"/>
              </w:rPr>
              <w:t>①工作完成时限能满足项目要求，对遇到问</w:t>
            </w:r>
            <w:r>
              <w:rPr>
                <w:rFonts w:hint="eastAsia" w:ascii="宋体" w:hAnsi="宋体" w:cs="宋体"/>
                <w:color w:val="auto"/>
                <w:szCs w:val="21"/>
              </w:rPr>
              <w:t>题的响应及解决时限的承诺，有具体的期限违约责任承诺的得满分4-5分；</w:t>
            </w:r>
          </w:p>
          <w:p>
            <w:pPr>
              <w:tabs>
                <w:tab w:val="left" w:pos="540"/>
              </w:tabs>
              <w:spacing w:line="276" w:lineRule="auto"/>
              <w:rPr>
                <w:rFonts w:hint="eastAsia" w:ascii="宋体" w:hAnsi="宋体" w:cs="宋体"/>
                <w:color w:val="auto"/>
                <w:szCs w:val="21"/>
              </w:rPr>
            </w:pPr>
            <w:r>
              <w:rPr>
                <w:rFonts w:hint="eastAsia" w:ascii="宋体" w:hAnsi="宋体" w:cs="宋体"/>
                <w:color w:val="auto"/>
                <w:szCs w:val="21"/>
              </w:rPr>
              <w:t>②工作完成时限能满足项目要求，对遇到问题的响应及解决时限的承诺，有期限违约责任承诺但不具体的得2-3分；</w:t>
            </w:r>
          </w:p>
          <w:p>
            <w:pPr>
              <w:tabs>
                <w:tab w:val="left" w:pos="540"/>
              </w:tabs>
              <w:spacing w:line="276" w:lineRule="auto"/>
              <w:rPr>
                <w:rFonts w:hint="eastAsia" w:asciiTheme="minorEastAsia" w:hAnsiTheme="minorEastAsia" w:eastAsiaTheme="minorEastAsia" w:cstheme="minorEastAsia"/>
                <w:color w:val="auto"/>
              </w:rPr>
            </w:pPr>
            <w:r>
              <w:rPr>
                <w:rFonts w:hint="eastAsia" w:ascii="宋体" w:hAnsi="宋体" w:cs="宋体"/>
                <w:color w:val="auto"/>
                <w:szCs w:val="21"/>
              </w:rPr>
              <w:t>③工作完成时限能满足项目要求，但无对遇到问题的响应及解决时限的承诺，无期限违约责任承诺的得0-1分。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2124" w:type="dxa"/>
            <w:gridSpan w:val="3"/>
            <w:vAlign w:val="center"/>
          </w:tcPr>
          <w:p>
            <w:pPr>
              <w:spacing w:line="276" w:lineRule="auto"/>
              <w:jc w:val="center"/>
              <w:rPr>
                <w:rFonts w:hint="eastAsia" w:ascii="宋体" w:hAnsi="宋体"/>
                <w:color w:val="auto"/>
                <w:szCs w:val="21"/>
              </w:rPr>
            </w:pPr>
            <w:r>
              <w:rPr>
                <w:rFonts w:hint="eastAsia" w:ascii="宋体" w:hAnsi="宋体"/>
                <w:color w:val="auto"/>
                <w:szCs w:val="21"/>
              </w:rPr>
              <w:t>后续服务工作安排及承诺审查评分</w:t>
            </w:r>
          </w:p>
          <w:p>
            <w:pPr>
              <w:spacing w:line="276" w:lineRule="auto"/>
              <w:jc w:val="center"/>
              <w:rPr>
                <w:rFonts w:hint="eastAsia" w:asciiTheme="minorEastAsia" w:hAnsiTheme="minorEastAsia" w:eastAsiaTheme="minorEastAsia" w:cstheme="minorEastAsia"/>
                <w:color w:val="auto"/>
                <w:szCs w:val="21"/>
              </w:rPr>
            </w:pPr>
            <w:r>
              <w:rPr>
                <w:rFonts w:hint="eastAsia" w:ascii="宋体" w:hAnsi="宋体"/>
                <w:color w:val="auto"/>
                <w:szCs w:val="21"/>
              </w:rPr>
              <w:t>（满分5分）</w:t>
            </w:r>
          </w:p>
        </w:tc>
        <w:tc>
          <w:tcPr>
            <w:tcW w:w="7987" w:type="dxa"/>
            <w:gridSpan w:val="2"/>
            <w:vAlign w:val="center"/>
          </w:tcPr>
          <w:p>
            <w:pPr>
              <w:numPr>
                <w:ilvl w:val="0"/>
                <w:numId w:val="5"/>
              </w:numPr>
              <w:spacing w:line="336" w:lineRule="auto"/>
              <w:rPr>
                <w:rFonts w:hint="eastAsia" w:ascii="宋体" w:hAnsi="宋体"/>
                <w:color w:val="auto"/>
                <w:szCs w:val="21"/>
              </w:rPr>
            </w:pPr>
            <w:r>
              <w:rPr>
                <w:rFonts w:hint="eastAsia" w:ascii="宋体" w:hAnsi="宋体"/>
                <w:color w:val="auto"/>
                <w:szCs w:val="21"/>
              </w:rPr>
              <w:t>后续服务工作安排及承诺满足要求，针对性强，保障有力，措施完善切实可靠的得4-5分；</w:t>
            </w:r>
          </w:p>
          <w:p>
            <w:pPr>
              <w:spacing w:line="336" w:lineRule="auto"/>
              <w:rPr>
                <w:rFonts w:hint="eastAsia" w:ascii="宋体" w:hAnsi="宋体"/>
                <w:color w:val="auto"/>
                <w:szCs w:val="21"/>
              </w:rPr>
            </w:pPr>
            <w:r>
              <w:rPr>
                <w:rFonts w:hint="eastAsia" w:ascii="宋体" w:hAnsi="宋体"/>
                <w:color w:val="auto"/>
                <w:szCs w:val="21"/>
              </w:rPr>
              <w:t>2.后续服务工作安排及承诺基本满足要求，保障措施基本完善的得2-3分；</w:t>
            </w:r>
          </w:p>
          <w:p>
            <w:pPr>
              <w:spacing w:line="276" w:lineRule="auto"/>
              <w:rPr>
                <w:rFonts w:hint="eastAsia" w:ascii="宋体" w:hAnsi="宋体" w:cs="宋体"/>
                <w:color w:val="auto"/>
                <w:szCs w:val="21"/>
              </w:rPr>
            </w:pPr>
            <w:r>
              <w:rPr>
                <w:rFonts w:hint="eastAsia" w:ascii="宋体" w:hAnsi="宋体"/>
                <w:color w:val="auto"/>
                <w:szCs w:val="21"/>
              </w:rPr>
              <w:t>3.后续服务工作安排及承诺不满足要求，保障措施不完善的得0-1分。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项目组人员</w:t>
            </w:r>
          </w:p>
          <w:p>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配置</w:t>
            </w:r>
          </w:p>
          <w:p>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（19分）</w:t>
            </w:r>
          </w:p>
        </w:tc>
        <w:tc>
          <w:tcPr>
            <w:tcW w:w="7987" w:type="dxa"/>
            <w:gridSpan w:val="2"/>
            <w:vAlign w:val="center"/>
          </w:tcPr>
          <w:p>
            <w:pPr>
              <w:spacing w:line="336" w:lineRule="auto"/>
              <w:rPr>
                <w:rFonts w:hint="eastAsia" w:ascii="宋体" w:hAnsi="宋体"/>
                <w:b/>
                <w:bCs/>
                <w:color w:val="auto"/>
                <w:szCs w:val="21"/>
              </w:rPr>
            </w:pPr>
            <w:r>
              <w:rPr>
                <w:rFonts w:hint="eastAsia" w:ascii="宋体" w:hAnsi="宋体"/>
                <w:b/>
                <w:bCs/>
                <w:color w:val="auto"/>
                <w:szCs w:val="21"/>
              </w:rPr>
              <w:t>1.项目组其他成员，按以下标准分档赋分（满分</w:t>
            </w:r>
            <w:r>
              <w:rPr>
                <w:rFonts w:hint="eastAsia" w:ascii="宋体" w:hAnsi="宋体"/>
                <w:b/>
                <w:bCs/>
                <w:color w:val="auto"/>
                <w:szCs w:val="21"/>
                <w:lang w:val="en-US" w:eastAsia="zh-CN"/>
              </w:rPr>
              <w:t>19</w:t>
            </w:r>
            <w:r>
              <w:rPr>
                <w:rFonts w:hint="eastAsia" w:ascii="宋体" w:hAnsi="宋体"/>
                <w:b/>
                <w:bCs/>
                <w:color w:val="auto"/>
                <w:szCs w:val="21"/>
              </w:rPr>
              <w:t>分）：</w:t>
            </w:r>
          </w:p>
          <w:p>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拟派的项目管理人员针对本项目实际且专业配置齐全、合理有针对性，能满足本项目管理需要的得14～19分；</w:t>
            </w:r>
          </w:p>
          <w:p>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②</w:t>
            </w:r>
            <w:r>
              <w:rPr>
                <w:rFonts w:hint="eastAsia" w:ascii="宋体" w:hAnsi="宋体" w:cs="宋体"/>
                <w:color w:val="auto"/>
                <w:szCs w:val="21"/>
              </w:rPr>
              <w:t>拟派的项目管理人员配置合理，能满足本项目管理需要，但配置基本齐全、针对性一般的得8～13分；</w:t>
            </w:r>
          </w:p>
          <w:p>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③</w:t>
            </w:r>
            <w:r>
              <w:rPr>
                <w:rFonts w:hint="eastAsia" w:ascii="宋体" w:hAnsi="宋体" w:cs="宋体"/>
                <w:color w:val="auto"/>
                <w:szCs w:val="21"/>
              </w:rPr>
              <w:t>拟派的项目管理人员配置基本合理，基本能满足本项目管理需要，但配置不够齐全的得1-7分；</w:t>
            </w:r>
          </w:p>
          <w:p>
            <w:pPr>
              <w:wordWrap w:val="0"/>
              <w:rPr>
                <w:rFonts w:hint="eastAsia" w:asciiTheme="minorEastAsia" w:hAnsiTheme="minorEastAsia" w:eastAsiaTheme="minorEastAsia" w:cstheme="minorEastAsia"/>
                <w:color w:val="auto"/>
              </w:rPr>
            </w:pPr>
            <w:r>
              <w:rPr>
                <w:rFonts w:hint="eastAsia" w:ascii="汉仪书宋二S" w:hAnsi="汉仪书宋二S" w:eastAsia="汉仪书宋二S" w:cs="汉仪书宋二S"/>
                <w:color w:val="auto"/>
                <w:szCs w:val="21"/>
              </w:rPr>
              <w:t>④</w:t>
            </w:r>
            <w:r>
              <w:rPr>
                <w:rFonts w:hint="eastAsia" w:ascii="宋体" w:hAnsi="宋体" w:cs="宋体"/>
                <w:color w:val="auto"/>
                <w:szCs w:val="21"/>
              </w:rPr>
              <w:t>对项目管理人员没有说明的不得分。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124" w:type="dxa"/>
            <w:gridSpan w:val="3"/>
            <w:vAlign w:val="center"/>
          </w:tcPr>
          <w:p>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近年完成类似</w:t>
            </w:r>
          </w:p>
          <w:p>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项目业绩</w:t>
            </w:r>
          </w:p>
          <w:p>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（10分）</w:t>
            </w:r>
          </w:p>
        </w:tc>
        <w:tc>
          <w:tcPr>
            <w:tcW w:w="7987" w:type="dxa"/>
            <w:gridSpan w:val="2"/>
            <w:vAlign w:val="center"/>
          </w:tcPr>
          <w:p>
            <w:pPr>
              <w:rPr>
                <w:color w:val="auto"/>
                <w:highlight w:val="none"/>
              </w:rPr>
            </w:pPr>
            <w:r>
              <w:rPr>
                <w:rFonts w:hint="eastAsia"/>
                <w:color w:val="auto"/>
                <w:highlight w:val="none"/>
              </w:rPr>
              <w:t>1.提供一项造价咨询类似业绩的得基本分2分。</w:t>
            </w:r>
          </w:p>
          <w:p>
            <w:pPr>
              <w:spacing w:line="420" w:lineRule="exact"/>
              <w:rPr>
                <w:rFonts w:hint="eastAsia" w:asciiTheme="minorEastAsia" w:hAnsiTheme="minorEastAsia" w:eastAsiaTheme="minorEastAsia" w:cstheme="minorEastAsia"/>
                <w:color w:val="auto"/>
                <w:highlight w:val="none"/>
              </w:rPr>
            </w:pPr>
            <w:r>
              <w:rPr>
                <w:rFonts w:hint="eastAsia"/>
                <w:color w:val="auto"/>
                <w:highlight w:val="none"/>
              </w:rPr>
              <w:t>2.供应商每增加一个2019年至今承担过一项</w:t>
            </w:r>
            <w:r>
              <w:rPr>
                <w:rFonts w:hint="eastAsia" w:asciiTheme="minorEastAsia" w:hAnsiTheme="minorEastAsia" w:eastAsiaTheme="minorEastAsia" w:cstheme="minorEastAsia"/>
                <w:color w:val="auto"/>
                <w:highlight w:val="none"/>
              </w:rPr>
              <w:t>项目总投资不少于1亿元以上已完成的</w:t>
            </w:r>
            <w:r>
              <w:rPr>
                <w:rFonts w:hint="eastAsia"/>
                <w:color w:val="auto"/>
                <w:highlight w:val="none"/>
              </w:rPr>
              <w:t>建筑工程造价咨询业绩</w:t>
            </w:r>
            <w:r>
              <w:rPr>
                <w:rFonts w:hint="eastAsia" w:asciiTheme="minorEastAsia" w:hAnsiTheme="minorEastAsia" w:eastAsiaTheme="minorEastAsia" w:cstheme="minorEastAsia"/>
                <w:color w:val="auto"/>
                <w:highlight w:val="none"/>
              </w:rPr>
              <w:t xml:space="preserve">加2分，分数加满8分为止。             </w:t>
            </w:r>
          </w:p>
          <w:p>
            <w:pPr>
              <w:pStyle w:val="5"/>
              <w:numPr>
                <w:ilvl w:val="1"/>
                <w:numId w:val="0"/>
              </w:numPr>
              <w:tabs>
                <w:tab w:val="clear" w:pos="1021"/>
              </w:tabs>
              <w:rPr>
                <w:rFonts w:eastAsiaTheme="minorEastAsia"/>
                <w:color w:val="auto"/>
                <w:highlight w:val="none"/>
              </w:rPr>
            </w:pPr>
            <w:r>
              <w:rPr>
                <w:rFonts w:hint="eastAsia" w:eastAsia="宋体"/>
                <w:bCs/>
                <w:color w:val="auto"/>
                <w:sz w:val="21"/>
                <w:highlight w:val="none"/>
              </w:rPr>
              <w:t>注：以上（1）、（2）两项得分相加为本项最终得分。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11" w:type="dxa"/>
            <w:gridSpan w:val="5"/>
            <w:vAlign w:val="center"/>
          </w:tcPr>
          <w:p>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统计分数原则：以所有磋商小组成员打分的算术平均值为供应商得分（小数点后保留两位）。</w:t>
            </w:r>
          </w:p>
        </w:tc>
      </w:tr>
      <w:bookmarkEnd w:id="298"/>
      <w:bookmarkEnd w:id="299"/>
      <w:bookmarkEnd w:id="300"/>
      <w:bookmarkEnd w:id="301"/>
      <w:bookmarkEnd w:id="302"/>
    </w:tbl>
    <w:p>
      <w:pPr>
        <w:spacing w:line="360" w:lineRule="auto"/>
        <w:rPr>
          <w:rFonts w:hint="eastAsia" w:asciiTheme="minorEastAsia" w:hAnsiTheme="minorEastAsia" w:eastAsiaTheme="minorEastAsia" w:cstheme="minorEastAsia"/>
          <w:szCs w:val="21"/>
        </w:rPr>
      </w:pPr>
      <w:bookmarkStart w:id="303" w:name="_Toc17146_WPSOffice_Level2"/>
      <w:r>
        <w:rPr>
          <w:rFonts w:hint="eastAsia" w:asciiTheme="minorEastAsia" w:hAnsiTheme="minorEastAsia" w:eastAsiaTheme="minorEastAsia" w:cstheme="minorEastAsia"/>
          <w:szCs w:val="21"/>
        </w:rPr>
        <w:br w:type="page"/>
      </w:r>
    </w:p>
    <w:p>
      <w:pPr>
        <w:pStyle w:val="6"/>
        <w:ind w:firstLine="0"/>
        <w:jc w:val="center"/>
        <w:rPr>
          <w:rFonts w:hint="eastAsia" w:asciiTheme="minorEastAsia" w:hAnsiTheme="minorEastAsia" w:eastAsiaTheme="minorEastAsia" w:cstheme="minorEastAsia"/>
        </w:rPr>
      </w:pPr>
      <w:bookmarkStart w:id="304" w:name="_Toc12461"/>
      <w:r>
        <w:rPr>
          <w:rFonts w:hint="eastAsia" w:asciiTheme="minorEastAsia" w:hAnsiTheme="minorEastAsia" w:eastAsiaTheme="minorEastAsia" w:cstheme="minorEastAsia"/>
        </w:rPr>
        <w:t>一、评标方法</w:t>
      </w:r>
      <w:bookmarkEnd w:id="303"/>
      <w:bookmarkEnd w:id="304"/>
    </w:p>
    <w:p>
      <w:pPr>
        <w:pStyle w:val="15"/>
        <w:tabs>
          <w:tab w:val="left" w:pos="540"/>
        </w:tabs>
        <w:adjustRightInd w:val="0"/>
        <w:spacing w:line="360" w:lineRule="auto"/>
        <w:ind w:left="0" w:leftChars="0"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本次评标采用综合评估法。</w:t>
      </w:r>
      <w:r>
        <w:rPr>
          <w:rFonts w:hint="eastAsia" w:asciiTheme="minorEastAsia" w:hAnsiTheme="minorEastAsia" w:eastAsiaTheme="minorEastAsia" w:cstheme="minorEastAsia"/>
          <w:szCs w:val="21"/>
        </w:rPr>
        <w:t>磋商小组将按以下公式计算出各供应商的综合得分，按得分由高到低推荐成交候选人排序；得分相同的，按最后竞标报价由低到高顺序排列；得分且最后竞标报价相同的，按技术部分得分高低顺序排列。</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公式：</w:t>
      </w:r>
      <w:bookmarkStart w:id="305" w:name="_Toc28150_WPSOffice_Level2"/>
      <w:r>
        <w:rPr>
          <w:rFonts w:hint="eastAsia" w:asciiTheme="minorEastAsia" w:hAnsiTheme="minorEastAsia" w:eastAsiaTheme="minorEastAsia" w:cstheme="minorEastAsia"/>
          <w:szCs w:val="21"/>
        </w:rPr>
        <w:t>Z=S+J其中：</w:t>
      </w:r>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Z：指供应商的最终得分；</w:t>
      </w:r>
    </w:p>
    <w:p>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S：指供应商的商务部分得分；</w:t>
      </w:r>
    </w:p>
    <w:p>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J：指供应商的技术部分得分。</w:t>
      </w:r>
    </w:p>
    <w:p>
      <w:pPr>
        <w:pStyle w:val="14"/>
        <w:tabs>
          <w:tab w:val="left" w:pos="2472"/>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1.商务部分得分（满分15分）</w:t>
      </w:r>
      <w:bookmarkEnd w:id="305"/>
    </w:p>
    <w:p>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满足磋商文件要求的</w:t>
      </w:r>
      <w:r>
        <w:rPr>
          <w:rFonts w:hint="eastAsia" w:hAnsi="宋体"/>
          <w:color w:val="auto"/>
          <w:szCs w:val="21"/>
        </w:rPr>
        <w:t>有效竞标报价的最低费率作为评标指标价，供应商的竞标报价等于评标指标价时得15分。其余供应商报价得分统一按以下公式计算：磋商报价得分=（评标指标价/最后磋商报价）*15，保留小数点2位。</w:t>
      </w:r>
    </w:p>
    <w:p>
      <w:pPr>
        <w:adjustRightInd w:val="0"/>
        <w:spacing w:line="360" w:lineRule="auto"/>
        <w:rPr>
          <w:rFonts w:hint="eastAsia" w:asciiTheme="minorEastAsia" w:hAnsiTheme="minorEastAsia" w:eastAsiaTheme="minorEastAsia" w:cstheme="minorEastAsia"/>
          <w:b/>
          <w:bCs/>
          <w:szCs w:val="21"/>
        </w:rPr>
      </w:pPr>
      <w:bookmarkStart w:id="306" w:name="_Toc5047_WPSOffice_Level2"/>
      <w:r>
        <w:rPr>
          <w:rFonts w:hint="eastAsia" w:asciiTheme="minorEastAsia" w:hAnsiTheme="minorEastAsia" w:eastAsiaTheme="minorEastAsia" w:cstheme="minorEastAsia"/>
          <w:b/>
          <w:bCs/>
          <w:szCs w:val="21"/>
        </w:rPr>
        <w:t>2.技术部分得分（满分85分）</w:t>
      </w:r>
      <w:bookmarkEnd w:id="306"/>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根据所提供以及对竞争性磋商文件的响应程度等因素综合打分。</w:t>
      </w:r>
    </w:p>
    <w:p>
      <w:pPr>
        <w:adjustRightInd w:val="0"/>
        <w:spacing w:line="360" w:lineRule="auto"/>
        <w:rPr>
          <w:rFonts w:hint="eastAsia" w:asciiTheme="minorEastAsia" w:hAnsiTheme="minorEastAsia" w:eastAsiaTheme="minorEastAsia" w:cstheme="minorEastAsia"/>
          <w:b/>
          <w:bCs/>
          <w:szCs w:val="21"/>
        </w:rPr>
      </w:pPr>
      <w:bookmarkStart w:id="307" w:name="_Toc2948_WPSOffice_Level2"/>
      <w:r>
        <w:rPr>
          <w:rFonts w:hint="eastAsia" w:asciiTheme="minorEastAsia" w:hAnsiTheme="minorEastAsia" w:eastAsiaTheme="minorEastAsia" w:cstheme="minorEastAsia"/>
          <w:b/>
          <w:bCs/>
          <w:szCs w:val="21"/>
        </w:rPr>
        <w:t>3.统分原则</w:t>
      </w:r>
      <w:bookmarkEnd w:id="307"/>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a、磋商小组应首先对各响应文件进行评审，写出书面意见并按竞争性磋商文件规定分值评分。</w:t>
      </w:r>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b、除竞标报价得分外，其余部分由各磋商小组成员自主评分。</w:t>
      </w:r>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c、统计分数原则：供应商各项评分因素得分为该项因素各磋商小组成员评分的算术平均值（保留小数点后两位）。</w:t>
      </w:r>
    </w:p>
    <w:p>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d、统分办法：以所有磋商小组成员打分的算术平均值为供应商得分（保留小数点后两位）。</w:t>
      </w:r>
      <w:bookmarkStart w:id="308" w:name="_Toc4448_WPSOffice_Level2"/>
    </w:p>
    <w:p>
      <w:pPr>
        <w:pStyle w:val="6"/>
        <w:ind w:firstLine="0"/>
        <w:jc w:val="center"/>
        <w:rPr>
          <w:rFonts w:hint="eastAsia" w:asciiTheme="minorEastAsia" w:hAnsiTheme="minorEastAsia" w:eastAsiaTheme="minorEastAsia" w:cstheme="minorEastAsia"/>
        </w:rPr>
      </w:pPr>
      <w:bookmarkStart w:id="309" w:name="_Toc4716"/>
      <w:r>
        <w:rPr>
          <w:rFonts w:hint="eastAsia" w:asciiTheme="minorEastAsia" w:hAnsiTheme="minorEastAsia" w:eastAsiaTheme="minorEastAsia" w:cstheme="minorEastAsia"/>
        </w:rPr>
        <w:t>二、评审标准</w:t>
      </w:r>
      <w:bookmarkEnd w:id="308"/>
      <w:bookmarkEnd w:id="309"/>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2.1 初步评审标准</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2.1.1资格评审标准：见磋商办法前附表。</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2.1.2符合性评审标准：见磋商办法前附表。</w:t>
      </w:r>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2.2 详细评审标准</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详细评审标准：见磋商办法前附表。</w:t>
      </w:r>
    </w:p>
    <w:p>
      <w:pPr>
        <w:pStyle w:val="6"/>
        <w:ind w:firstLine="0"/>
        <w:jc w:val="center"/>
        <w:rPr>
          <w:rFonts w:hint="eastAsia" w:asciiTheme="minorEastAsia" w:hAnsiTheme="minorEastAsia" w:eastAsiaTheme="minorEastAsia" w:cstheme="minorEastAsia"/>
        </w:rPr>
      </w:pPr>
      <w:bookmarkStart w:id="310" w:name="_Toc862"/>
      <w:r>
        <w:rPr>
          <w:rFonts w:hint="eastAsia" w:asciiTheme="minorEastAsia" w:hAnsiTheme="minorEastAsia" w:eastAsiaTheme="minorEastAsia" w:cstheme="minorEastAsia"/>
        </w:rPr>
        <w:t>三、评标程序</w:t>
      </w:r>
      <w:bookmarkEnd w:id="310"/>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3.1初步评审</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3.1.1磋商小组依据本章第2.1.1项、第2.1.2项规定的标准对响应文件进行初步评审。有一项不符合评审标准的，作废标处理。</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3.1.2供应商有以下情形之一的，其竞标作废标处理：</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（1）串通竞标或弄虚作假或有其他违法行为的；</w:t>
      </w:r>
    </w:p>
    <w:p>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（2）不按磋商小组要求澄清、说明或补正的。</w:t>
      </w:r>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3.2详细评审</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3.2.1磋商小组按本章第2.2款规定的评分因素进行综合评分。</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3.2.2磋商小组发现磋商的报价明显低于其他竞标报价，使得其竞标报价可能低于其成本的，应当要求该供应商作出书面说明并提供相应的证明材料。供应商不能合理说明或者不能提供相应证明材料的，由磋商小组认定该供应商以低于成本报价竞标，其竞标作废标处理。</w:t>
      </w:r>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3.3响应文件的澄清和补正</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3.3.1在评标过程中，磋商小组可以书面形式要求供应商对所提交的响应文件中不明确的内容进行书面澄清或说明，或者对细微偏差进行补正。磋商小组不接受磋商主动提出的澄清、说明或补正。</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3.3.2澄清、说明和补正不得改变响应文件的实质性内容（算术性错误修正的除外）。供应商的书面澄清、说明和补正属于响应文件的组成部分。</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3.3.3磋商小组对供应商提交的澄清、说明或补正有疑问的，可以要求供应商进一步澄清、说明或补正，直至满足磋商小组的要求。</w:t>
      </w:r>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3.4评标结果</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3.4.1磋商小组按总得分由高到低顺序推荐成交候选人，并提出书面评审报告。</w:t>
      </w:r>
    </w:p>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3.4.2采购人根据磋商小组提出的书面评审报告和推荐的成交候选人名单，确定成交供应商。</w:t>
      </w:r>
    </w:p>
    <w:p>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3.5政府采购政策。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3.5.1小型和微型企业价格评分优惠政策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根据《国家统计局关于印发统计上大中小微型企业划分办法的通知》(国统字[2011]75号)、《政府采购促进中小企业发展暂行办法》(财库[2011]181号)和《云南省财政厅关于贯彻落实稳增长开好局政府采购政策措施有关事宜的通知》(云财发电[2016]4号)的规定，对符合条件的小型和微型供应商，在谈判报价评分时给予谈判报价10%的扣除，用扣除后的谈判报价参与谈判报价评分。</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即：评标价=竞标报价×(1-10%)。</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（2）请供应商根据自身情况提供第三方认定机构出具的证明材料，无证明材料的在价格评分时不对谈判报价进行扣除。</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3.5.2监狱企业优惠政策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3.5.3残疾人福利性单位优惠政策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3.5.4优先就近采购本地或本省产品、服务</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同时根据《云南省财政厅关于贯彻落实稳增长开好局政府采购政策措施有关事宜的通知》(云财发电[2016]4号)文件的规定，同质同价优先就近采购本地或本省产品、服务。</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3.5.5同品牌产品不同供应商的处理方式</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3.5.6节能产品及环境标志产品认定</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（2）投标产品属于财政部和国家发改委公布的当期《节能产品政府采购品目清单》中以“★”标注类别的节能产品，供应商需在响应文件中提供节能产品认证证书。</w:t>
      </w:r>
    </w:p>
    <w:p>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财政部、发展改革委、生态环境部、市场监管总局“关于调整优化节能产品、环境标志产品政府采购执行机制的通知财库〔2019〕9号”、“关于印发环境标志产品政府采购品目清单的通知”财库〔2019〕18号及“关于印发节能产品政府采购品目清单的通知”财库〔2019〕19号、市场监管总局关于发布参与实施政府采购节能产品、环境标志产品认证机构名录的公告2019年第16号可通过中国政府采购网（http://www.ccgp.gov.cn/）查阅、下载。</w:t>
      </w:r>
    </w:p>
    <w:p>
      <w:pPr>
        <w:pStyle w:val="14"/>
        <w:tabs>
          <w:tab w:val="left" w:pos="2472"/>
        </w:tabs>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szCs w:val="21"/>
        </w:rPr>
        <w:t>3.6</w:t>
      </w:r>
      <w:r>
        <w:rPr>
          <w:rFonts w:hint="eastAsia" w:asciiTheme="minorEastAsia" w:hAnsiTheme="minorEastAsia" w:eastAsiaTheme="minorEastAsia" w:cstheme="minorEastAsia"/>
          <w:b/>
          <w:bCs/>
          <w:color w:val="auto"/>
          <w:szCs w:val="21"/>
        </w:rPr>
        <w:t>说明</w:t>
      </w:r>
    </w:p>
    <w:p>
      <w:pPr>
        <w:wordWrap w:val="0"/>
        <w:spacing w:line="360" w:lineRule="auto"/>
        <w:ind w:firstLine="420" w:firstLineChars="200"/>
        <w:rPr>
          <w:rFonts w:hint="eastAsia" w:asciiTheme="minorEastAsia" w:hAnsiTheme="minorEastAsia" w:eastAsiaTheme="minorEastAsia" w:cstheme="minorEastAsia"/>
          <w:b/>
          <w:bCs/>
          <w:color w:val="auto"/>
          <w:szCs w:val="21"/>
        </w:rPr>
      </w:pPr>
      <w:bookmarkStart w:id="311" w:name="_Hlk180758029"/>
      <w:r>
        <w:rPr>
          <w:rFonts w:hint="eastAsia" w:asciiTheme="minorEastAsia" w:hAnsiTheme="minorEastAsia" w:eastAsiaTheme="minorEastAsia" w:cstheme="minorEastAsia"/>
          <w:color w:val="auto"/>
          <w:szCs w:val="21"/>
        </w:rPr>
        <w:t>磋商小组否决不合格竞标或者界定为废标后，因有效竞标不足三个，磋商小组认为剩余供应商仍具有竞争力的可视情况继续评审。</w:t>
      </w:r>
    </w:p>
    <w:bookmarkEnd w:id="311"/>
    <w:p>
      <w:pPr>
        <w:widowControl/>
        <w:jc w:val="left"/>
        <w:rPr>
          <w:rFonts w:hint="eastAsia" w:asciiTheme="minorEastAsia" w:hAnsiTheme="minorEastAsia" w:eastAsiaTheme="minorEastAsia" w:cstheme="minorEastAsia"/>
          <w:b/>
          <w:szCs w:val="21"/>
        </w:rPr>
      </w:pPr>
      <w:bookmarkStart w:id="312" w:name="_Toc13128_WPSOffice_Level1"/>
      <w:bookmarkStart w:id="313" w:name="_Toc26945_WPSOffice_Level1"/>
      <w:r>
        <w:rPr>
          <w:rFonts w:hint="eastAsia" w:asciiTheme="minorEastAsia" w:hAnsiTheme="minorEastAsia" w:eastAsiaTheme="minorEastAsia" w:cstheme="minorEastAsia"/>
          <w:b/>
          <w:szCs w:val="21"/>
        </w:rPr>
        <w:br w:type="page"/>
      </w:r>
    </w:p>
    <w:p>
      <w:pPr>
        <w:widowControl/>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附件：废标条件</w:t>
      </w:r>
      <w:bookmarkEnd w:id="312"/>
      <w:bookmarkEnd w:id="313"/>
    </w:p>
    <w:p>
      <w:pPr>
        <w:pStyle w:val="14"/>
        <w:tabs>
          <w:tab w:val="left" w:pos="2472"/>
        </w:tabs>
        <w:spacing w:line="42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1.总则</w:t>
      </w:r>
    </w:p>
    <w:p>
      <w:pPr>
        <w:spacing w:line="420" w:lineRule="exact"/>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废标的全部条件应为本章前附表中2.1.1、2.1.2所包含全部内容，本附件所集中列示的废标条件，是前附表对2.1.2“符合性评审”的补充。</w:t>
      </w:r>
    </w:p>
    <w:p>
      <w:pPr>
        <w:spacing w:line="420" w:lineRule="exact"/>
        <w:rPr>
          <w:rFonts w:hint="eastAsia" w:asciiTheme="minorEastAsia" w:hAnsiTheme="minorEastAsia" w:eastAsiaTheme="minorEastAsia" w:cstheme="minorEastAsia"/>
          <w:b/>
          <w:bCs/>
          <w:szCs w:val="21"/>
        </w:rPr>
      </w:pPr>
      <w:bookmarkStart w:id="314" w:name="_Toc31828_WPSOffice_Level1"/>
      <w:bookmarkStart w:id="315" w:name="_Toc5832_WPSOffice_Level1"/>
      <w:r>
        <w:rPr>
          <w:rFonts w:hint="eastAsia" w:asciiTheme="minorEastAsia" w:hAnsiTheme="minorEastAsia" w:eastAsiaTheme="minorEastAsia" w:cstheme="minorEastAsia"/>
          <w:b/>
          <w:bCs/>
          <w:szCs w:val="21"/>
        </w:rPr>
        <w:t>2．废标条件</w:t>
      </w:r>
      <w:bookmarkEnd w:id="314"/>
      <w:bookmarkEnd w:id="315"/>
    </w:p>
    <w:p>
      <w:pPr>
        <w:spacing w:line="420" w:lineRule="exact"/>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供应商或响应文件有下列情形之一的,其竞标作废标处理：</w:t>
      </w:r>
    </w:p>
    <w:p>
      <w:pPr>
        <w:spacing w:line="420" w:lineRule="exact"/>
        <w:jc w:val="left"/>
        <w:rPr>
          <w:rFonts w:hint="eastAsia" w:asciiTheme="minorEastAsia" w:hAnsiTheme="minorEastAsia" w:eastAsiaTheme="minorEastAsia" w:cstheme="minorEastAsia"/>
          <w:szCs w:val="21"/>
        </w:rPr>
      </w:pPr>
      <w:bookmarkStart w:id="316" w:name="_Toc25562_WPSOffice_Level1"/>
      <w:bookmarkStart w:id="317" w:name="_Toc14514_WPSOffice_Level1"/>
      <w:r>
        <w:rPr>
          <w:rFonts w:hint="eastAsia" w:asciiTheme="minorEastAsia" w:hAnsiTheme="minorEastAsia" w:eastAsiaTheme="minorEastAsia" w:cstheme="minorEastAsia"/>
          <w:szCs w:val="21"/>
        </w:rPr>
        <w:t>2.1 不按磋商小组要求澄清、说明或补正的</w:t>
      </w:r>
      <w:bookmarkEnd w:id="316"/>
      <w:bookmarkEnd w:id="317"/>
      <w:r>
        <w:rPr>
          <w:rFonts w:hint="eastAsia" w:asciiTheme="minorEastAsia" w:hAnsiTheme="minorEastAsia" w:eastAsiaTheme="minorEastAsia" w:cstheme="minorEastAsia"/>
          <w:szCs w:val="21"/>
        </w:rPr>
        <w:t>；</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 在资格评审、符合性评审中，磋商小组认定供应商的竞标不符合磋商办法前附表中规定的任何一项评审标准的；</w:t>
      </w:r>
    </w:p>
    <w:p>
      <w:pPr>
        <w:spacing w:line="420" w:lineRule="exact"/>
        <w:jc w:val="left"/>
        <w:rPr>
          <w:rFonts w:hint="eastAsia" w:asciiTheme="minorEastAsia" w:hAnsiTheme="minorEastAsia" w:eastAsiaTheme="minorEastAsia" w:cstheme="minorEastAsia"/>
          <w:szCs w:val="21"/>
        </w:rPr>
      </w:pPr>
      <w:bookmarkStart w:id="318" w:name="_Toc27897_WPSOffice_Level1"/>
      <w:bookmarkStart w:id="319" w:name="_Toc6244_WPSOffice_Level1"/>
      <w:r>
        <w:rPr>
          <w:rFonts w:hint="eastAsia" w:asciiTheme="minorEastAsia" w:hAnsiTheme="minorEastAsia" w:eastAsiaTheme="minorEastAsia" w:cstheme="minorEastAsia"/>
          <w:szCs w:val="21"/>
        </w:rPr>
        <w:t xml:space="preserve">2.3 </w:t>
      </w:r>
      <w:bookmarkEnd w:id="318"/>
      <w:bookmarkEnd w:id="319"/>
      <w:bookmarkStart w:id="320" w:name="_Toc26864_WPSOffice_Level1"/>
      <w:bookmarkStart w:id="321" w:name="_Toc27832_WPSOffice_Level1"/>
      <w:r>
        <w:rPr>
          <w:rFonts w:hint="eastAsia" w:asciiTheme="minorEastAsia" w:hAnsiTheme="minorEastAsia" w:eastAsiaTheme="minorEastAsia" w:cstheme="minorEastAsia"/>
          <w:szCs w:val="21"/>
        </w:rPr>
        <w:t>响应文件未按竞争性磋商文件的要求加盖公章或盖章、签字的；</w:t>
      </w:r>
      <w:bookmarkEnd w:id="320"/>
      <w:bookmarkEnd w:id="321"/>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 响应文件未按竞争性磋商文件规定的格式填写，内容不全或关键字迹模糊、无法辨认的；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 供应商递交两份或多份内容不同的响应文件，或在一份响应文件中对同一招标项目报有两个或多个报价，且未声明哪一个有效，按竞争性磋商文件规定提交备选竞标方案的除外；</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 按竞争性磋商文件要求提交磋商保证金或提交的保证金有瑕疵的；</w:t>
      </w:r>
    </w:p>
    <w:p>
      <w:pPr>
        <w:spacing w:line="420" w:lineRule="exact"/>
        <w:jc w:val="left"/>
        <w:rPr>
          <w:rFonts w:hint="eastAsia" w:asciiTheme="minorEastAsia" w:hAnsiTheme="minorEastAsia" w:eastAsiaTheme="minorEastAsia" w:cstheme="minorEastAsia"/>
          <w:szCs w:val="21"/>
        </w:rPr>
      </w:pPr>
      <w:bookmarkStart w:id="322" w:name="_Toc10389_WPSOffice_Level1"/>
      <w:bookmarkStart w:id="323" w:name="_Toc19859_WPSOffice_Level1"/>
      <w:r>
        <w:rPr>
          <w:rFonts w:hint="eastAsia" w:asciiTheme="minorEastAsia" w:hAnsiTheme="minorEastAsia" w:eastAsiaTheme="minorEastAsia" w:cstheme="minorEastAsia"/>
          <w:szCs w:val="21"/>
        </w:rPr>
        <w:t>2.7 供应商竞标报价超过最高限价的；</w:t>
      </w:r>
      <w:bookmarkEnd w:id="322"/>
      <w:bookmarkEnd w:id="323"/>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2.8 有下列情形之一的，经磋商小组集体表决后认定，视作串通竞标处理，并依法予以处罚：</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（1）不同供应商的响应文件内容存在非正常一致的；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（2）不同供应商的响应文件两处以上错漏一致的；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（3）不同供应商的竞标报价或者报价组成异常接近或者呈规律性变化的；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（4）不同供应商的响应文件由同一企业或者同一个人编制的；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（5）不同供应商的响应文件载明的项目管理班子成员出现同一人的；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（6）不同供应商的响应文件相互混装的；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（7）不同供应商委托同一人竞标的；</w:t>
      </w:r>
    </w:p>
    <w:p>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（8）不同供应商委托同一人或者注册在同一家企业的人员为其提供竞标咨询、报价、技术咨询（招标项目本身要求采用专有技术的除外）等服务；</w:t>
      </w:r>
    </w:p>
    <w:p>
      <w:pPr>
        <w:spacing w:line="42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（9）磋商小组依法认定的其他串通竞标行为。</w:t>
      </w:r>
    </w:p>
    <w:p>
      <w:pPr>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p>
    <w:p/>
    <w:sectPr>
      <w:footerReference r:id="rId7" w:type="first"/>
      <w:pgSz w:w="11906" w:h="16838"/>
      <w:pgMar w:top="1247" w:right="926" w:bottom="987" w:left="1304" w:header="720" w:footer="720"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2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汉仪书宋二S">
    <w:altName w:val="方正书宋_GBK"/>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23</w:t>
    </w:r>
    <w:r>
      <w:rPr>
        <w:rStyle w:val="25"/>
      </w:rPr>
      <w:fldChar w:fldCharType="end"/>
    </w:r>
  </w:p>
  <w:p>
    <w:pPr>
      <w:pStyle w:val="16"/>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ADMeA1AAAAAMBAAAPAAAAAAAAAAEAIAAAADgAAABk&#10;cnMvZG93bnJldi54bWxQSwECFAAUAAAACACHTuJAbBPMBbsBAABVAwAADgAAAAAAAAABACAAAAA5&#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52A4"/>
    <w:multiLevelType w:val="singleLevel"/>
    <w:tmpl w:val="C59452A4"/>
    <w:lvl w:ilvl="0" w:tentative="0">
      <w:start w:val="5"/>
      <w:numFmt w:val="chineseCounting"/>
      <w:suff w:val="space"/>
      <w:lvlText w:val="第%1章"/>
      <w:lvlJc w:val="left"/>
      <w:rPr>
        <w:rFonts w:hint="eastAsia"/>
      </w:rPr>
    </w:lvl>
  </w:abstractNum>
  <w:abstractNum w:abstractNumId="1">
    <w:nsid w:val="FFF63CBB"/>
    <w:multiLevelType w:val="singleLevel"/>
    <w:tmpl w:val="FFF63CBB"/>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decimal"/>
      <w:pStyle w:val="4"/>
      <w:lvlText w:val="%1"/>
      <w:lvlJc w:val="left"/>
      <w:pPr>
        <w:tabs>
          <w:tab w:val="left" w:pos="360"/>
        </w:tabs>
        <w:ind w:left="284" w:hanging="284"/>
      </w:pPr>
      <w:rPr>
        <w:rFonts w:hint="default" w:ascii="Times New Roman" w:hAnsi="Times New Roman"/>
        <w:b/>
        <w:i w:val="0"/>
        <w:sz w:val="28"/>
      </w:rPr>
    </w:lvl>
    <w:lvl w:ilvl="1" w:tentative="0">
      <w:start w:val="1"/>
      <w:numFmt w:val="decimal"/>
      <w:pStyle w:val="5"/>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000000B"/>
    <w:multiLevelType w:val="multilevel"/>
    <w:tmpl w:val="0000000B"/>
    <w:lvl w:ilvl="0" w:tentative="0">
      <w:start w:val="1"/>
      <w:numFmt w:val="decimal"/>
      <w:suff w:val="nothing"/>
      <w:lvlText w:val="%1、"/>
      <w:lvlJc w:val="left"/>
      <w:pPr>
        <w:ind w:left="1146" w:hanging="720"/>
      </w:pPr>
      <w:rPr>
        <w:rFonts w:hint="default"/>
        <w:b w:val="0"/>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4">
    <w:nsid w:val="1C08A6BF"/>
    <w:multiLevelType w:val="singleLevel"/>
    <w:tmpl w:val="1C08A6BF"/>
    <w:lvl w:ilvl="0" w:tentative="0">
      <w:start w:val="5"/>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WNkMTVlYzE1ZmI5ZDY4MDQ4NmU0MmUwZmI5ZjEifQ=="/>
  </w:docVars>
  <w:rsids>
    <w:rsidRoot w:val="63F443F0"/>
    <w:rsid w:val="000D5F59"/>
    <w:rsid w:val="001C0CA1"/>
    <w:rsid w:val="0032579E"/>
    <w:rsid w:val="003538BF"/>
    <w:rsid w:val="003C016B"/>
    <w:rsid w:val="00474BA3"/>
    <w:rsid w:val="00795D49"/>
    <w:rsid w:val="00892EE8"/>
    <w:rsid w:val="008D079F"/>
    <w:rsid w:val="00AE5991"/>
    <w:rsid w:val="00CC77EA"/>
    <w:rsid w:val="00E22BB7"/>
    <w:rsid w:val="00E70788"/>
    <w:rsid w:val="00E70B78"/>
    <w:rsid w:val="00E968EB"/>
    <w:rsid w:val="00F15727"/>
    <w:rsid w:val="019A571C"/>
    <w:rsid w:val="032A78B6"/>
    <w:rsid w:val="036D6302"/>
    <w:rsid w:val="03CB5FF9"/>
    <w:rsid w:val="040252B2"/>
    <w:rsid w:val="04A470FD"/>
    <w:rsid w:val="05481060"/>
    <w:rsid w:val="0609751C"/>
    <w:rsid w:val="06E73749"/>
    <w:rsid w:val="0774295E"/>
    <w:rsid w:val="08B967E9"/>
    <w:rsid w:val="0A5E6109"/>
    <w:rsid w:val="0AD00DEC"/>
    <w:rsid w:val="0B126EC8"/>
    <w:rsid w:val="0B183F48"/>
    <w:rsid w:val="0B4C14CD"/>
    <w:rsid w:val="0BAA62B5"/>
    <w:rsid w:val="0C365D0C"/>
    <w:rsid w:val="0D164465"/>
    <w:rsid w:val="0D1F196C"/>
    <w:rsid w:val="0E5979A2"/>
    <w:rsid w:val="0EA72F53"/>
    <w:rsid w:val="0FAC5483"/>
    <w:rsid w:val="14CE11FF"/>
    <w:rsid w:val="152D3ED7"/>
    <w:rsid w:val="153A3EC6"/>
    <w:rsid w:val="15840D14"/>
    <w:rsid w:val="1604556C"/>
    <w:rsid w:val="16526560"/>
    <w:rsid w:val="178368FC"/>
    <w:rsid w:val="182551EC"/>
    <w:rsid w:val="19DB5AAF"/>
    <w:rsid w:val="1BE57CA2"/>
    <w:rsid w:val="1BEDDA3E"/>
    <w:rsid w:val="1D912EDA"/>
    <w:rsid w:val="1DA477E7"/>
    <w:rsid w:val="1E332003"/>
    <w:rsid w:val="1F516770"/>
    <w:rsid w:val="1FBF40E8"/>
    <w:rsid w:val="2035007D"/>
    <w:rsid w:val="21066F5A"/>
    <w:rsid w:val="214C4EA3"/>
    <w:rsid w:val="216220F9"/>
    <w:rsid w:val="21F67EA7"/>
    <w:rsid w:val="226B0D0E"/>
    <w:rsid w:val="228C7420"/>
    <w:rsid w:val="23FC3FAF"/>
    <w:rsid w:val="267BAAAA"/>
    <w:rsid w:val="270332F7"/>
    <w:rsid w:val="284B6176"/>
    <w:rsid w:val="2A8E65DF"/>
    <w:rsid w:val="2AB729DE"/>
    <w:rsid w:val="2B653EBD"/>
    <w:rsid w:val="2C0916B1"/>
    <w:rsid w:val="2C425F83"/>
    <w:rsid w:val="2CA376BD"/>
    <w:rsid w:val="2DB60278"/>
    <w:rsid w:val="2DEB5D20"/>
    <w:rsid w:val="2F3F5844"/>
    <w:rsid w:val="31946A67"/>
    <w:rsid w:val="322B25CE"/>
    <w:rsid w:val="339053F8"/>
    <w:rsid w:val="33F02ADA"/>
    <w:rsid w:val="34C220D6"/>
    <w:rsid w:val="355A1A9C"/>
    <w:rsid w:val="35F75762"/>
    <w:rsid w:val="36421EA9"/>
    <w:rsid w:val="367641D6"/>
    <w:rsid w:val="36ED0417"/>
    <w:rsid w:val="37C76324"/>
    <w:rsid w:val="38703874"/>
    <w:rsid w:val="394A4610"/>
    <w:rsid w:val="39F350B4"/>
    <w:rsid w:val="3AD9074E"/>
    <w:rsid w:val="3B05438E"/>
    <w:rsid w:val="3B17A4A3"/>
    <w:rsid w:val="3BBF1E23"/>
    <w:rsid w:val="3BEB7932"/>
    <w:rsid w:val="3C853439"/>
    <w:rsid w:val="3D1710DD"/>
    <w:rsid w:val="3D233D4A"/>
    <w:rsid w:val="3DDC704A"/>
    <w:rsid w:val="3EA67428"/>
    <w:rsid w:val="3EBE0A5C"/>
    <w:rsid w:val="3F82276A"/>
    <w:rsid w:val="3F926CA3"/>
    <w:rsid w:val="3F931965"/>
    <w:rsid w:val="3F980BD8"/>
    <w:rsid w:val="3FC205B8"/>
    <w:rsid w:val="40B40A9F"/>
    <w:rsid w:val="42201D32"/>
    <w:rsid w:val="436205B2"/>
    <w:rsid w:val="43D64D21"/>
    <w:rsid w:val="43E87C8F"/>
    <w:rsid w:val="44DA134B"/>
    <w:rsid w:val="451F49E7"/>
    <w:rsid w:val="455C4542"/>
    <w:rsid w:val="45D15EEE"/>
    <w:rsid w:val="46AC6FC5"/>
    <w:rsid w:val="482C45B3"/>
    <w:rsid w:val="484E4A17"/>
    <w:rsid w:val="48BB46DC"/>
    <w:rsid w:val="48C266D9"/>
    <w:rsid w:val="4ADFEE62"/>
    <w:rsid w:val="4AE051E1"/>
    <w:rsid w:val="4B2D2644"/>
    <w:rsid w:val="4C95589D"/>
    <w:rsid w:val="4CE94E79"/>
    <w:rsid w:val="4CF50B1D"/>
    <w:rsid w:val="4DB7191D"/>
    <w:rsid w:val="4DF268EC"/>
    <w:rsid w:val="4F0533D3"/>
    <w:rsid w:val="4FD56C5C"/>
    <w:rsid w:val="4FDB18A2"/>
    <w:rsid w:val="50721AD2"/>
    <w:rsid w:val="50877CC5"/>
    <w:rsid w:val="50B41E3A"/>
    <w:rsid w:val="5130776C"/>
    <w:rsid w:val="5155768C"/>
    <w:rsid w:val="52212469"/>
    <w:rsid w:val="52B9584D"/>
    <w:rsid w:val="533D3D6E"/>
    <w:rsid w:val="53656BCB"/>
    <w:rsid w:val="53AD0722"/>
    <w:rsid w:val="53FE9C73"/>
    <w:rsid w:val="540741D9"/>
    <w:rsid w:val="54F501BC"/>
    <w:rsid w:val="552A18DB"/>
    <w:rsid w:val="560660F0"/>
    <w:rsid w:val="563B7EA5"/>
    <w:rsid w:val="571A19DF"/>
    <w:rsid w:val="57295F3F"/>
    <w:rsid w:val="574BE583"/>
    <w:rsid w:val="57E20FF4"/>
    <w:rsid w:val="57F7ABFA"/>
    <w:rsid w:val="58D546CF"/>
    <w:rsid w:val="598B44BB"/>
    <w:rsid w:val="5A027BFC"/>
    <w:rsid w:val="5AD4211A"/>
    <w:rsid w:val="5AFF3461"/>
    <w:rsid w:val="5B4E3DAC"/>
    <w:rsid w:val="5B7E4DD5"/>
    <w:rsid w:val="5B96362C"/>
    <w:rsid w:val="5BBB7116"/>
    <w:rsid w:val="5C173081"/>
    <w:rsid w:val="5C664806"/>
    <w:rsid w:val="5DB50850"/>
    <w:rsid w:val="5DDE6D80"/>
    <w:rsid w:val="5DFF71B6"/>
    <w:rsid w:val="5EF10349"/>
    <w:rsid w:val="5F570833"/>
    <w:rsid w:val="5F7DD439"/>
    <w:rsid w:val="5FDB865F"/>
    <w:rsid w:val="5FEFA02C"/>
    <w:rsid w:val="5FFD227F"/>
    <w:rsid w:val="5FFE28D0"/>
    <w:rsid w:val="63F443F0"/>
    <w:rsid w:val="644659A9"/>
    <w:rsid w:val="67652155"/>
    <w:rsid w:val="678024D5"/>
    <w:rsid w:val="696E33A0"/>
    <w:rsid w:val="6976179E"/>
    <w:rsid w:val="69C23AF7"/>
    <w:rsid w:val="6A151A97"/>
    <w:rsid w:val="6BAF58E4"/>
    <w:rsid w:val="6BB31A60"/>
    <w:rsid w:val="6BC71F31"/>
    <w:rsid w:val="6BE6BE2B"/>
    <w:rsid w:val="6DFA0494"/>
    <w:rsid w:val="6E460223"/>
    <w:rsid w:val="6EF762B0"/>
    <w:rsid w:val="6F3FEC0B"/>
    <w:rsid w:val="6FFBF770"/>
    <w:rsid w:val="6FFE6CF7"/>
    <w:rsid w:val="6FFFD6E8"/>
    <w:rsid w:val="713C6D66"/>
    <w:rsid w:val="71996D5C"/>
    <w:rsid w:val="7258372B"/>
    <w:rsid w:val="727F10BD"/>
    <w:rsid w:val="729D51FA"/>
    <w:rsid w:val="72D90738"/>
    <w:rsid w:val="733633BC"/>
    <w:rsid w:val="73D80FE9"/>
    <w:rsid w:val="74D42258"/>
    <w:rsid w:val="753151BA"/>
    <w:rsid w:val="75DB2B3B"/>
    <w:rsid w:val="761F3407"/>
    <w:rsid w:val="763D4BF2"/>
    <w:rsid w:val="76774653"/>
    <w:rsid w:val="76E4B032"/>
    <w:rsid w:val="76FF2136"/>
    <w:rsid w:val="77DB7DB9"/>
    <w:rsid w:val="77DDBDEB"/>
    <w:rsid w:val="78246F73"/>
    <w:rsid w:val="788A6348"/>
    <w:rsid w:val="78F25CFC"/>
    <w:rsid w:val="79EC7139"/>
    <w:rsid w:val="7A2B3D10"/>
    <w:rsid w:val="7ADE763F"/>
    <w:rsid w:val="7ADF3306"/>
    <w:rsid w:val="7AE5091F"/>
    <w:rsid w:val="7B67D25D"/>
    <w:rsid w:val="7B6966C1"/>
    <w:rsid w:val="7BB7D4AA"/>
    <w:rsid w:val="7BBF4904"/>
    <w:rsid w:val="7BE63DA7"/>
    <w:rsid w:val="7BEF7175"/>
    <w:rsid w:val="7BF9FFFE"/>
    <w:rsid w:val="7BFF5E81"/>
    <w:rsid w:val="7C6418FF"/>
    <w:rsid w:val="7CDF057F"/>
    <w:rsid w:val="7CE73FB5"/>
    <w:rsid w:val="7CFD40DE"/>
    <w:rsid w:val="7D342ADF"/>
    <w:rsid w:val="7D9C761A"/>
    <w:rsid w:val="7DCF145E"/>
    <w:rsid w:val="7DCFEDE9"/>
    <w:rsid w:val="7E352493"/>
    <w:rsid w:val="7E7D2B9B"/>
    <w:rsid w:val="7E9B59D8"/>
    <w:rsid w:val="7EAB598E"/>
    <w:rsid w:val="7F4D213E"/>
    <w:rsid w:val="7F9E2872"/>
    <w:rsid w:val="7FBF43C8"/>
    <w:rsid w:val="7FBFFF53"/>
    <w:rsid w:val="7FD681E8"/>
    <w:rsid w:val="7FEFC6F9"/>
    <w:rsid w:val="7FFD900D"/>
    <w:rsid w:val="832F3F69"/>
    <w:rsid w:val="9B5B4191"/>
    <w:rsid w:val="9B6F428E"/>
    <w:rsid w:val="9F6F1361"/>
    <w:rsid w:val="9F7DD94A"/>
    <w:rsid w:val="AEEF54DF"/>
    <w:rsid w:val="AFF53AC2"/>
    <w:rsid w:val="AFF5EDC8"/>
    <w:rsid w:val="B5B49678"/>
    <w:rsid w:val="B75EA316"/>
    <w:rsid w:val="B7F7F270"/>
    <w:rsid w:val="B7FE0EF9"/>
    <w:rsid w:val="B7FECE93"/>
    <w:rsid w:val="BABF6015"/>
    <w:rsid w:val="BBFF82F3"/>
    <w:rsid w:val="BCAF2757"/>
    <w:rsid w:val="BD9F05F3"/>
    <w:rsid w:val="BDBBFBF6"/>
    <w:rsid w:val="BEE7CE88"/>
    <w:rsid w:val="BEFC49D7"/>
    <w:rsid w:val="BEFF7886"/>
    <w:rsid w:val="BF3B9DC1"/>
    <w:rsid w:val="C7EF0ACC"/>
    <w:rsid w:val="CAFF25D5"/>
    <w:rsid w:val="CF783378"/>
    <w:rsid w:val="CFB5D3C9"/>
    <w:rsid w:val="CFFC5CB2"/>
    <w:rsid w:val="CFFFBB9B"/>
    <w:rsid w:val="D2FF0B01"/>
    <w:rsid w:val="DBFF34BD"/>
    <w:rsid w:val="DD7CB158"/>
    <w:rsid w:val="DEEF45E8"/>
    <w:rsid w:val="DEF68401"/>
    <w:rsid w:val="DF6260D6"/>
    <w:rsid w:val="DFBEEF02"/>
    <w:rsid w:val="E3FF4ECB"/>
    <w:rsid w:val="E57F9123"/>
    <w:rsid w:val="EAEF252A"/>
    <w:rsid w:val="ECFE4CED"/>
    <w:rsid w:val="EED9E78F"/>
    <w:rsid w:val="EF3E732C"/>
    <w:rsid w:val="EF6E7A61"/>
    <w:rsid w:val="EFD5ED28"/>
    <w:rsid w:val="EFF27E23"/>
    <w:rsid w:val="EFF39C54"/>
    <w:rsid w:val="EFF70337"/>
    <w:rsid w:val="EFFB534C"/>
    <w:rsid w:val="EFFFA271"/>
    <w:rsid w:val="F37F03F1"/>
    <w:rsid w:val="F4F9F580"/>
    <w:rsid w:val="F67742CF"/>
    <w:rsid w:val="F6FBBD4B"/>
    <w:rsid w:val="F77FF811"/>
    <w:rsid w:val="F7FE8725"/>
    <w:rsid w:val="F7FF155D"/>
    <w:rsid w:val="F7FFAB5E"/>
    <w:rsid w:val="F89F22D2"/>
    <w:rsid w:val="FAEBB61A"/>
    <w:rsid w:val="FB1B7648"/>
    <w:rsid w:val="FB6F3696"/>
    <w:rsid w:val="FBDFD691"/>
    <w:rsid w:val="FBF76A19"/>
    <w:rsid w:val="FDE73626"/>
    <w:rsid w:val="FDF51F48"/>
    <w:rsid w:val="FDFEA6A6"/>
    <w:rsid w:val="FEB559A9"/>
    <w:rsid w:val="FF5CF62F"/>
    <w:rsid w:val="FF7D9E13"/>
    <w:rsid w:val="FFBC77E5"/>
    <w:rsid w:val="FFCF48FA"/>
    <w:rsid w:val="FFDE7BED"/>
    <w:rsid w:val="FFEF0585"/>
    <w:rsid w:val="FFFE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numPr>
        <w:ilvl w:val="0"/>
        <w:numId w:val="1"/>
      </w:numPr>
      <w:adjustRightInd w:val="0"/>
      <w:spacing w:line="360" w:lineRule="auto"/>
      <w:textAlignment w:val="baseline"/>
      <w:outlineLvl w:val="0"/>
    </w:pPr>
    <w:rPr>
      <w:rFonts w:eastAsia="黑体"/>
      <w:b/>
      <w:kern w:val="44"/>
      <w:sz w:val="28"/>
    </w:rPr>
  </w:style>
  <w:style w:type="paragraph" w:styleId="5">
    <w:name w:val="heading 2"/>
    <w:basedOn w:val="1"/>
    <w:next w:val="1"/>
    <w:qFormat/>
    <w:uiPriority w:val="0"/>
    <w:pPr>
      <w:keepNext/>
      <w:numPr>
        <w:ilvl w:val="1"/>
        <w:numId w:val="1"/>
      </w:numPr>
      <w:tabs>
        <w:tab w:val="left" w:pos="360"/>
      </w:tabs>
      <w:adjustRightInd w:val="0"/>
      <w:spacing w:line="360" w:lineRule="auto"/>
      <w:textAlignment w:val="baseline"/>
      <w:outlineLvl w:val="1"/>
    </w:pPr>
    <w:rPr>
      <w:rFonts w:eastAsia="黑体"/>
      <w:b/>
      <w:sz w:val="28"/>
    </w:rPr>
  </w:style>
  <w:style w:type="paragraph" w:styleId="6">
    <w:name w:val="heading 3"/>
    <w:basedOn w:val="1"/>
    <w:next w:val="1"/>
    <w:qFormat/>
    <w:uiPriority w:val="0"/>
    <w:pPr>
      <w:keepNext/>
      <w:keepLines/>
      <w:spacing w:before="60" w:after="60" w:line="400" w:lineRule="exact"/>
      <w:ind w:firstLine="510"/>
      <w:outlineLvl w:val="2"/>
    </w:pPr>
    <w:rPr>
      <w:rFonts w:ascii="宋体" w:cs="宋体"/>
      <w:b/>
      <w:bCs/>
      <w:sz w:val="24"/>
    </w:rPr>
  </w:style>
  <w:style w:type="paragraph" w:styleId="7">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99"/>
    <w:pPr>
      <w:kinsoku w:val="0"/>
      <w:wordWrap w:val="0"/>
      <w:overflowPunct w:val="0"/>
      <w:autoSpaceDE w:val="0"/>
      <w:autoSpaceDN w:val="0"/>
      <w:spacing w:line="240" w:lineRule="exact"/>
      <w:textAlignment w:val="top"/>
    </w:pPr>
    <w:rPr>
      <w:sz w:val="15"/>
    </w:rPr>
  </w:style>
  <w:style w:type="paragraph" w:customStyle="1" w:styleId="3">
    <w:name w:val="Normal_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Normal Indent"/>
    <w:basedOn w:val="1"/>
    <w:next w:val="1"/>
    <w:qFormat/>
    <w:uiPriority w:val="0"/>
    <w:pPr>
      <w:widowControl/>
      <w:ind w:firstLine="420"/>
      <w:jc w:val="left"/>
    </w:pPr>
    <w:rPr>
      <w:kern w:val="0"/>
      <w:sz w:val="20"/>
      <w:szCs w:val="20"/>
    </w:rPr>
  </w:style>
  <w:style w:type="paragraph" w:styleId="10">
    <w:name w:val="annotation text"/>
    <w:basedOn w:val="1"/>
    <w:link w:val="34"/>
    <w:qFormat/>
    <w:uiPriority w:val="0"/>
    <w:pPr>
      <w:jc w:val="left"/>
    </w:pPr>
  </w:style>
  <w:style w:type="paragraph" w:styleId="11">
    <w:name w:val="Body Text Indent"/>
    <w:basedOn w:val="1"/>
    <w:next w:val="1"/>
    <w:qFormat/>
    <w:uiPriority w:val="99"/>
    <w:pPr>
      <w:spacing w:after="120"/>
      <w:ind w:left="420" w:leftChars="200"/>
    </w:pPr>
  </w:style>
  <w:style w:type="paragraph" w:styleId="12">
    <w:name w:val="toc 5"/>
    <w:basedOn w:val="1"/>
    <w:next w:val="1"/>
    <w:unhideWhenUsed/>
    <w:qFormat/>
    <w:uiPriority w:val="39"/>
    <w:pPr>
      <w:ind w:left="840"/>
      <w:jc w:val="left"/>
    </w:pPr>
    <w:rPr>
      <w:rFonts w:ascii="Calibri" w:hAnsi="Calibri" w:cs="Calibri"/>
      <w:sz w:val="18"/>
      <w:szCs w:val="18"/>
    </w:rPr>
  </w:style>
  <w:style w:type="paragraph" w:styleId="13">
    <w:name w:val="toc 3"/>
    <w:basedOn w:val="1"/>
    <w:next w:val="1"/>
    <w:qFormat/>
    <w:uiPriority w:val="39"/>
    <w:pPr>
      <w:ind w:left="840" w:leftChars="400"/>
    </w:pPr>
  </w:style>
  <w:style w:type="paragraph" w:styleId="14">
    <w:name w:val="Plain Text"/>
    <w:basedOn w:val="1"/>
    <w:next w:val="1"/>
    <w:qFormat/>
    <w:uiPriority w:val="99"/>
    <w:rPr>
      <w:rFonts w:ascii="宋体"/>
    </w:rPr>
  </w:style>
  <w:style w:type="paragraph" w:styleId="15">
    <w:name w:val="Body Text Indent 2"/>
    <w:basedOn w:val="1"/>
    <w:next w:val="1"/>
    <w:qFormat/>
    <w:uiPriority w:val="0"/>
    <w:pPr>
      <w:spacing w:line="480" w:lineRule="auto"/>
      <w:ind w:left="200" w:leftChars="200"/>
    </w:pPr>
  </w:style>
  <w:style w:type="paragraph" w:styleId="16">
    <w:name w:val="footer"/>
    <w:basedOn w:val="1"/>
    <w:qFormat/>
    <w:uiPriority w:val="99"/>
    <w:pPr>
      <w:tabs>
        <w:tab w:val="center" w:pos="4153"/>
        <w:tab w:val="right" w:pos="8306"/>
      </w:tabs>
      <w:snapToGrid w:val="0"/>
      <w:jc w:val="left"/>
    </w:pPr>
    <w:rPr>
      <w:rFonts w:ascii="宋体"/>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628"/>
      </w:tabs>
      <w:spacing w:line="400" w:lineRule="exact"/>
      <w:ind w:firstLine="149" w:firstLineChars="74"/>
      <w:jc w:val="left"/>
    </w:pPr>
    <w:rPr>
      <w:b/>
      <w:bCs/>
      <w:caps/>
      <w:sz w:val="20"/>
      <w:szCs w:val="20"/>
    </w:rPr>
  </w:style>
  <w:style w:type="paragraph" w:styleId="19">
    <w:name w:val="Normal (Web)"/>
    <w:basedOn w:val="1"/>
    <w:qFormat/>
    <w:uiPriority w:val="99"/>
    <w:pPr>
      <w:jc w:val="left"/>
    </w:pPr>
    <w:rPr>
      <w:kern w:val="0"/>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10"/>
    <w:next w:val="10"/>
    <w:link w:val="35"/>
    <w:qFormat/>
    <w:uiPriority w:val="0"/>
    <w:rPr>
      <w:b/>
      <w:bCs/>
    </w:rPr>
  </w:style>
  <w:style w:type="paragraph" w:styleId="22">
    <w:name w:val="Body Text First Indent 2"/>
    <w:basedOn w:val="11"/>
    <w:next w:val="1"/>
    <w:qFormat/>
    <w:uiPriority w:val="0"/>
    <w:pPr>
      <w:ind w:firstLine="420" w:firstLineChars="200"/>
    </w:pPr>
  </w:style>
  <w:style w:type="character" w:styleId="25">
    <w:name w:val="page number"/>
    <w:qFormat/>
    <w:uiPriority w:val="99"/>
  </w:style>
  <w:style w:type="character" w:styleId="26">
    <w:name w:val="annotation reference"/>
    <w:basedOn w:val="24"/>
    <w:qFormat/>
    <w:uiPriority w:val="0"/>
    <w:rPr>
      <w:sz w:val="21"/>
      <w:szCs w:val="21"/>
    </w:rPr>
  </w:style>
  <w:style w:type="paragraph" w:customStyle="1" w:styleId="27">
    <w:name w:val="TOC 标题1"/>
    <w:basedOn w:val="4"/>
    <w:next w:val="1"/>
    <w:unhideWhenUsed/>
    <w:qFormat/>
    <w:uiPriority w:val="9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color w:val="2E54A1" w:themeColor="accent1" w:themeShade="BF"/>
      <w:kern w:val="0"/>
      <w:sz w:val="32"/>
      <w:szCs w:val="32"/>
    </w:rPr>
  </w:style>
  <w:style w:type="paragraph" w:customStyle="1" w:styleId="28">
    <w:name w:val="p0"/>
    <w:basedOn w:val="1"/>
    <w:qFormat/>
    <w:uiPriority w:val="0"/>
    <w:pPr>
      <w:widowControl/>
    </w:pPr>
    <w:rPr>
      <w:kern w:val="0"/>
      <w:szCs w:val="21"/>
    </w:rPr>
  </w:style>
  <w:style w:type="paragraph" w:customStyle="1" w:styleId="29">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副标题1"/>
    <w:basedOn w:val="1"/>
    <w:qFormat/>
    <w:uiPriority w:val="99"/>
    <w:pPr>
      <w:ind w:left="142"/>
    </w:pPr>
  </w:style>
  <w:style w:type="paragraph" w:customStyle="1" w:styleId="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2">
    <w:name w:val="Table Paragraph"/>
    <w:basedOn w:val="1"/>
    <w:qFormat/>
    <w:uiPriority w:val="1"/>
    <w:rPr>
      <w:szCs w:val="20"/>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批注文字 字符"/>
    <w:basedOn w:val="24"/>
    <w:link w:val="10"/>
    <w:qFormat/>
    <w:uiPriority w:val="0"/>
    <w:rPr>
      <w:kern w:val="2"/>
      <w:sz w:val="21"/>
      <w:szCs w:val="24"/>
    </w:rPr>
  </w:style>
  <w:style w:type="character" w:customStyle="1" w:styleId="35">
    <w:name w:val="批注主题 字符"/>
    <w:basedOn w:val="34"/>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8483</Words>
  <Characters>9024</Characters>
  <Lines>255</Lines>
  <Paragraphs>71</Paragraphs>
  <TotalTime>23</TotalTime>
  <ScaleCrop>false</ScaleCrop>
  <LinksUpToDate>false</LinksUpToDate>
  <CharactersWithSpaces>9403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2024-11-04T14:28:00Z</dcterms:created>
  <dc:creator>Joke</dc:creator>
  <cp:lastModifiedBy>kmcg</cp:lastModifiedBy>
  <cp:lastPrinted>2024-11-07T09:57:00Z</cp:lastPrinted>
  <dcterms:modified xsi:type="dcterms:W3CDTF">2025-12-05T14:46:16Z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9EF0F76986E64E539613903BF8CA0FB9_13</vt:lpwstr>
  </property>
</Properties>
</file>