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8"/>
          <w:szCs w:val="56"/>
        </w:rPr>
      </w:pPr>
      <w:bookmarkStart w:id="1" w:name="_GoBack"/>
      <w:bookmarkEnd w:id="1"/>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r>
        <w:rPr>
          <w:rFonts w:hint="eastAsia"/>
          <w:b/>
          <w:bCs/>
          <w:sz w:val="48"/>
          <w:szCs w:val="56"/>
        </w:rPr>
        <w:t>呈贡区综治中心AI数字人定制化服务内容及要求</w:t>
      </w: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32"/>
          <w:szCs w:val="40"/>
        </w:rPr>
      </w:pPr>
      <w:r>
        <w:rPr>
          <w:rFonts w:hint="eastAsia"/>
          <w:b/>
          <w:bCs/>
          <w:sz w:val="32"/>
          <w:szCs w:val="40"/>
        </w:rPr>
        <w:t>日期：二〇二五年</w:t>
      </w:r>
    </w:p>
    <w:p>
      <w:pPr>
        <w:rPr>
          <w:b/>
          <w:bCs/>
          <w:sz w:val="32"/>
          <w:szCs w:val="40"/>
        </w:rPr>
      </w:pPr>
    </w:p>
    <w:p>
      <w:pPr>
        <w:pStyle w:val="17"/>
        <w:tabs>
          <w:tab w:val="right" w:leader="dot" w:pos="8306"/>
        </w:tabs>
        <w:jc w:val="center"/>
        <w:rPr>
          <w:b/>
          <w:bCs/>
          <w:sz w:val="32"/>
          <w:szCs w:val="40"/>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pStyle w:val="3"/>
        <w:numPr>
          <w:ilvl w:val="1"/>
          <w:numId w:val="0"/>
        </w:numPr>
        <w:spacing w:before="0" w:beforeLines="0" w:after="0" w:afterLines="0" w:line="560" w:lineRule="exact"/>
        <w:ind w:firstLine="640" w:firstLineChars="200"/>
        <w:jc w:val="both"/>
        <w:rPr>
          <w:rFonts w:ascii="黑体" w:hAnsi="黑体" w:eastAsia="黑体"/>
          <w:b w:val="0"/>
          <w:bCs/>
          <w:sz w:val="32"/>
          <w:szCs w:val="32"/>
        </w:rPr>
      </w:pPr>
      <w:bookmarkStart w:id="0" w:name="_Toc24520"/>
      <w:r>
        <w:rPr>
          <w:rFonts w:hint="eastAsia" w:ascii="黑体" w:hAnsi="黑体" w:eastAsia="黑体"/>
          <w:b w:val="0"/>
          <w:bCs/>
          <w:sz w:val="32"/>
          <w:szCs w:val="32"/>
        </w:rPr>
        <w:t>一、服务需求</w:t>
      </w:r>
      <w:bookmarkEnd w:id="0"/>
    </w:p>
    <w:p>
      <w:pPr>
        <w:pStyle w:val="3"/>
        <w:numPr>
          <w:ilvl w:val="1"/>
          <w:numId w:val="0"/>
        </w:numPr>
        <w:spacing w:before="0" w:beforeLines="0" w:after="0" w:afterLines="0" w:line="560" w:lineRule="exact"/>
        <w:ind w:firstLine="640" w:firstLineChars="200"/>
        <w:jc w:val="both"/>
        <w:rPr>
          <w:rFonts w:hint="eastAsia" w:ascii="楷体_GB2312" w:hAnsi="楷体_GB2312" w:eastAsia="楷体_GB2312" w:cs="楷体_GB2312"/>
          <w:b w:val="0"/>
          <w:kern w:val="2"/>
          <w:sz w:val="32"/>
          <w:szCs w:val="32"/>
        </w:rPr>
      </w:pPr>
      <w:r>
        <w:rPr>
          <w:rFonts w:hint="eastAsia" w:ascii="楷体_GB2312" w:hAnsi="楷体_GB2312" w:eastAsia="楷体_GB2312" w:cs="楷体_GB2312"/>
          <w:b w:val="0"/>
          <w:kern w:val="2"/>
          <w:sz w:val="32"/>
          <w:szCs w:val="32"/>
        </w:rPr>
        <w:t>（一）人机可视化语音交互</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1.</w:t>
      </w:r>
      <w:r>
        <w:rPr>
          <w:rFonts w:hint="eastAsia" w:ascii="仿宋_GB2312" w:hAnsi="仿宋_GB2312" w:eastAsia="仿宋_GB2312" w:cs="仿宋_GB2312"/>
          <w:sz w:val="32"/>
          <w:szCs w:val="32"/>
        </w:rPr>
        <w:t>支持多种人机交互多模态感知，具备人脸识别、触控交互、语音识别等复杂场景多模感知能力，支持多种交流互动形式。实现实时对话、人脸识别、按键对讲、文字交流、语音唤醒等数字人与真人“面对面”实时互动交流场景</w:t>
      </w:r>
      <w:r>
        <w:rPr>
          <w:rFonts w:hint="eastAsia" w:ascii="Times New Roman" w:hAnsi="Times New Roman" w:cs="Times New Roman"/>
          <w:sz w:val="32"/>
          <w:szCs w:val="32"/>
        </w:rPr>
        <w:t>。</w:t>
      </w:r>
    </w:p>
    <w:p>
      <w:pPr>
        <w:pStyle w:val="5"/>
        <w:spacing w:line="560" w:lineRule="exact"/>
        <w:rPr>
          <w:rFonts w:hint="eastAsia" w:ascii="Times New Roman" w:hAnsi="Times New Roman" w:cs="Times New Roman"/>
          <w:sz w:val="32"/>
          <w:szCs w:val="32"/>
        </w:rPr>
      </w:pPr>
      <w:r>
        <w:rPr>
          <w:rFonts w:hint="eastAsia" w:ascii="Times New Roman" w:hAnsi="Times New Roman" w:cs="Times New Roman"/>
          <w:sz w:val="32"/>
          <w:szCs w:val="32"/>
        </w:rPr>
        <w:t>2.支</w:t>
      </w:r>
      <w:r>
        <w:rPr>
          <w:rFonts w:hint="eastAsia" w:ascii="仿宋_GB2312" w:hAnsi="仿宋_GB2312" w:eastAsia="仿宋_GB2312" w:cs="仿宋_GB2312"/>
          <w:sz w:val="32"/>
          <w:szCs w:val="32"/>
        </w:rPr>
        <w:t>持交互形式，增强与用户间的可视化互动，如文字提示、图片展示、播放视频、流程提示、功能菜单等，实现人机可视化语音交互</w:t>
      </w:r>
      <w:r>
        <w:rPr>
          <w:rFonts w:hint="eastAsia" w:ascii="Times New Roman" w:hAnsi="Times New Roman" w:cs="Times New Roman"/>
          <w:sz w:val="32"/>
          <w:szCs w:val="32"/>
        </w:rPr>
        <w:t>；</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3.首页</w:t>
      </w:r>
      <w:r>
        <w:rPr>
          <w:rFonts w:hint="eastAsia" w:ascii="Times New Roman" w:hAnsi="Times New Roman" w:cs="Times New Roman"/>
          <w:sz w:val="32"/>
          <w:szCs w:val="32"/>
        </w:rPr>
        <w:t>提供男女两种数字人形象、动作细节、立体感觉和语音表达高度契合，调用大模型能力，数字人与用户实时语音交流沟通无障碍，搭配使用大屏触控点击双重互动，有效缩短信息沟通路径，让用户在较少时间和步骤内快速获取所需帮助，提高效率；</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4.面向综治业务场景，可根据实际需求自由切换</w:t>
      </w:r>
      <w:r>
        <w:rPr>
          <w:rFonts w:ascii="Times New Roman" w:hAnsi="Times New Roman" w:cs="Times New Roman"/>
          <w:sz w:val="32"/>
          <w:szCs w:val="32"/>
        </w:rPr>
        <w:t>语音或软键盘输入</w:t>
      </w:r>
      <w:r>
        <w:rPr>
          <w:rFonts w:hint="eastAsia" w:ascii="Times New Roman" w:hAnsi="Times New Roman" w:cs="Times New Roman"/>
          <w:sz w:val="32"/>
          <w:szCs w:val="32"/>
        </w:rPr>
        <w:t>互动方式，在提升服务效率、创新</w:t>
      </w:r>
      <w:r>
        <w:rPr>
          <w:rFonts w:hint="eastAsia" w:ascii="Times New Roman" w:hAnsi="Times New Roman" w:cs="Times New Roman"/>
          <w:sz w:val="32"/>
          <w:szCs w:val="32"/>
          <w:lang w:eastAsia="zh-CN"/>
        </w:rPr>
        <w:t>服务</w:t>
      </w:r>
      <w:r>
        <w:rPr>
          <w:rFonts w:hint="eastAsia" w:ascii="Times New Roman" w:hAnsi="Times New Roman" w:cs="Times New Roman"/>
          <w:sz w:val="32"/>
          <w:szCs w:val="32"/>
        </w:rPr>
        <w:t>体验的同时降低综合服务成本，解决关键问题。</w:t>
      </w:r>
    </w:p>
    <w:p>
      <w:pPr>
        <w:pStyle w:val="5"/>
        <w:spacing w:line="560" w:lineRule="exact"/>
        <w:rPr>
          <w:rFonts w:hint="eastAsia" w:ascii="Times New Roman" w:hAnsi="Times New Roman" w:cs="Times New Roman"/>
          <w:sz w:val="32"/>
          <w:szCs w:val="32"/>
        </w:rPr>
      </w:pPr>
      <w:r>
        <w:rPr>
          <w:rFonts w:hint="eastAsia" w:ascii="Times New Roman" w:hAnsi="Times New Roman" w:cs="Times New Roman"/>
          <w:sz w:val="32"/>
          <w:szCs w:val="32"/>
        </w:rPr>
        <w:t>5.由服务提供方对呈贡区综治中心进行深度调研后，收集各部门业务办理流程、政策法规等资料，搭建呈贡综治中心本地化的业务知识库</w:t>
      </w:r>
      <w:r>
        <w:rPr>
          <w:rFonts w:ascii="Times New Roman" w:hAnsi="Times New Roman" w:cs="Times New Roman"/>
          <w:sz w:val="32"/>
          <w:szCs w:val="32"/>
        </w:rPr>
        <w:t>【呈贡综治中心知识库】</w:t>
      </w:r>
      <w:r>
        <w:rPr>
          <w:rFonts w:hint="eastAsia" w:ascii="Times New Roman" w:hAnsi="Times New Roman" w:cs="Times New Roman"/>
          <w:sz w:val="32"/>
          <w:szCs w:val="32"/>
        </w:rPr>
        <w:t>，所有资料由区综治中心和服务提供商共享。</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6</w:t>
      </w:r>
      <w:r>
        <w:rPr>
          <w:rFonts w:hint="eastAsia" w:ascii="Times New Roman" w:hAnsi="Times New Roman" w:cs="Times New Roman"/>
          <w:sz w:val="32"/>
          <w:szCs w:val="32"/>
        </w:rPr>
        <w:t>.支持</w:t>
      </w:r>
      <w:r>
        <w:rPr>
          <w:rFonts w:ascii="Times New Roman" w:hAnsi="Times New Roman" w:cs="Times New Roman"/>
          <w:sz w:val="32"/>
          <w:szCs w:val="32"/>
        </w:rPr>
        <w:t>群众相关法律问题咨询，AI数字人将依托法律语义理解技术，对问题进行智能解析，并优先根据【呈贡综治中心知识库】中检索匹配内容进行精准解答。用户可对回复进行点赞反馈。如未在知识库中找到答案，系统将自动调用</w:t>
      </w:r>
      <w:r>
        <w:rPr>
          <w:rFonts w:hint="eastAsia" w:ascii="Times New Roman" w:hAnsi="Times New Roman" w:cs="Times New Roman"/>
          <w:sz w:val="32"/>
          <w:szCs w:val="32"/>
        </w:rPr>
        <w:t>更高层级的</w:t>
      </w:r>
      <w:r>
        <w:rPr>
          <w:rFonts w:ascii="Times New Roman" w:hAnsi="Times New Roman" w:cs="Times New Roman"/>
          <w:sz w:val="32"/>
          <w:szCs w:val="32"/>
        </w:rPr>
        <w:t>法律服务咨询知识库进行深度检索与分析，提供更专业的法律咨询建议。</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7.</w:t>
      </w:r>
      <w:r>
        <w:rPr>
          <w:rFonts w:ascii="Times New Roman" w:hAnsi="Times New Roman" w:cs="Times New Roman"/>
          <w:sz w:val="32"/>
          <w:szCs w:val="32"/>
        </w:rPr>
        <w:t>若群众对解答仍有疑问，还可智能引导其前往司法服务律师窗口，对接专业法律工作者，形成“AI引导+人工介入”的服务闭环。</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8.</w:t>
      </w:r>
      <w:r>
        <w:rPr>
          <w:rFonts w:ascii="Times New Roman" w:hAnsi="Times New Roman" w:cs="Times New Roman"/>
          <w:sz w:val="32"/>
          <w:szCs w:val="32"/>
        </w:rPr>
        <w:t>支持嵌入辖区范围内综治中心和法律服务机构的信息地图，方便群众及时了解和获取办理指引和办公地点信息，包括人民调解、法律援助、公证、司法鉴定、行政复议、劳动争议、法院诉讼、商事仲裁等信息。</w:t>
      </w:r>
    </w:p>
    <w:p>
      <w:pPr>
        <w:pStyle w:val="3"/>
        <w:numPr>
          <w:ilvl w:val="1"/>
          <w:numId w:val="0"/>
        </w:numPr>
        <w:spacing w:before="0" w:beforeLines="0" w:after="0" w:afterLines="0" w:line="560" w:lineRule="exact"/>
        <w:ind w:firstLine="640" w:firstLineChars="200"/>
        <w:jc w:val="both"/>
        <w:rPr>
          <w:rFonts w:hint="eastAsia" w:ascii="楷体_GB2312" w:hAnsi="楷体_GB2312" w:eastAsia="楷体_GB2312" w:cs="楷体_GB2312"/>
          <w:b w:val="0"/>
          <w:kern w:val="2"/>
          <w:sz w:val="32"/>
          <w:szCs w:val="32"/>
        </w:rPr>
      </w:pPr>
      <w:r>
        <w:rPr>
          <w:rFonts w:hint="eastAsia" w:ascii="楷体_GB2312" w:hAnsi="楷体_GB2312" w:eastAsia="楷体_GB2312" w:cs="楷体_GB2312"/>
          <w:b w:val="0"/>
          <w:kern w:val="2"/>
          <w:sz w:val="32"/>
          <w:szCs w:val="32"/>
        </w:rPr>
        <w:t>（二）智能导引分流</w:t>
      </w:r>
    </w:p>
    <w:p>
      <w:pPr>
        <w:pStyle w:val="5"/>
        <w:spacing w:line="56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1.</w:t>
      </w:r>
      <w:r>
        <w:rPr>
          <w:rFonts w:ascii="Times New Roman" w:hAnsi="Times New Roman" w:cs="Times New Roman"/>
          <w:sz w:val="32"/>
          <w:szCs w:val="32"/>
        </w:rPr>
        <w:t>支持排队叫号功能；</w:t>
      </w:r>
    </w:p>
    <w:p>
      <w:pPr>
        <w:pStyle w:val="5"/>
        <w:spacing w:line="56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2.</w:t>
      </w:r>
      <w:r>
        <w:rPr>
          <w:rFonts w:ascii="Times New Roman" w:hAnsi="Times New Roman" w:cs="Times New Roman"/>
          <w:sz w:val="32"/>
          <w:szCs w:val="32"/>
        </w:rPr>
        <w:t>群众选取需办理的业务后，刷验身份证即可自动读取信息并完成排队；</w:t>
      </w:r>
    </w:p>
    <w:p>
      <w:pPr>
        <w:pStyle w:val="5"/>
        <w:spacing w:line="56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3.</w:t>
      </w:r>
      <w:r>
        <w:rPr>
          <w:rFonts w:ascii="Times New Roman" w:hAnsi="Times New Roman" w:cs="Times New Roman"/>
          <w:sz w:val="32"/>
          <w:szCs w:val="32"/>
        </w:rPr>
        <w:t>预约办理业务排队成功后，数字人将立即播报“您的业务已成功排队，请留意屏幕等候”的提示音。</w:t>
      </w:r>
    </w:p>
    <w:p>
      <w:pPr>
        <w:pStyle w:val="5"/>
        <w:spacing w:line="56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4.</w:t>
      </w:r>
      <w:r>
        <w:rPr>
          <w:rFonts w:ascii="Times New Roman" w:hAnsi="Times New Roman" w:cs="Times New Roman"/>
          <w:sz w:val="32"/>
          <w:szCs w:val="32"/>
        </w:rPr>
        <w:t>云南省社会治安综合治理信息化系统开放接口后，支持将群众反映的诉求纠纷线索，直接导入云南省社会治安综合治理信息化系统流转交办，并支持打印受理业务告知单。</w:t>
      </w:r>
    </w:p>
    <w:p>
      <w:pPr>
        <w:pStyle w:val="5"/>
        <w:spacing w:line="560" w:lineRule="exact"/>
        <w:rPr>
          <w:rFonts w:ascii="Times New Roman" w:hAnsi="Times New Roman" w:cs="Times New Roman"/>
          <w:sz w:val="32"/>
          <w:szCs w:val="32"/>
        </w:rPr>
      </w:pPr>
      <w:r>
        <w:rPr>
          <w:rFonts w:hint="eastAsia" w:ascii="楷体_GB2312" w:hAnsi="楷体_GB2312" w:eastAsia="楷体_GB2312" w:cs="楷体_GB2312"/>
          <w:b w:val="0"/>
          <w:kern w:val="2"/>
          <w:sz w:val="32"/>
          <w:szCs w:val="32"/>
          <w:lang w:val="en-US" w:eastAsia="zh-CN" w:bidi="ar-SA"/>
        </w:rPr>
        <w:t>（三）业务指引</w:t>
      </w:r>
    </w:p>
    <w:p>
      <w:pPr>
        <w:pStyle w:val="5"/>
        <w:spacing w:line="560" w:lineRule="exact"/>
        <w:rPr>
          <w:rFonts w:hint="default" w:ascii="Times New Roman" w:hAnsi="Times New Roman" w:eastAsia="仿宋_GB2312" w:cs="Times New Roman"/>
          <w:color w:val="0F1115"/>
          <w:sz w:val="32"/>
          <w:szCs w:val="32"/>
          <w:shd w:val="clear" w:color="auto" w:fill="FFFFFF"/>
        </w:rPr>
      </w:pPr>
      <w:r>
        <w:rPr>
          <w:rFonts w:hint="eastAsia" w:ascii="Times New Roman" w:hAnsi="Times New Roman" w:cs="Times New Roman"/>
          <w:color w:val="0F1115"/>
          <w:sz w:val="32"/>
          <w:szCs w:val="32"/>
          <w:shd w:val="clear" w:color="auto" w:fill="FFFFFF"/>
        </w:rPr>
        <w:t>1.</w:t>
      </w:r>
      <w:r>
        <w:rPr>
          <w:rFonts w:hint="default" w:ascii="Times New Roman" w:hAnsi="Times New Roman" w:eastAsia="仿宋_GB2312" w:cs="Times New Roman"/>
          <w:color w:val="0F1115"/>
          <w:sz w:val="32"/>
          <w:szCs w:val="32"/>
          <w:shd w:val="clear" w:color="auto" w:fill="FFFFFF"/>
        </w:rPr>
        <w:t>支持围绕区综治中心所有业务，运用大数据与法律知识图谱技术，梳理并形成标准化的“纠纷办理流程指引单”。该指引单将明确各类业务的适用范围、材料准备、核心流程及注意事项，并配套提供规范的材料清单与模板，助力群众“一次办完”，同时保障解纷单位精准、高效地回应诉求，实现“一次办好”。</w:t>
      </w:r>
    </w:p>
    <w:p>
      <w:pPr>
        <w:pStyle w:val="3"/>
        <w:numPr>
          <w:ilvl w:val="1"/>
          <w:numId w:val="0"/>
        </w:numPr>
        <w:spacing w:before="0" w:beforeLines="0" w:after="0" w:afterLines="0" w:line="560" w:lineRule="exact"/>
        <w:ind w:firstLine="640" w:firstLineChars="200"/>
        <w:jc w:val="both"/>
        <w:rPr>
          <w:rFonts w:hint="eastAsia" w:ascii="楷体_GB2312" w:hAnsi="楷体_GB2312" w:eastAsia="楷体_GB2312" w:cs="楷体_GB2312"/>
          <w:b w:val="0"/>
          <w:kern w:val="2"/>
          <w:sz w:val="32"/>
          <w:szCs w:val="32"/>
        </w:rPr>
      </w:pPr>
      <w:r>
        <w:rPr>
          <w:rFonts w:hint="eastAsia" w:ascii="楷体_GB2312" w:hAnsi="楷体_GB2312" w:eastAsia="楷体_GB2312" w:cs="楷体_GB2312"/>
          <w:b w:val="0"/>
          <w:kern w:val="2"/>
          <w:sz w:val="32"/>
          <w:szCs w:val="32"/>
        </w:rPr>
        <w:t>（四）法律法规查询</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1.</w:t>
      </w:r>
      <w:r>
        <w:rPr>
          <w:rFonts w:ascii="Times New Roman" w:hAnsi="Times New Roman" w:cs="Times New Roman"/>
          <w:sz w:val="32"/>
          <w:szCs w:val="32"/>
        </w:rPr>
        <w:t>为群众提供最全、最新的现行的法律法规查询，支持婚姻、继承、交通相关法律法规文件并支持根据本辖区常见纠纷后台上传维护不同纠纷对应的法律法规文件；</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2.</w:t>
      </w:r>
      <w:r>
        <w:rPr>
          <w:rFonts w:ascii="Times New Roman" w:hAnsi="Times New Roman" w:cs="Times New Roman"/>
          <w:sz w:val="32"/>
          <w:szCs w:val="32"/>
        </w:rPr>
        <w:t>支持展示法律法规查询，群众可通过微信扫一扫现场二维码免费查看查询法律法规信息。</w:t>
      </w:r>
    </w:p>
    <w:p>
      <w:pPr>
        <w:pStyle w:val="3"/>
        <w:numPr>
          <w:ilvl w:val="1"/>
          <w:numId w:val="0"/>
        </w:numPr>
        <w:spacing w:before="0" w:beforeLines="0" w:after="0" w:afterLines="0" w:line="560" w:lineRule="exact"/>
        <w:ind w:firstLine="640" w:firstLineChars="200"/>
        <w:jc w:val="both"/>
        <w:rPr>
          <w:rFonts w:hint="eastAsia" w:ascii="楷体_GB2312" w:hAnsi="楷体_GB2312" w:eastAsia="楷体_GB2312" w:cs="楷体_GB2312"/>
          <w:b w:val="0"/>
          <w:kern w:val="2"/>
          <w:sz w:val="32"/>
          <w:szCs w:val="32"/>
        </w:rPr>
      </w:pPr>
      <w:r>
        <w:rPr>
          <w:rFonts w:hint="eastAsia" w:ascii="楷体_GB2312" w:hAnsi="楷体_GB2312" w:eastAsia="楷体_GB2312" w:cs="楷体_GB2312"/>
          <w:b w:val="0"/>
          <w:kern w:val="2"/>
          <w:sz w:val="32"/>
          <w:szCs w:val="32"/>
        </w:rPr>
        <w:t>（五）案例查询与检索</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1.支持综治</w:t>
      </w:r>
      <w:r>
        <w:rPr>
          <w:rFonts w:ascii="Times New Roman" w:hAnsi="Times New Roman" w:cs="Times New Roman"/>
          <w:sz w:val="32"/>
          <w:szCs w:val="32"/>
        </w:rPr>
        <w:t>业务场景下的案例检索需求，案例查询从符合当事人实际情况场景匹配，依托全国法院、检察院内外部的案例数据资源，实现案例检索、组合检索和案情智能分析，以案情为单位，深度关联同一案件不同阶段各种类型文书。</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2.支持类案查询，用户可通过审判程序、案由等内容进行进一步精准查询，实现对同一案件的不同阶段文书的串联。通过案例可查看审查起诉、一审、二审等相关进程的全部案例文书，进行研究分析。</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3.</w:t>
      </w:r>
      <w:r>
        <w:rPr>
          <w:rFonts w:hint="default" w:ascii="Times New Roman" w:hAnsi="Times New Roman" w:eastAsia="仿宋_GB2312" w:cs="Times New Roman"/>
          <w:sz w:val="32"/>
          <w:szCs w:val="32"/>
        </w:rPr>
        <w:t>涵盖最高人民法院效力与指引作用的“公报案例”、“指导案例”纳入，同时加入了“典型案例”、“参阅案例”等案例数据，并能够通过链接跳转多元解纷案例库与人民法院案例库进行查询与检索相关案例，确保所获案例的权威性与指导性</w:t>
      </w:r>
      <w:r>
        <w:rPr>
          <w:rFonts w:ascii="Times New Roman" w:hAnsi="Times New Roman" w:cs="Times New Roman"/>
          <w:sz w:val="32"/>
          <w:szCs w:val="32"/>
        </w:rPr>
        <w:t>。</w:t>
      </w:r>
    </w:p>
    <w:p>
      <w:pPr>
        <w:pStyle w:val="3"/>
        <w:numPr>
          <w:ilvl w:val="1"/>
          <w:numId w:val="0"/>
        </w:numPr>
        <w:spacing w:before="0" w:beforeLines="0" w:after="0" w:afterLines="0" w:line="560" w:lineRule="exact"/>
        <w:ind w:firstLine="640" w:firstLineChars="200"/>
        <w:jc w:val="both"/>
        <w:rPr>
          <w:rFonts w:hint="eastAsia" w:ascii="楷体_GB2312" w:hAnsi="楷体_GB2312" w:eastAsia="楷体_GB2312" w:cs="楷体_GB2312"/>
          <w:b w:val="0"/>
          <w:kern w:val="2"/>
          <w:sz w:val="32"/>
          <w:szCs w:val="32"/>
        </w:rPr>
      </w:pPr>
      <w:r>
        <w:rPr>
          <w:rFonts w:hint="eastAsia" w:ascii="楷体_GB2312" w:hAnsi="楷体_GB2312" w:eastAsia="楷体_GB2312" w:cs="楷体_GB2312"/>
          <w:b w:val="0"/>
          <w:kern w:val="2"/>
          <w:sz w:val="32"/>
          <w:szCs w:val="32"/>
        </w:rPr>
        <w:t>（六）宣传展示</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1.</w:t>
      </w:r>
      <w:r>
        <w:rPr>
          <w:rFonts w:ascii="Times New Roman" w:hAnsi="Times New Roman" w:cs="Times New Roman"/>
          <w:sz w:val="32"/>
          <w:szCs w:val="32"/>
        </w:rPr>
        <w:t>可轮播综治中心及相关入驻单位相关职能等，起到普法宣传、信息公开的作用。</w:t>
      </w:r>
    </w:p>
    <w:p>
      <w:pPr>
        <w:pStyle w:val="3"/>
        <w:numPr>
          <w:ilvl w:val="1"/>
          <w:numId w:val="0"/>
        </w:numPr>
        <w:spacing w:before="0" w:beforeLines="0" w:after="0" w:afterLines="0" w:line="560" w:lineRule="exact"/>
        <w:ind w:firstLine="640" w:firstLineChars="200"/>
        <w:jc w:val="both"/>
        <w:rPr>
          <w:rFonts w:hint="eastAsia" w:ascii="楷体_GB2312" w:hAnsi="楷体_GB2312" w:eastAsia="楷体_GB2312" w:cs="楷体_GB2312"/>
          <w:b w:val="0"/>
          <w:kern w:val="2"/>
          <w:sz w:val="32"/>
          <w:szCs w:val="32"/>
        </w:rPr>
      </w:pPr>
      <w:r>
        <w:rPr>
          <w:rFonts w:hint="eastAsia" w:ascii="楷体_GB2312" w:hAnsi="楷体_GB2312" w:eastAsia="楷体_GB2312" w:cs="楷体_GB2312"/>
          <w:b w:val="0"/>
          <w:kern w:val="2"/>
          <w:sz w:val="32"/>
          <w:szCs w:val="32"/>
        </w:rPr>
        <w:t>（七）文书模板库</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1.</w:t>
      </w:r>
      <w:r>
        <w:rPr>
          <w:rFonts w:ascii="Times New Roman" w:hAnsi="Times New Roman" w:cs="Times New Roman"/>
          <w:sz w:val="32"/>
          <w:szCs w:val="32"/>
        </w:rPr>
        <w:t>提供文书样例、空白模板这种更为简便快捷的文书辅助服务，文书样例及模板支持手机扫码带走。</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2.支持在线查看文书模板，支持扫码打印。</w:t>
      </w:r>
    </w:p>
    <w:p>
      <w:pPr>
        <w:pStyle w:val="3"/>
        <w:numPr>
          <w:ilvl w:val="1"/>
          <w:numId w:val="0"/>
        </w:numPr>
        <w:spacing w:before="0" w:beforeLines="0" w:after="0" w:afterLines="0" w:line="560" w:lineRule="exact"/>
        <w:ind w:firstLine="640" w:firstLineChars="200"/>
        <w:jc w:val="both"/>
        <w:rPr>
          <w:rFonts w:hint="eastAsia" w:ascii="楷体_GB2312" w:hAnsi="楷体_GB2312" w:eastAsia="楷体_GB2312" w:cs="楷体_GB2312"/>
          <w:b w:val="0"/>
          <w:kern w:val="2"/>
          <w:sz w:val="32"/>
          <w:szCs w:val="32"/>
        </w:rPr>
      </w:pPr>
      <w:r>
        <w:rPr>
          <w:rFonts w:hint="eastAsia" w:ascii="楷体_GB2312" w:hAnsi="楷体_GB2312" w:eastAsia="楷体_GB2312" w:cs="楷体_GB2312"/>
          <w:b w:val="0"/>
          <w:kern w:val="2"/>
          <w:sz w:val="32"/>
          <w:szCs w:val="32"/>
        </w:rPr>
        <w:t>（八）纠纷办理评估</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1.服务支持</w:t>
      </w:r>
      <w:r>
        <w:rPr>
          <w:rFonts w:ascii="Times New Roman" w:hAnsi="Times New Roman" w:cs="Times New Roman"/>
          <w:sz w:val="32"/>
          <w:szCs w:val="32"/>
        </w:rPr>
        <w:t>为群众提供不同的矛盾纠纷化解法治化的解决路径评估，优先推荐组织先行调解，如果遇到调解不成功或者当事人不愿意调解的可以建议采用仲裁、行政裁决、行政复议、诉讼、法律监督、信访等路线办理。</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2.非诉业务办理风险评估与引导，针对劳动监察、劳动仲裁、调解、行政复议等常见非诉业务，结合部门业务规则，建立前置风险评估机制。通过交互式问答（如引导用户确认劳动合同、工资凭证等关键证据），自动生成《纠纷办理评估报告》，明晰各类路径的适用条件、预期时长及潜在风险，主动引导当事人优先选择最适宜的解纷路径。</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3.诉讼风险智能评估与多元引导，针对可能进入诉讼的纠纷，支持生成智能问卷，通过案情采集输出《诉讼风险评估报告》，涵盖风险提示、行动建议、解决途径、财产保全、时间成本、经济成本、法律法规并推送类案。报告将对比诉讼与非诉效果，引导当事人合理选择调解等替代性方案，有效减轻群众诉累与司法压力。</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4.支持</w:t>
      </w:r>
      <w:r>
        <w:rPr>
          <w:rFonts w:ascii="Times New Roman" w:hAnsi="Times New Roman" w:cs="Times New Roman"/>
          <w:sz w:val="32"/>
          <w:szCs w:val="32"/>
        </w:rPr>
        <w:t>覆盖劳动仲裁、民间借贷、交通事故、网络侵权等不少于28类常见案由，实现从非诉到诉讼的全链条风险评估与分流引导。</w:t>
      </w:r>
    </w:p>
    <w:p>
      <w:pPr>
        <w:pStyle w:val="3"/>
        <w:numPr>
          <w:ilvl w:val="1"/>
          <w:numId w:val="0"/>
        </w:numPr>
        <w:spacing w:before="0" w:beforeLines="0" w:after="0" w:afterLines="0" w:line="560" w:lineRule="exact"/>
        <w:ind w:firstLine="640" w:firstLineChars="200"/>
        <w:jc w:val="both"/>
        <w:rPr>
          <w:rFonts w:hint="eastAsia" w:ascii="楷体_GB2312" w:hAnsi="楷体_GB2312" w:eastAsia="楷体_GB2312" w:cs="楷体_GB2312"/>
          <w:b w:val="0"/>
          <w:kern w:val="2"/>
          <w:sz w:val="32"/>
          <w:szCs w:val="32"/>
        </w:rPr>
      </w:pPr>
      <w:r>
        <w:rPr>
          <w:rFonts w:hint="eastAsia" w:ascii="楷体_GB2312" w:hAnsi="楷体_GB2312" w:eastAsia="楷体_GB2312" w:cs="楷体_GB2312"/>
          <w:b w:val="0"/>
          <w:kern w:val="2"/>
          <w:sz w:val="32"/>
          <w:szCs w:val="32"/>
        </w:rPr>
        <w:t>（九）常见问题咨询</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1.</w:t>
      </w:r>
      <w:r>
        <w:rPr>
          <w:rFonts w:hint="eastAsia" w:ascii="Times New Roman" w:hAnsi="Times New Roman" w:cs="Times New Roman"/>
          <w:sz w:val="32"/>
          <w:szCs w:val="32"/>
        </w:rPr>
        <w:t>支持</w:t>
      </w:r>
      <w:r>
        <w:rPr>
          <w:rFonts w:ascii="Times New Roman" w:hAnsi="Times New Roman" w:cs="Times New Roman"/>
          <w:sz w:val="32"/>
          <w:szCs w:val="32"/>
        </w:rPr>
        <w:t>将常见咨询法律问题总结归纳为两类，常见问题解答类咨询和其他类咨询；</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2.支持综治中心业务</w:t>
      </w:r>
      <w:r>
        <w:rPr>
          <w:rFonts w:ascii="Times New Roman" w:hAnsi="Times New Roman" w:cs="Times New Roman"/>
          <w:sz w:val="32"/>
          <w:szCs w:val="32"/>
        </w:rPr>
        <w:t>细化子类指引群众查看和了解；群众可以根据系统推荐的两类咨询种类进行选择咨询，点击“换一换”可以切换推荐问题。</w:t>
      </w:r>
    </w:p>
    <w:p>
      <w:pPr>
        <w:pStyle w:val="3"/>
        <w:numPr>
          <w:ilvl w:val="1"/>
          <w:numId w:val="0"/>
        </w:numPr>
        <w:spacing w:before="0" w:beforeLines="0" w:after="0" w:afterLines="0" w:line="560" w:lineRule="exact"/>
        <w:ind w:firstLine="640" w:firstLineChars="200"/>
        <w:jc w:val="both"/>
        <w:rPr>
          <w:rFonts w:hint="eastAsia" w:ascii="楷体_GB2312" w:hAnsi="楷体_GB2312" w:eastAsia="楷体_GB2312" w:cs="楷体_GB2312"/>
          <w:b w:val="0"/>
          <w:kern w:val="2"/>
          <w:sz w:val="32"/>
          <w:szCs w:val="32"/>
        </w:rPr>
      </w:pPr>
      <w:r>
        <w:rPr>
          <w:rFonts w:hint="eastAsia" w:ascii="楷体_GB2312" w:hAnsi="楷体_GB2312" w:eastAsia="楷体_GB2312" w:cs="楷体_GB2312"/>
          <w:b w:val="0"/>
          <w:kern w:val="2"/>
          <w:sz w:val="32"/>
          <w:szCs w:val="32"/>
        </w:rPr>
        <w:t>（十）其他</w:t>
      </w:r>
    </w:p>
    <w:p>
      <w:pPr>
        <w:pStyle w:val="5"/>
        <w:spacing w:line="560" w:lineRule="exact"/>
        <w:rPr>
          <w:rFonts w:ascii="Times New Roman" w:hAnsi="Times New Roman" w:cs="Times New Roman"/>
          <w:sz w:val="32"/>
          <w:szCs w:val="32"/>
        </w:rPr>
      </w:pPr>
      <w:r>
        <w:rPr>
          <w:rFonts w:hint="eastAsia" w:ascii="Times New Roman" w:hAnsi="Times New Roman" w:cs="Times New Roman"/>
          <w:sz w:val="32"/>
          <w:szCs w:val="32"/>
        </w:rPr>
        <w:t>1.支持通过互联网进行</w:t>
      </w:r>
      <w:r>
        <w:rPr>
          <w:rFonts w:ascii="Times New Roman" w:hAnsi="Times New Roman" w:cs="Times New Roman"/>
          <w:sz w:val="32"/>
          <w:szCs w:val="32"/>
        </w:rPr>
        <w:t>后台配置管理；</w:t>
      </w:r>
    </w:p>
    <w:p>
      <w:pPr>
        <w:pStyle w:val="5"/>
        <w:spacing w:line="560" w:lineRule="exact"/>
        <w:rPr>
          <w:rFonts w:hint="eastAsia" w:ascii="Times New Roman" w:hAnsi="Times New Roman" w:cs="Times New Roman"/>
          <w:sz w:val="32"/>
          <w:szCs w:val="32"/>
        </w:rPr>
      </w:pPr>
      <w:r>
        <w:rPr>
          <w:rFonts w:ascii="Times New Roman" w:hAnsi="Times New Roman" w:cs="Times New Roman"/>
          <w:sz w:val="32"/>
          <w:szCs w:val="32"/>
        </w:rPr>
        <w:t>2.支持多维度数据统计</w:t>
      </w:r>
      <w:r>
        <w:rPr>
          <w:rFonts w:hint="eastAsia" w:ascii="Times New Roman" w:hAnsi="Times New Roman" w:cs="Times New Roman"/>
          <w:sz w:val="32"/>
          <w:szCs w:val="32"/>
        </w:rPr>
        <w:t>，</w:t>
      </w:r>
      <w:r>
        <w:rPr>
          <w:rFonts w:ascii="Times New Roman" w:hAnsi="Times New Roman" w:cs="Times New Roman"/>
          <w:sz w:val="32"/>
          <w:szCs w:val="32"/>
        </w:rPr>
        <w:t>提供可视化数据看板，精准统计各服务窗口实时接待量，并动态分析来访群众的性别、民族、籍贯、年龄和居住地区分布，支持信息数据实时导出。</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3.支持风险评估维护</w:t>
      </w:r>
      <w:r>
        <w:rPr>
          <w:rFonts w:hint="eastAsia" w:ascii="Times New Roman" w:hAnsi="Times New Roman" w:cs="Times New Roman"/>
          <w:sz w:val="32"/>
          <w:szCs w:val="32"/>
        </w:rPr>
        <w:t>，</w:t>
      </w:r>
      <w:r>
        <w:rPr>
          <w:rFonts w:ascii="Times New Roman" w:hAnsi="Times New Roman" w:cs="Times New Roman"/>
          <w:sz w:val="32"/>
          <w:szCs w:val="32"/>
        </w:rPr>
        <w:t>新增风险评估视觉配置中心，管理员可通过图形化界面，对各类风险评估（如诉讼风险、调解引导）的问卷、选项、逻辑分支及报告模板进行灵活配置与更新，确保评估内容与业务规则同步迭代，大幅降低技术维护门槛与成本。</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4.支持后台知识库维护</w:t>
      </w:r>
      <w:r>
        <w:rPr>
          <w:rFonts w:hint="eastAsia" w:ascii="Times New Roman" w:hAnsi="Times New Roman" w:cs="Times New Roman"/>
          <w:sz w:val="32"/>
          <w:szCs w:val="32"/>
        </w:rPr>
        <w:t>，</w:t>
      </w:r>
      <w:r>
        <w:rPr>
          <w:rFonts w:ascii="Times New Roman" w:hAnsi="Times New Roman" w:cs="Times New Roman"/>
          <w:sz w:val="32"/>
          <w:szCs w:val="32"/>
        </w:rPr>
        <w:t>对政策法规、问答知识、材料模板进行持续更新与版本控制，保障前端AI数字人服务与风险引导的准确性与专业性。</w:t>
      </w:r>
    </w:p>
    <w:p>
      <w:pPr>
        <w:pStyle w:val="5"/>
        <w:spacing w:line="560" w:lineRule="exact"/>
        <w:rPr>
          <w:rFonts w:ascii="黑体" w:hAnsi="黑体" w:eastAsia="黑体" w:cs="黑体"/>
          <w:sz w:val="32"/>
          <w:szCs w:val="32"/>
        </w:rPr>
      </w:pPr>
      <w:r>
        <w:rPr>
          <w:rFonts w:hint="eastAsia" w:ascii="黑体" w:hAnsi="黑体" w:eastAsia="黑体" w:cs="黑体"/>
          <w:sz w:val="32"/>
          <w:szCs w:val="32"/>
        </w:rPr>
        <w:t>二、硬件参数</w:t>
      </w:r>
    </w:p>
    <w:p>
      <w:pPr>
        <w:pStyle w:val="5"/>
        <w:spacing w:line="560" w:lineRule="exact"/>
        <w:rPr>
          <w:rFonts w:hint="eastAsia" w:ascii="Times New Roman" w:hAnsi="Times New Roman" w:cs="Times New Roman"/>
          <w:sz w:val="32"/>
          <w:szCs w:val="32"/>
        </w:rPr>
      </w:pPr>
      <w:r>
        <w:rPr>
          <w:rFonts w:ascii="Times New Roman" w:hAnsi="Times New Roman" w:cs="Times New Roman"/>
          <w:sz w:val="32"/>
          <w:szCs w:val="32"/>
        </w:rPr>
        <w:t>1.主机：CPU主频≥2.0GHz；内存：≥8G DDR4；硬盘：≥256G SSD；</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2.触控显示屏幕：板面尺寸：≥55 inch</w:t>
      </w:r>
      <w:r>
        <w:rPr>
          <w:rFonts w:hint="eastAsia" w:ascii="Times New Roman" w:hAnsi="Times New Roman" w:cs="Times New Roman"/>
          <w:sz w:val="32"/>
          <w:szCs w:val="32"/>
        </w:rPr>
        <w:t>；</w:t>
      </w:r>
      <w:r>
        <w:rPr>
          <w:rFonts w:ascii="Times New Roman" w:hAnsi="Times New Roman" w:cs="Times New Roman"/>
          <w:sz w:val="32"/>
          <w:szCs w:val="32"/>
        </w:rPr>
        <w:t>分辨率：≥3840 x 216；面板亮度：≥800cd/m²</w:t>
      </w:r>
      <w:r>
        <w:rPr>
          <w:rFonts w:hint="eastAsia" w:ascii="Times New Roman" w:hAnsi="Times New Roman" w:cs="Times New Roman"/>
          <w:sz w:val="32"/>
          <w:szCs w:val="32"/>
        </w:rPr>
        <w:t>；</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3.摄像机：有效像素≥1920*1080，支持自动对焦；</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4.身份证读卡器：非接触二代身份证读卡器，通过中国公共安全产品认证；</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5.二维码扫描模块：内嵌式扫码器，支持纸质及电子的一维、二维条码识别解析；</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6.小票打印机：80MM宽热敏打印。</w:t>
      </w:r>
    </w:p>
    <w:p>
      <w:pPr>
        <w:pStyle w:val="5"/>
        <w:spacing w:line="560" w:lineRule="exact"/>
        <w:rPr>
          <w:rFonts w:ascii="Times New Roman" w:hAnsi="Times New Roman" w:cs="Times New Roman"/>
          <w:sz w:val="32"/>
          <w:szCs w:val="32"/>
        </w:rPr>
      </w:pPr>
      <w:r>
        <w:rPr>
          <w:rFonts w:ascii="Times New Roman" w:hAnsi="Times New Roman" w:cs="Times New Roman"/>
          <w:sz w:val="32"/>
          <w:szCs w:val="32"/>
        </w:rPr>
        <w:t>7.隐蔽拾音器：可清晰收录范围内人声，拾音音质支持后续语音识别。</w:t>
      </w:r>
    </w:p>
    <w:p>
      <w:pPr>
        <w:pStyle w:val="5"/>
        <w:spacing w:line="560" w:lineRule="exact"/>
        <w:rPr>
          <w:rFonts w:ascii="Times New Roman" w:hAnsi="Times New Roman" w:cs="Times New Roman"/>
          <w:bCs/>
          <w:sz w:val="32"/>
          <w:szCs w:val="32"/>
        </w:rPr>
      </w:pPr>
      <w:r>
        <w:rPr>
          <w:rFonts w:ascii="Times New Roman" w:hAnsi="Times New Roman" w:cs="Times New Roman"/>
          <w:sz w:val="32"/>
          <w:szCs w:val="32"/>
        </w:rPr>
        <w:t>8.隐蔽扬声器：内置式声音收集设备，采集业务操作区域声音信息，支持音量调节功能</w:t>
      </w:r>
      <w:r>
        <w:rPr>
          <w:rFonts w:hint="eastAsia" w:ascii="Times New Roman" w:hAnsi="Times New Roman" w:cs="Times New Roman"/>
          <w:sz w:val="32"/>
          <w:szCs w:val="32"/>
        </w:rPr>
        <w:t>；</w:t>
      </w:r>
      <w:r>
        <w:rPr>
          <w:rFonts w:ascii="Times New Roman" w:hAnsi="Times New Roman" w:cs="Times New Roman"/>
          <w:sz w:val="32"/>
          <w:szCs w:val="32"/>
        </w:rPr>
        <w:t>支持指定音频文件播报，播报音质良好。</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jDWDwIAAAcEAAAOAAAAZHJz&#10;L2Uyb0RvYy54bWytU82O0zAQviPxDpbvNGlRV1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rye5u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Z+jDW&#10;DwIAAAcEAAAOAAAAAAAAAAEAIAAAADUBAABkcnMvZTJvRG9jLnhtbFBLBQYAAAAABgAGAFkBAAC2&#10;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FBMspUO&#10;AgAABwQAAA4AAAAAAAAAAQAgAAAANQEAAGRycy9lMm9Eb2MueG1sUEsFBgAAAAAGAAYAWQEAALUF&#10;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4"/>
        <w:bottom w:val="none" w:color="auto" w:sz="0" w:space="3"/>
        <w:right w:val="none" w:color="auto" w:sz="0" w:space="4"/>
      </w:pBdr>
    </w:pPr>
  </w:p>
  <w:p>
    <w:pPr>
      <w:pStyle w:val="16"/>
      <w:pBdr>
        <w:top w:val="none" w:color="auto" w:sz="0" w:space="1"/>
        <w:left w:val="none" w:color="auto" w:sz="0" w:space="4"/>
        <w:bottom w:val="none" w:color="auto" w:sz="0" w:space="3"/>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2E611"/>
    <w:multiLevelType w:val="multilevel"/>
    <w:tmpl w:val="2CA2E611"/>
    <w:lvl w:ilvl="0" w:tentative="0">
      <w:start w:val="1"/>
      <w:numFmt w:val="chineseCounting"/>
      <w:pStyle w:val="2"/>
      <w:suff w:val="nothing"/>
      <w:lvlText w:val="第%1章 "/>
      <w:lvlJc w:val="left"/>
      <w:pPr>
        <w:ind w:left="642" w:hanging="432"/>
      </w:pPr>
      <w:rPr>
        <w:rFonts w:hint="eastAsia"/>
      </w:rPr>
    </w:lvl>
    <w:lvl w:ilvl="1" w:tentative="0">
      <w:start w:val="1"/>
      <w:numFmt w:val="decimal"/>
      <w:pStyle w:val="3"/>
      <w:isLgl/>
      <w:lvlText w:val="%1.%2."/>
      <w:lvlJc w:val="left"/>
      <w:pPr>
        <w:ind w:left="785" w:hanging="575"/>
      </w:pPr>
      <w:rPr>
        <w:rFonts w:hint="eastAsia"/>
      </w:rPr>
    </w:lvl>
    <w:lvl w:ilvl="2" w:tentative="0">
      <w:start w:val="1"/>
      <w:numFmt w:val="decimal"/>
      <w:pStyle w:val="4"/>
      <w:isLgl/>
      <w:lvlText w:val="%1.%2.%3."/>
      <w:lvlJc w:val="left"/>
      <w:pPr>
        <w:ind w:left="930" w:hanging="720"/>
      </w:pPr>
      <w:rPr>
        <w:rFonts w:hint="eastAsia"/>
      </w:rPr>
    </w:lvl>
    <w:lvl w:ilvl="3" w:tentative="0">
      <w:start w:val="1"/>
      <w:numFmt w:val="decimal"/>
      <w:pStyle w:val="6"/>
      <w:isLgl/>
      <w:lvlText w:val="%1.%2.%3.%4."/>
      <w:lvlJc w:val="left"/>
      <w:pPr>
        <w:ind w:left="1074" w:hanging="864"/>
      </w:pPr>
      <w:rPr>
        <w:rFonts w:hint="eastAsia"/>
      </w:rPr>
    </w:lvl>
    <w:lvl w:ilvl="4" w:tentative="0">
      <w:start w:val="1"/>
      <w:numFmt w:val="decimal"/>
      <w:pStyle w:val="7"/>
      <w:isLgl/>
      <w:lvlText w:val="%1.%2.%3.%4.%5."/>
      <w:lvlJc w:val="left"/>
      <w:pPr>
        <w:ind w:left="1218" w:hanging="1008"/>
      </w:pPr>
      <w:rPr>
        <w:rFonts w:hint="eastAsia"/>
      </w:rPr>
    </w:lvl>
    <w:lvl w:ilvl="5" w:tentative="0">
      <w:start w:val="1"/>
      <w:numFmt w:val="decimal"/>
      <w:pStyle w:val="8"/>
      <w:isLgl/>
      <w:lvlText w:val="%1.%2.%3.%4.%5.%6."/>
      <w:lvlJc w:val="left"/>
      <w:pPr>
        <w:ind w:left="1361" w:hanging="1151"/>
      </w:pPr>
      <w:rPr>
        <w:rFonts w:hint="eastAsia"/>
      </w:rPr>
    </w:lvl>
    <w:lvl w:ilvl="6" w:tentative="0">
      <w:start w:val="1"/>
      <w:numFmt w:val="decimal"/>
      <w:pStyle w:val="9"/>
      <w:isLgl/>
      <w:lvlText w:val="%1.%2.%3.%4.%5.%6.%7."/>
      <w:lvlJc w:val="left"/>
      <w:pPr>
        <w:ind w:left="1506" w:hanging="1296"/>
      </w:pPr>
      <w:rPr>
        <w:rFonts w:hint="eastAsia"/>
      </w:rPr>
    </w:lvl>
    <w:lvl w:ilvl="7" w:tentative="0">
      <w:start w:val="1"/>
      <w:numFmt w:val="decimal"/>
      <w:pStyle w:val="10"/>
      <w:isLgl/>
      <w:lvlText w:val="%1.%2.%3.%4.%5.%6.%7.%8."/>
      <w:lvlJc w:val="left"/>
      <w:pPr>
        <w:ind w:left="1650" w:hanging="1440"/>
      </w:pPr>
      <w:rPr>
        <w:rFonts w:hint="eastAsia"/>
      </w:rPr>
    </w:lvl>
    <w:lvl w:ilvl="8" w:tentative="0">
      <w:start w:val="1"/>
      <w:numFmt w:val="decimal"/>
      <w:pStyle w:val="11"/>
      <w:isLgl/>
      <w:lvlText w:val="%1.%2.%3.%4.%5.%6.%7.%8.%9."/>
      <w:lvlJc w:val="left"/>
      <w:pPr>
        <w:ind w:left="179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jdkODQxMTU1YmYyODFkYzA2ZGM5YjM5NTVmZjYifQ=="/>
  </w:docVars>
  <w:rsids>
    <w:rsidRoot w:val="7B1E72FA"/>
    <w:rsid w:val="00182D1D"/>
    <w:rsid w:val="00191B84"/>
    <w:rsid w:val="00243141"/>
    <w:rsid w:val="00365552"/>
    <w:rsid w:val="00400921"/>
    <w:rsid w:val="004D57AB"/>
    <w:rsid w:val="00623E08"/>
    <w:rsid w:val="006360BD"/>
    <w:rsid w:val="00691A2C"/>
    <w:rsid w:val="006F29C2"/>
    <w:rsid w:val="00735089"/>
    <w:rsid w:val="008546BF"/>
    <w:rsid w:val="0086044E"/>
    <w:rsid w:val="008A77B6"/>
    <w:rsid w:val="00AE2058"/>
    <w:rsid w:val="00BB1B77"/>
    <w:rsid w:val="00BF46DC"/>
    <w:rsid w:val="00CB2F3C"/>
    <w:rsid w:val="00CF0CE9"/>
    <w:rsid w:val="00D34EE7"/>
    <w:rsid w:val="00DD0D9D"/>
    <w:rsid w:val="00E90C64"/>
    <w:rsid w:val="00F70CD6"/>
    <w:rsid w:val="00FE5C30"/>
    <w:rsid w:val="01176AB8"/>
    <w:rsid w:val="02E60474"/>
    <w:rsid w:val="069C05DB"/>
    <w:rsid w:val="07C84431"/>
    <w:rsid w:val="0B9B69E9"/>
    <w:rsid w:val="0F5512C6"/>
    <w:rsid w:val="0FF79514"/>
    <w:rsid w:val="10D107D9"/>
    <w:rsid w:val="135926E9"/>
    <w:rsid w:val="135E5A88"/>
    <w:rsid w:val="15A7412A"/>
    <w:rsid w:val="15E376FC"/>
    <w:rsid w:val="1649189C"/>
    <w:rsid w:val="175B4AB7"/>
    <w:rsid w:val="17A21726"/>
    <w:rsid w:val="17F554D8"/>
    <w:rsid w:val="19B7283D"/>
    <w:rsid w:val="1C1C2CC2"/>
    <w:rsid w:val="1D4C1CF6"/>
    <w:rsid w:val="210E75C2"/>
    <w:rsid w:val="229B2F59"/>
    <w:rsid w:val="26191811"/>
    <w:rsid w:val="27F642D7"/>
    <w:rsid w:val="28CC1E5B"/>
    <w:rsid w:val="29EF4195"/>
    <w:rsid w:val="2A8E16D9"/>
    <w:rsid w:val="2D4752E1"/>
    <w:rsid w:val="2D4B346C"/>
    <w:rsid w:val="2E79190B"/>
    <w:rsid w:val="2FBE32D3"/>
    <w:rsid w:val="2FEB487E"/>
    <w:rsid w:val="328571A4"/>
    <w:rsid w:val="34367FB9"/>
    <w:rsid w:val="36563D11"/>
    <w:rsid w:val="36A22655"/>
    <w:rsid w:val="3D954BA1"/>
    <w:rsid w:val="3F0E339D"/>
    <w:rsid w:val="40CA3575"/>
    <w:rsid w:val="42050867"/>
    <w:rsid w:val="4AD06702"/>
    <w:rsid w:val="4CAE35D1"/>
    <w:rsid w:val="4D1A70D0"/>
    <w:rsid w:val="4D4F2BEF"/>
    <w:rsid w:val="4E74110A"/>
    <w:rsid w:val="4E7DD31A"/>
    <w:rsid w:val="4EDC6A81"/>
    <w:rsid w:val="4EF26112"/>
    <w:rsid w:val="500E7FFC"/>
    <w:rsid w:val="50383949"/>
    <w:rsid w:val="51534C24"/>
    <w:rsid w:val="525F20F9"/>
    <w:rsid w:val="53CF6859"/>
    <w:rsid w:val="548B290F"/>
    <w:rsid w:val="549D0384"/>
    <w:rsid w:val="55E2720B"/>
    <w:rsid w:val="56393291"/>
    <w:rsid w:val="5A495BDA"/>
    <w:rsid w:val="5AE72F2C"/>
    <w:rsid w:val="5C295B8E"/>
    <w:rsid w:val="5CE65289"/>
    <w:rsid w:val="5EE57A83"/>
    <w:rsid w:val="60835298"/>
    <w:rsid w:val="61FE68FA"/>
    <w:rsid w:val="62B611F1"/>
    <w:rsid w:val="63F06704"/>
    <w:rsid w:val="64D4248E"/>
    <w:rsid w:val="677A4A20"/>
    <w:rsid w:val="6A397C8F"/>
    <w:rsid w:val="6AC44B1B"/>
    <w:rsid w:val="6AFB4FC7"/>
    <w:rsid w:val="6FD43C5A"/>
    <w:rsid w:val="6FF311B8"/>
    <w:rsid w:val="720F5E34"/>
    <w:rsid w:val="730B2153"/>
    <w:rsid w:val="77350AD0"/>
    <w:rsid w:val="77BD39C4"/>
    <w:rsid w:val="77DB6CE3"/>
    <w:rsid w:val="77DD6DB7"/>
    <w:rsid w:val="7B1E72FA"/>
    <w:rsid w:val="7BDF2C13"/>
    <w:rsid w:val="7BEF7C6D"/>
    <w:rsid w:val="7BFFE134"/>
    <w:rsid w:val="7CFC6873"/>
    <w:rsid w:val="7CFD5E4A"/>
    <w:rsid w:val="7DE5AC8C"/>
    <w:rsid w:val="7DEB460E"/>
    <w:rsid w:val="7EFDD01B"/>
    <w:rsid w:val="7F122331"/>
    <w:rsid w:val="7F912972"/>
    <w:rsid w:val="7FBFC297"/>
    <w:rsid w:val="7FC8732E"/>
    <w:rsid w:val="7FEA0081"/>
    <w:rsid w:val="7FFF6495"/>
    <w:rsid w:val="9E77B988"/>
    <w:rsid w:val="9EDD39C9"/>
    <w:rsid w:val="ACDEFA08"/>
    <w:rsid w:val="AF255B44"/>
    <w:rsid w:val="B3773612"/>
    <w:rsid w:val="BDEE6983"/>
    <w:rsid w:val="BE7FF18A"/>
    <w:rsid w:val="BEEFB792"/>
    <w:rsid w:val="C7DF6384"/>
    <w:rsid w:val="D9FF73E2"/>
    <w:rsid w:val="DFED4DFC"/>
    <w:rsid w:val="E7D3267A"/>
    <w:rsid w:val="EDB68539"/>
    <w:rsid w:val="EDCD15C9"/>
    <w:rsid w:val="EED76540"/>
    <w:rsid w:val="F7FFD240"/>
    <w:rsid w:val="FAFE32B6"/>
    <w:rsid w:val="FBDFCBF6"/>
    <w:rsid w:val="FBFA84F3"/>
    <w:rsid w:val="FC95D6CF"/>
    <w:rsid w:val="FED9B888"/>
    <w:rsid w:val="FEDFE0DD"/>
    <w:rsid w:val="FEEFAB81"/>
    <w:rsid w:val="FFCD4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56" w:beforeLines="50" w:after="156" w:afterLines="50" w:line="360"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156" w:beforeLines="50" w:after="156" w:afterLines="50" w:line="360" w:lineRule="auto"/>
      <w:jc w:val="left"/>
      <w:outlineLvl w:val="1"/>
    </w:pPr>
    <w:rPr>
      <w:rFonts w:ascii="Arial" w:hAnsi="Arial" w:cs="黑体"/>
      <w:b/>
      <w:kern w:val="0"/>
      <w:sz w:val="36"/>
    </w:rPr>
  </w:style>
  <w:style w:type="paragraph" w:styleId="4">
    <w:name w:val="heading 3"/>
    <w:basedOn w:val="1"/>
    <w:next w:val="5"/>
    <w:unhideWhenUsed/>
    <w:qFormat/>
    <w:uiPriority w:val="0"/>
    <w:pPr>
      <w:keepNext/>
      <w:keepLines/>
      <w:numPr>
        <w:ilvl w:val="2"/>
        <w:numId w:val="1"/>
      </w:numPr>
      <w:spacing w:before="260" w:after="260" w:line="413" w:lineRule="auto"/>
      <w:outlineLvl w:val="2"/>
    </w:pPr>
    <w:rPr>
      <w:b/>
      <w:sz w:val="32"/>
    </w:rPr>
  </w:style>
  <w:style w:type="paragraph" w:styleId="6">
    <w:name w:val="heading 4"/>
    <w:basedOn w:val="1"/>
    <w:next w:val="5"/>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7">
    <w:name w:val="heading 5"/>
    <w:basedOn w:val="1"/>
    <w:next w:val="1"/>
    <w:unhideWhenUsed/>
    <w:qFormat/>
    <w:uiPriority w:val="0"/>
    <w:pPr>
      <w:keepNext/>
      <w:keepLines/>
      <w:numPr>
        <w:ilvl w:val="4"/>
        <w:numId w:val="1"/>
      </w:numPr>
      <w:spacing w:before="280" w:after="290" w:line="372" w:lineRule="auto"/>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5">
    <w:name w:val="文档正文"/>
    <w:basedOn w:val="1"/>
    <w:unhideWhenUsed/>
    <w:qFormat/>
    <w:uiPriority w:val="0"/>
    <w:pPr>
      <w:snapToGrid w:val="0"/>
      <w:spacing w:before="60" w:after="60" w:line="360" w:lineRule="auto"/>
      <w:ind w:firstLine="482"/>
    </w:pPr>
    <w:rPr>
      <w:rFonts w:eastAsia="仿宋_GB2312"/>
      <w:sz w:val="28"/>
    </w:rPr>
  </w:style>
  <w:style w:type="paragraph" w:styleId="12">
    <w:name w:val="Normal Indent"/>
    <w:basedOn w:val="1"/>
    <w:unhideWhenUsed/>
    <w:qFormat/>
    <w:uiPriority w:val="0"/>
    <w:pPr>
      <w:ind w:firstLine="420"/>
    </w:pPr>
  </w:style>
  <w:style w:type="paragraph" w:styleId="13">
    <w:name w:val="toc 5"/>
    <w:basedOn w:val="1"/>
    <w:next w:val="1"/>
    <w:qFormat/>
    <w:uiPriority w:val="0"/>
    <w:pPr>
      <w:ind w:left="1680" w:leftChars="800"/>
    </w:pPr>
  </w:style>
  <w:style w:type="paragraph" w:styleId="14">
    <w:name w:val="toc 3"/>
    <w:basedOn w:val="1"/>
    <w:next w:val="1"/>
    <w:qFormat/>
    <w:uiPriority w:val="0"/>
    <w:pPr>
      <w:ind w:left="840" w:leftChars="400"/>
    </w:pPr>
  </w:style>
  <w:style w:type="paragraph" w:styleId="15">
    <w:name w:val="footer"/>
    <w:basedOn w:val="1"/>
    <w:unhideWhenUsed/>
    <w:qFormat/>
    <w:uiPriority w:val="99"/>
    <w:pPr>
      <w:tabs>
        <w:tab w:val="center" w:pos="4153"/>
        <w:tab w:val="right" w:pos="8306"/>
      </w:tabs>
      <w:snapToGrid w:val="0"/>
      <w:jc w:val="left"/>
    </w:pPr>
    <w:rPr>
      <w:sz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7">
    <w:name w:val="toc 1"/>
    <w:basedOn w:val="1"/>
    <w:next w:val="1"/>
    <w:qFormat/>
    <w:uiPriority w:val="0"/>
  </w:style>
  <w:style w:type="paragraph" w:styleId="18">
    <w:name w:val="toc 4"/>
    <w:basedOn w:val="1"/>
    <w:next w:val="1"/>
    <w:qFormat/>
    <w:uiPriority w:val="0"/>
    <w:pPr>
      <w:ind w:left="1260" w:leftChars="600"/>
    </w:pPr>
  </w:style>
  <w:style w:type="paragraph" w:styleId="19">
    <w:name w:val="toc 2"/>
    <w:basedOn w:val="1"/>
    <w:next w:val="1"/>
    <w:qFormat/>
    <w:uiPriority w:val="0"/>
    <w:pPr>
      <w:ind w:left="420" w:left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可研正文"/>
    <w:basedOn w:val="1"/>
    <w:qFormat/>
    <w:uiPriority w:val="0"/>
    <w:pPr>
      <w:spacing w:line="360" w:lineRule="auto"/>
      <w:ind w:firstLine="560" w:firstLineChars="200"/>
    </w:pPr>
    <w:rPr>
      <w:rFonts w:ascii="仿宋_GB2312" w:hAnsi="宋体" w:eastAsia="仿宋_GB2312"/>
      <w:kern w:val="0"/>
      <w:sz w:val="28"/>
      <w:szCs w:val="20"/>
    </w:rPr>
  </w:style>
  <w:style w:type="paragraph" w:customStyle="1" w:styleId="24">
    <w:name w:val="实施方案正文"/>
    <w:basedOn w:val="1"/>
    <w:qFormat/>
    <w:uiPriority w:val="99"/>
    <w:pPr>
      <w:ind w:firstLine="566" w:firstLineChars="202"/>
    </w:pPr>
    <w:rPr>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429</Words>
  <Characters>2449</Characters>
  <Lines>20</Lines>
  <Paragraphs>5</Paragraphs>
  <TotalTime>74</TotalTime>
  <ScaleCrop>false</ScaleCrop>
  <LinksUpToDate>false</LinksUpToDate>
  <CharactersWithSpaces>2873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2025-12-04T23:41:00Z</dcterms:created>
  <dc:creator>Summer</dc:creator>
  <cp:lastModifiedBy>kmcg</cp:lastModifiedBy>
  <cp:lastPrinted>2025-12-05T17:15:00Z</cp:lastPrinted>
  <dcterms:modified xsi:type="dcterms:W3CDTF">2025-12-05T14:16:35Z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6C00E79CE765479E82F87F316D35619D</vt:lpwstr>
  </property>
</Properties>
</file>