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highlight w:val="none"/>
          <w:lang w:val="en-US" w:eastAsia="zh-CN"/>
        </w:rPr>
        <w:t xml:space="preserve"> 梅子、乌龙泵站</w: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highlight w:val="none"/>
        </w:rPr>
        <w:t>报废固定资产出售处置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highlight w:val="none"/>
        </w:rPr>
        <w:t>合同协议书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default" w:ascii="仿宋" w:hAnsi="仿宋" w:eastAsia="仿宋" w:cs="仿宋"/>
          <w:b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highlight w:val="none"/>
        </w:rPr>
        <w:t>甲方（出让方）</w:t>
      </w:r>
      <w:r>
        <w:rPr>
          <w:rFonts w:hint="eastAsia" w:ascii="仿宋" w:hAnsi="仿宋" w:eastAsia="仿宋" w:cs="仿宋"/>
          <w:color w:val="auto"/>
          <w:highlight w:val="none"/>
        </w:rPr>
        <w:t>：</w:t>
      </w:r>
      <w:r>
        <w:rPr>
          <w:rFonts w:hint="eastAsia" w:ascii="仿宋" w:hAnsi="仿宋" w:eastAsia="仿宋" w:cs="仿宋"/>
          <w:color w:val="auto"/>
          <w:highlight w:val="none"/>
          <w:u w:val="single"/>
          <w:lang w:val="en-US" w:eastAsia="zh-CN"/>
        </w:rPr>
        <w:t xml:space="preserve">     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 w:ascii="仿宋" w:hAnsi="仿宋" w:eastAsia="仿宋" w:cs="仿宋"/>
          <w:b/>
          <w:i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highlight w:val="none"/>
        </w:rPr>
        <w:t>乙方（受让方）</w:t>
      </w:r>
      <w:r>
        <w:rPr>
          <w:rFonts w:hint="eastAsia" w:ascii="仿宋" w:hAnsi="仿宋" w:eastAsia="仿宋" w:cs="仿宋"/>
          <w:color w:val="auto"/>
          <w:highlight w:val="none"/>
        </w:rPr>
        <w:t>：</w:t>
      </w:r>
      <w:r>
        <w:rPr>
          <w:rFonts w:hint="eastAsia" w:ascii="仿宋" w:hAnsi="仿宋" w:eastAsia="仿宋" w:cs="仿宋"/>
          <w:color w:val="auto"/>
          <w:highlight w:val="none"/>
          <w:u w:val="single"/>
          <w:lang w:val="en-US" w:eastAsia="zh-CN"/>
        </w:rPr>
        <w:t xml:space="preserve">     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4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4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鉴于甲方下属泵站有一批已达到报废标准的固定资产需处置，乙方具备相应资质及能力承接该批次资产拆除及处置工作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和</w:t>
      </w:r>
      <w:r>
        <w:rPr>
          <w:rFonts w:hint="eastAsia" w:ascii="仿宋" w:hAnsi="仿宋" w:eastAsia="仿宋" w:cs="仿宋"/>
          <w:color w:val="auto"/>
          <w:highlight w:val="none"/>
        </w:rPr>
        <w:t>承诺按规范完成拆除并履行安全责任。根据《中华人民共和国民法典》《呈贡区区级行政事业单位国有资产处置管理办法》等相关法律法规，经公开竞价程序确定乙方为收购方，双方就报废固定资产出售及拆除风险消除事宜达成如下协议：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</w:rPr>
        <w:t>第一条 标的物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0" w:firstLine="44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1.1 处置资产为甲方下属</w:t>
      </w:r>
      <w:r>
        <w:rPr>
          <w:rFonts w:hint="eastAsia" w:ascii="仿宋" w:hAnsi="仿宋" w:eastAsia="仿宋" w:cs="仿宋"/>
          <w:color w:val="auto"/>
          <w:highlight w:val="none"/>
          <w:u w:val="single"/>
          <w:lang w:val="en-US" w:eastAsia="zh-CN"/>
        </w:rPr>
        <w:t>乌龙、梅子</w:t>
      </w:r>
      <w:r>
        <w:rPr>
          <w:rFonts w:hint="eastAsia" w:ascii="仿宋" w:hAnsi="仿宋" w:eastAsia="仿宋" w:cs="仿宋"/>
          <w:color w:val="auto"/>
          <w:highlight w:val="none"/>
        </w:rPr>
        <w:t>泵站内37项报废固定资产，具体清单详见附件1《梅子、乌龙泵站报废物品情况》（含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资产</w:t>
      </w:r>
      <w:r>
        <w:rPr>
          <w:rFonts w:hint="eastAsia" w:ascii="仿宋" w:hAnsi="仿宋" w:eastAsia="仿宋" w:cs="仿宋"/>
          <w:color w:val="auto"/>
          <w:highlight w:val="none"/>
        </w:rPr>
        <w:t>名称、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规格</w:t>
      </w:r>
      <w:r>
        <w:rPr>
          <w:rFonts w:hint="eastAsia" w:ascii="仿宋" w:hAnsi="仿宋" w:eastAsia="仿宋" w:cs="仿宋"/>
          <w:color w:val="auto"/>
          <w:highlight w:val="none"/>
        </w:rPr>
        <w:t>型号、数量、购置时间及现状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图片</w:t>
      </w:r>
      <w:r>
        <w:rPr>
          <w:rFonts w:hint="eastAsia" w:ascii="仿宋" w:hAnsi="仿宋" w:eastAsia="仿宋" w:cs="仿宋"/>
          <w:color w:val="auto"/>
          <w:highlight w:val="none"/>
        </w:rPr>
        <w:t>）。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本批</w:t>
      </w:r>
      <w:r>
        <w:rPr>
          <w:rFonts w:hint="eastAsia" w:ascii="仿宋" w:hAnsi="仿宋" w:eastAsia="仿宋" w:cs="仿宋"/>
          <w:color w:val="auto"/>
          <w:highlight w:val="none"/>
        </w:rPr>
        <w:t>标的物权属清晰，甲方已取得有权机关处置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同意</w:t>
      </w:r>
      <w:r>
        <w:rPr>
          <w:rFonts w:hint="eastAsia" w:ascii="仿宋" w:hAnsi="仿宋" w:eastAsia="仿宋" w:cs="仿宋"/>
          <w:color w:val="auto"/>
          <w:highlight w:val="none"/>
        </w:rPr>
        <w:t>，无抵押、查封或其他权利限制。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4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1.2 乙方确认已现场勘查标的物，知悉其现状（包括但不限于破损程度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数量位置等</w:t>
      </w:r>
      <w:r>
        <w:rPr>
          <w:rFonts w:hint="eastAsia" w:ascii="仿宋" w:hAnsi="仿宋" w:eastAsia="仿宋" w:cs="仿宋"/>
          <w:color w:val="auto"/>
          <w:highlight w:val="none"/>
        </w:rPr>
        <w:t>），承诺按本合同约定处置。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</w:rPr>
        <w:t>第二条 交易价款及支付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4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2.1 经公开竞价，标的物成交总价为￥________元（大写：人民币________）。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4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2.2 支付方式：合同签订后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highlight w:val="none"/>
        </w:rPr>
        <w:t>个工作日内，乙方向甲方支付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全</w:t>
      </w:r>
      <w:r>
        <w:rPr>
          <w:rFonts w:hint="eastAsia" w:ascii="仿宋" w:hAnsi="仿宋" w:eastAsia="仿宋" w:cs="仿宋"/>
          <w:color w:val="auto"/>
          <w:highlight w:val="none"/>
        </w:rPr>
        <w:t>款￥________元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4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（大写：人民币________）；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</w:rPr>
        <w:t>第三条 双方权利义务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1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highlight w:val="none"/>
        </w:rPr>
        <w:t>甲方权利义务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40" w:firstLineChars="200"/>
        <w:textAlignment w:val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</w:rPr>
        <w:t>3.1 协助乙方开展拆除前准备工作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及组织验收工作；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4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3.2 有权监督乙方拆除过程，要求乙方按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合同</w:t>
      </w:r>
      <w:r>
        <w:rPr>
          <w:rFonts w:hint="eastAsia" w:ascii="仿宋" w:hAnsi="仿宋" w:eastAsia="仿宋" w:cs="仿宋"/>
          <w:color w:val="auto"/>
          <w:highlight w:val="none"/>
        </w:rPr>
        <w:t>约定完成拆除及场地恢复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highlight w:val="none"/>
        </w:rPr>
        <w:t>要求乙方纠正违反本合同约定的行为；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4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3.3 若乙方违反本合同约定（如破坏非标的设施、逾期完工），造成甲方损失，甲方有权要求乙方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恢复或</w:t>
      </w:r>
      <w:r>
        <w:rPr>
          <w:rFonts w:hint="eastAsia" w:ascii="仿宋" w:hAnsi="仿宋" w:eastAsia="仿宋" w:cs="仿宋"/>
          <w:color w:val="auto"/>
          <w:highlight w:val="none"/>
        </w:rPr>
        <w:t>全额赔偿。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1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highlight w:val="none"/>
        </w:rPr>
        <w:t>乙方权利义务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4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3.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highlight w:val="none"/>
        </w:rPr>
        <w:t xml:space="preserve"> 自付清全款之日起，有权处置拆除后的可回收材料；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4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3.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highlight w:val="none"/>
        </w:rPr>
        <w:t xml:space="preserve"> 严格按本合同要求完成拆除作业，不得擅自扩大拆除范围或损坏非标的物资产；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4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3.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highlight w:val="none"/>
        </w:rPr>
        <w:t xml:space="preserve"> 承担拆除作业全过程的安全责任、环保责任及费用，因乙方原因导致的第三方人身财产损失或环境污染，由乙方全额承担；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4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3.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highlight w:val="none"/>
        </w:rPr>
        <w:t xml:space="preserve"> 拆除完成后，负责清理场地内建筑垃圾，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须</w:t>
      </w:r>
      <w:r>
        <w:rPr>
          <w:rFonts w:hint="eastAsia" w:ascii="仿宋" w:hAnsi="仿宋" w:eastAsia="仿宋" w:cs="仿宋"/>
          <w:color w:val="auto"/>
          <w:highlight w:val="none"/>
        </w:rPr>
        <w:t>运至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合规</w:t>
      </w:r>
      <w:r>
        <w:rPr>
          <w:rFonts w:hint="eastAsia" w:ascii="仿宋" w:hAnsi="仿宋" w:eastAsia="仿宋" w:cs="仿宋"/>
          <w:color w:val="auto"/>
          <w:highlight w:val="none"/>
        </w:rPr>
        <w:t>消纳场所，禁止随意倾倒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若有</w:t>
      </w:r>
      <w:r>
        <w:rPr>
          <w:rFonts w:hint="eastAsia" w:ascii="仿宋" w:hAnsi="仿宋" w:eastAsia="仿宋" w:cs="仿宋"/>
          <w:color w:val="auto"/>
          <w:highlight w:val="none"/>
        </w:rPr>
        <w:t>废水须经沉淀处理达标后排放，禁止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乱</w:t>
      </w:r>
      <w:r>
        <w:rPr>
          <w:rFonts w:hint="eastAsia" w:ascii="仿宋" w:hAnsi="仿宋" w:eastAsia="仿宋" w:cs="仿宋"/>
          <w:color w:val="auto"/>
          <w:highlight w:val="none"/>
        </w:rPr>
        <w:t>排。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4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3.8须进行管道永久固定堵水，所有管道拆除或割断后必须</w:t>
      </w:r>
      <w:r>
        <w:rPr>
          <w:rFonts w:hint="eastAsia" w:ascii="仿宋" w:hAnsi="仿宋" w:eastAsia="仿宋" w:cs="仿宋"/>
          <w:color w:val="auto"/>
          <w:highlight w:val="none"/>
        </w:rPr>
        <w:t>封堵破损口。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0" w:firstLine="44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3.9</w:t>
      </w:r>
      <w:r>
        <w:rPr>
          <w:rFonts w:hint="eastAsia" w:ascii="仿宋" w:hAnsi="仿宋" w:eastAsia="仿宋" w:cs="仿宋"/>
          <w:color w:val="auto"/>
          <w:highlight w:val="none"/>
        </w:rPr>
        <w:t>乙方需自行投保拆除工程相关保险（如建筑工程一切险、第三者责任险）。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</w:rPr>
        <w:t>第四条 拆除作业核心要求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4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 xml:space="preserve">4.1 </w:t>
      </w:r>
      <w:r>
        <w:rPr>
          <w:rFonts w:hint="eastAsia" w:ascii="仿宋" w:hAnsi="仿宋" w:eastAsia="仿宋" w:cs="仿宋"/>
          <w:b/>
          <w:color w:val="auto"/>
          <w:highlight w:val="none"/>
        </w:rPr>
        <w:t>结构保护</w:t>
      </w:r>
      <w:r>
        <w:rPr>
          <w:rFonts w:hint="eastAsia" w:ascii="仿宋" w:hAnsi="仿宋" w:eastAsia="仿宋" w:cs="仿宋"/>
          <w:color w:val="auto"/>
          <w:highlight w:val="none"/>
        </w:rPr>
        <w:t>：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乙方仅可拆除《梅子、乌龙泵站报废物品情况》列明的设备及附属部件，不得破坏泵房主体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及附属</w:t>
      </w:r>
      <w:r>
        <w:rPr>
          <w:rFonts w:hint="eastAsia" w:ascii="仿宋" w:hAnsi="仿宋" w:eastAsia="仿宋" w:cs="仿宋"/>
          <w:color w:val="auto"/>
          <w:highlight w:val="none"/>
        </w:rPr>
        <w:t>结构（包括墙体、梁柱、屋顶、地面混凝土层等）；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拆除工具需采用低冲击方式（如液压剪、气割），禁止使用爆破、重锤猛击等可能损伤结构的方法；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若拆除过程中发现泵房结构存在隐患（如墙体开裂），乙方须立即停止作业并通知甲方，经甲方确认安全后再行施工。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4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 xml:space="preserve">4.2 </w:t>
      </w:r>
      <w:r>
        <w:rPr>
          <w:rFonts w:hint="eastAsia" w:ascii="仿宋" w:hAnsi="仿宋" w:eastAsia="仿宋" w:cs="仿宋"/>
          <w:b/>
          <w:color w:val="auto"/>
          <w:highlight w:val="none"/>
        </w:rPr>
        <w:t>安全责任</w:t>
      </w:r>
      <w:r>
        <w:rPr>
          <w:rFonts w:hint="eastAsia" w:ascii="仿宋" w:hAnsi="仿宋" w:eastAsia="仿宋" w:cs="仿宋"/>
          <w:color w:val="auto"/>
          <w:highlight w:val="none"/>
        </w:rPr>
        <w:t>：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乙方须制定《拆除作业安全方案》（含应急处置措施），经甲方审核备案后实施；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乙方须严格落实安全生产主体责任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highlight w:val="none"/>
        </w:rPr>
        <w:t>对施工人员进行安全教育培训及技术交底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配备专职安全管理员进行现场安全管理工作</w:t>
      </w:r>
      <w:r>
        <w:rPr>
          <w:rFonts w:hint="eastAsia" w:ascii="仿宋" w:hAnsi="仿宋" w:eastAsia="仿宋" w:cs="仿宋"/>
          <w:color w:val="auto"/>
          <w:highlight w:val="none"/>
        </w:rPr>
        <w:t>。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乙方所有作业人员须持有有效身份证件、特种作业操作证（如焊工、起重工、高处作业人员）；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作业人员须佩戴安全防护装备（安全帽、防滑鞋、防尘口罩、护目镜等），高空作业人员须系挂五点式安全带且挂钩固定于独立安全绳；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乙方须为作业人员购买工伤保险及意外伤害险，否则不得进场施工；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拆除过程中采取必要防护措施（如围挡、防尘、防坠落），避免影响周边环境及周边人员安全。作业区域设置硬质围挡，围挡外侧张贴“禁止入内”“当心坠落”等警示标识，拆除现场须配置消防器材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highlight w:val="none"/>
        </w:rPr>
        <w:t>临时用电须符合《施工现场临时用电安全技术规范》，电缆线须架空或穿管保护，配电箱加锁并接地。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因乙方安全措施不到位导致的安全事故（包括人员伤亡、设备损坏），由乙方承担全部责任及赔偿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highlight w:val="none"/>
        </w:rPr>
        <w:t>甲方不承担任何连带责任。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</w:rPr>
        <w:t>第五条 场地恢复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4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5.1 若拆除作业导致泵房墙体、屋顶等部位出现破损口（面积≥0.5㎡），乙方须在拆除完成后3个工作日内按以下标准修复：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墙体破损：采用C25混凝土+钢筋网片分层修补，厚度不低于原墙体结构层；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屋顶破损：采用与原屋顶相同材质（如彩钢瓦、混凝土板）修复，防水等级不低于原设计标准；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地面破损：采用标号不低于C30的混凝土浇筑，平整度误差≤5mm。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 w:ascii="仿宋" w:hAnsi="仿宋" w:eastAsia="仿宋" w:cs="仿宋"/>
          <w:color w:val="auto"/>
          <w:highlight w:val="none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0" w:firstLine="44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5.2 修复完成后，乙方须书面申请甲方验收，甲方应在5个工作日内组织现场核查。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0" w:firstLine="44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5.3</w:t>
      </w:r>
      <w:r>
        <w:rPr>
          <w:rFonts w:hint="eastAsia" w:ascii="仿宋" w:hAnsi="仿宋" w:eastAsia="仿宋" w:cs="仿宋"/>
          <w:color w:val="auto"/>
          <w:highlight w:val="none"/>
        </w:rPr>
        <w:t>（1）拆除完成后，须清理场地内所有拆除废弃物、杂物及遗留垃圾，达到“场清地净”标准（无明显建筑垃圾、无油污污染、无松散土方）；（2）对拆除区域土地进行平整，恢复至拆除前地形地貌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highlight w:val="none"/>
        </w:rPr>
        <w:t>场地恢复完成后，须满足甲方后续使用需求（如无阻碍日常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工作</w:t>
      </w:r>
      <w:r>
        <w:rPr>
          <w:rFonts w:hint="eastAsia" w:ascii="仿宋" w:hAnsi="仿宋" w:eastAsia="仿宋" w:cs="仿宋"/>
          <w:color w:val="auto"/>
          <w:highlight w:val="none"/>
        </w:rPr>
        <w:t>、无安全隐患）。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第六条 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</w:rPr>
        <w:t>拆除期限与验收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0" w:firstLine="44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6.1</w:t>
      </w:r>
      <w:r>
        <w:rPr>
          <w:rFonts w:hint="eastAsia" w:ascii="仿宋" w:hAnsi="仿宋" w:eastAsia="仿宋" w:cs="仿宋"/>
          <w:color w:val="auto"/>
          <w:highlight w:val="none"/>
        </w:rPr>
        <w:t>拆除期限：自本合同生效之日起_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60</w:t>
      </w:r>
      <w:r>
        <w:rPr>
          <w:rFonts w:hint="eastAsia" w:ascii="仿宋" w:hAnsi="仿宋" w:eastAsia="仿宋" w:cs="仿宋"/>
          <w:color w:val="auto"/>
          <w:highlight w:val="none"/>
        </w:rPr>
        <w:t>_日内完成全部拆除及场地恢复。若因不可抗力（如暴雨）或甲方原因导致延期，经双方书面确认后可顺延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0" w:firstLine="44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6.2</w:t>
      </w:r>
      <w:r>
        <w:rPr>
          <w:rFonts w:hint="eastAsia" w:ascii="仿宋" w:hAnsi="仿宋" w:eastAsia="仿宋" w:cs="仿宋"/>
          <w:color w:val="auto"/>
          <w:highlight w:val="none"/>
        </w:rPr>
        <w:t>验收流程：乙方完工后3个工作日内书面通知甲方验收；甲方收到通知后5个工作日内组织现场核查，核查内容包括：（1）标的物已全部拆除，无残留；（2）清单外甲方设施完好无损；（3）场地清理、恢复。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4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6.3</w:t>
      </w:r>
      <w:r>
        <w:rPr>
          <w:rFonts w:hint="eastAsia" w:ascii="仿宋" w:hAnsi="仿宋" w:eastAsia="仿宋" w:cs="仿宋"/>
          <w:color w:val="auto"/>
          <w:highlight w:val="none"/>
        </w:rPr>
        <w:t>验收合格后，双方签署《验收确认单》；验收不合格的，乙方应在______日内整改完毕，重新申请验收，整改费用由乙方承担。整改后仍未通过的，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由</w:t>
      </w:r>
      <w:r>
        <w:rPr>
          <w:rFonts w:hint="eastAsia" w:ascii="仿宋" w:hAnsi="仿宋" w:eastAsia="仿宋" w:cs="仿宋"/>
          <w:color w:val="auto"/>
          <w:highlight w:val="none"/>
        </w:rPr>
        <w:t>甲方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进行整改，</w:t>
      </w:r>
      <w:r>
        <w:rPr>
          <w:rFonts w:hint="eastAsia" w:ascii="仿宋" w:hAnsi="仿宋" w:eastAsia="仿宋" w:cs="仿宋"/>
          <w:color w:val="auto"/>
          <w:highlight w:val="none"/>
        </w:rPr>
        <w:t>整改费用由乙方承担。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4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6.4</w:t>
      </w:r>
      <w:r>
        <w:rPr>
          <w:rFonts w:hint="eastAsia" w:ascii="仿宋" w:hAnsi="仿宋" w:eastAsia="仿宋" w:cs="仿宋"/>
          <w:color w:val="auto"/>
          <w:highlight w:val="none"/>
        </w:rPr>
        <w:t>验收标准：</w:t>
      </w:r>
    </w:p>
    <w:p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标的物已全部拆除；</w:t>
      </w:r>
    </w:p>
    <w:p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泵房结构无新增损伤；</w:t>
      </w:r>
    </w:p>
    <w:p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破损口修复符合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本合同相关</w:t>
      </w:r>
      <w:r>
        <w:rPr>
          <w:rFonts w:hint="eastAsia" w:ascii="仿宋" w:hAnsi="仿宋" w:eastAsia="仿宋" w:cs="仿宋"/>
          <w:color w:val="auto"/>
          <w:highlight w:val="none"/>
        </w:rPr>
        <w:t>款要求；</w:t>
      </w:r>
    </w:p>
    <w:p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场地无明显建筑垃圾堆积，安全隐患已消除。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</w:rPr>
        <w:t>第七条 违约责任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4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7.1 若乙方擅自破坏泵房结构或未修复破损口，甲方有权解除合同并要求乙方按总价款的20%支付违约金；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4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7.2 若乙方未履行安全责任导致安全事故，除承担全部赔偿责任外，甲方有权解除合同并要求乙方按总价款的20%支付违约金；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4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7.3 乙方逾期完工的，每逾期1日，按成交价的</w:t>
      </w:r>
      <w:r>
        <w:rPr>
          <w:rFonts w:hint="eastAsia" w:ascii="仿宋" w:hAnsi="仿宋" w:eastAsia="仿宋" w:cs="仿宋"/>
          <w:color w:val="auto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highlight w:val="none"/>
        </w:rPr>
        <w:t>‰向甲方支付违约金；逾期超过</w:t>
      </w:r>
      <w:r>
        <w:rPr>
          <w:rFonts w:hint="eastAsia" w:ascii="仿宋" w:hAnsi="仿宋" w:eastAsia="仿宋" w:cs="仿宋"/>
          <w:color w:val="auto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highlight w:val="none"/>
        </w:rPr>
        <w:t>日的，甲方有权解除合同。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0" w:firstLine="44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7.4</w:t>
      </w:r>
      <w:r>
        <w:rPr>
          <w:rFonts w:hint="eastAsia" w:ascii="仿宋" w:hAnsi="仿宋" w:eastAsia="仿宋" w:cs="仿宋"/>
          <w:color w:val="auto"/>
          <w:highlight w:val="none"/>
        </w:rPr>
        <w:t>仅拆除标的物本身，泵房内原有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建构筑物</w:t>
      </w:r>
      <w:r>
        <w:rPr>
          <w:rFonts w:hint="eastAsia" w:ascii="仿宋" w:hAnsi="仿宋" w:eastAsia="仿宋" w:cs="仿宋"/>
          <w:color w:val="auto"/>
          <w:highlight w:val="none"/>
        </w:rPr>
        <w:t>设施、电气线路、给排水管道等非报废资产须保持完好；若因乙方误拆或故意破坏导致清单外设施损毁，乙方须在3日内按原样修复并经甲方验收合格，修复费用由乙方全额承担；无法修复的，按市场评估价（以甲方委托的第三方评估机构出具的报告为准）100%赔偿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</w:rPr>
        <w:t>第八条 争议解决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4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本合同履行过程中如发生争议，双方应首先协商解决；协商不成的，任何一方均有权向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呈贡区</w:t>
      </w:r>
      <w:r>
        <w:rPr>
          <w:rFonts w:hint="eastAsia" w:ascii="仿宋" w:hAnsi="仿宋" w:eastAsia="仿宋" w:cs="仿宋"/>
          <w:color w:val="auto"/>
          <w:highlight w:val="none"/>
        </w:rPr>
        <w:t>人民法院提起诉讼。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</w:rPr>
        <w:t>第九条 其他条款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4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9.1 本合同自双方法定代表人或授权代表签字并加盖公章之日起生效，一式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陆</w:t>
      </w:r>
      <w:r>
        <w:rPr>
          <w:rFonts w:hint="eastAsia" w:ascii="仿宋" w:hAnsi="仿宋" w:eastAsia="仿宋" w:cs="仿宋"/>
          <w:color w:val="auto"/>
          <w:highlight w:val="none"/>
        </w:rPr>
        <w:t>份，甲乙双方各执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叁</w:t>
      </w:r>
      <w:r>
        <w:rPr>
          <w:rFonts w:hint="eastAsia" w:ascii="仿宋" w:hAnsi="仿宋" w:eastAsia="仿宋" w:cs="仿宋"/>
          <w:color w:val="auto"/>
          <w:highlight w:val="none"/>
        </w:rPr>
        <w:t>份，具有同等法律效力。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4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9.2 本合同附件为本合同不可分割的组成部分，与本合同具有同等效力。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auto"/>
          <w:highlight w:val="none"/>
        </w:rPr>
      </w:pP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4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</w:rPr>
              <w:t>甲方（盖章）：__________________</w:t>
            </w:r>
          </w:p>
        </w:tc>
        <w:tc>
          <w:tcPr>
            <w:tcW w:w="4264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</w:rPr>
              <w:t>乙方（盖章）：__________________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4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法定代表人（签字）：__________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highlight w:val="none"/>
                <w:vertAlign w:val="baseline"/>
              </w:rPr>
            </w:pPr>
          </w:p>
        </w:tc>
        <w:tc>
          <w:tcPr>
            <w:tcW w:w="4264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法定代表人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授权代表（签字）：</w:t>
            </w:r>
          </w:p>
          <w:p>
            <w:pPr>
              <w:rPr>
                <w:rFonts w:hint="eastAsia" w:ascii="仿宋" w:hAnsi="仿宋" w:eastAsia="仿宋" w:cs="仿宋"/>
                <w:color w:val="auto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4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vertAlign w:val="baseline"/>
                <w:lang w:val="en-US" w:eastAsia="zh-CN"/>
              </w:rPr>
              <w:t>社会信用代码证：</w:t>
            </w:r>
          </w:p>
        </w:tc>
        <w:tc>
          <w:tcPr>
            <w:tcW w:w="4264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vertAlign w:val="baseline"/>
                <w:lang w:val="en-US" w:eastAsia="zh-CN"/>
              </w:rPr>
              <w:t>社会信用代码证：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4" w:type="dxa"/>
            <w:vAlign w:val="center"/>
          </w:tcPr>
          <w:p>
            <w:pPr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开户银行：</w:t>
            </w:r>
          </w:p>
        </w:tc>
        <w:tc>
          <w:tcPr>
            <w:tcW w:w="4264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开户银行：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4" w:type="dxa"/>
            <w:vAlign w:val="center"/>
          </w:tcPr>
          <w:p>
            <w:pPr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银行账号：</w:t>
            </w:r>
          </w:p>
        </w:tc>
        <w:tc>
          <w:tcPr>
            <w:tcW w:w="4264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银行账号：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4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联系方式：</w:t>
            </w:r>
          </w:p>
        </w:tc>
        <w:tc>
          <w:tcPr>
            <w:tcW w:w="4264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4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vertAlign w:val="baseline"/>
                <w:lang w:val="en-US" w:eastAsia="zh-CN"/>
              </w:rPr>
              <w:t>地址：</w:t>
            </w:r>
          </w:p>
        </w:tc>
        <w:tc>
          <w:tcPr>
            <w:tcW w:w="4264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vertAlign w:val="baseline"/>
                <w:lang w:val="en-US" w:eastAsia="zh-CN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4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签订日期：______年____月____日</w:t>
            </w:r>
          </w:p>
        </w:tc>
        <w:tc>
          <w:tcPr>
            <w:tcW w:w="4264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签订日期：______年____月____日</w:t>
            </w:r>
          </w:p>
        </w:tc>
      </w:tr>
    </w:tbl>
    <w:p>
      <w:pPr>
        <w:rPr>
          <w:color w:val="auto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/>
          <w:b w:val="0"/>
          <w:bCs/>
          <w:color w:val="auto"/>
          <w:highlight w:val="none"/>
        </w:rPr>
      </w:pPr>
    </w:p>
    <w:sectPr>
      <w:pgSz w:w="11906" w:h="16838"/>
      <w:pgMar w:top="1440" w:right="1797" w:bottom="1440" w:left="1797" w:header="851" w:footer="992" w:gutter="0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"/>
      <w:lvlJc w:val="left"/>
      <w:pPr>
        <w:ind w:left="336" w:hanging="336"/>
      </w:pPr>
      <w:rPr>
        <w:rFonts w:hint="default" w:ascii="Wingdings" w:hAnsi="Wingdings" w:cs="Wingdings"/>
      </w:rPr>
    </w:lvl>
    <w:lvl w:ilvl="1" w:tentative="0">
      <w:start w:val="1"/>
      <w:numFmt w:val="bullet"/>
      <w:lvlText w:val="¡"/>
      <w:lvlJc w:val="left"/>
      <w:pPr>
        <w:ind w:left="776" w:hanging="336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"/>
      <w:lvlJc w:val="left"/>
      <w:pPr>
        <w:ind w:left="1216" w:hanging="336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56" w:hanging="336"/>
      </w:pPr>
      <w:rPr>
        <w:rFonts w:hint="default" w:ascii="Wingdings" w:hAnsi="Wingdings" w:cs="Wingdings"/>
      </w:rPr>
    </w:lvl>
    <w:lvl w:ilvl="4" w:tentative="0">
      <w:start w:val="1"/>
      <w:numFmt w:val="bullet"/>
      <w:lvlText w:val="¡"/>
      <w:lvlJc w:val="left"/>
      <w:pPr>
        <w:ind w:left="2096" w:hanging="336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"/>
      <w:lvlJc w:val="left"/>
      <w:pPr>
        <w:ind w:left="2536" w:hanging="336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76" w:hanging="336"/>
      </w:pPr>
      <w:rPr>
        <w:rFonts w:hint="default" w:ascii="Wingdings" w:hAnsi="Wingdings" w:cs="Wingdings"/>
      </w:rPr>
    </w:lvl>
    <w:lvl w:ilvl="7" w:tentative="0">
      <w:start w:val="1"/>
      <w:numFmt w:val="bullet"/>
      <w:lvlText w:val="¡"/>
      <w:lvlJc w:val="left"/>
      <w:pPr>
        <w:ind w:left="3416" w:hanging="336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"/>
      <w:lvlJc w:val="left"/>
      <w:pPr>
        <w:ind w:left="3856" w:hanging="336"/>
      </w:pPr>
      <w:rPr>
        <w:rFonts w:hint="default" w:ascii="Wingdings" w:hAnsi="Wingdings" w:cs="Wingdings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bullet"/>
      <w:lvlText w:val=""/>
      <w:lvlJc w:val="left"/>
      <w:pPr>
        <w:ind w:left="336" w:hanging="336"/>
      </w:pPr>
      <w:rPr>
        <w:rFonts w:hint="default" w:ascii="Wingdings" w:hAnsi="Wingdings" w:cs="Wingdings"/>
      </w:rPr>
    </w:lvl>
    <w:lvl w:ilvl="1" w:tentative="0">
      <w:start w:val="1"/>
      <w:numFmt w:val="bullet"/>
      <w:lvlText w:val="¡"/>
      <w:lvlJc w:val="left"/>
      <w:pPr>
        <w:ind w:left="776" w:hanging="336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"/>
      <w:lvlJc w:val="left"/>
      <w:pPr>
        <w:ind w:left="1216" w:hanging="336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56" w:hanging="336"/>
      </w:pPr>
      <w:rPr>
        <w:rFonts w:hint="default" w:ascii="Wingdings" w:hAnsi="Wingdings" w:cs="Wingdings"/>
      </w:rPr>
    </w:lvl>
    <w:lvl w:ilvl="4" w:tentative="0">
      <w:start w:val="1"/>
      <w:numFmt w:val="bullet"/>
      <w:lvlText w:val="¡"/>
      <w:lvlJc w:val="left"/>
      <w:pPr>
        <w:ind w:left="2096" w:hanging="336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"/>
      <w:lvlJc w:val="left"/>
      <w:pPr>
        <w:ind w:left="2536" w:hanging="336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76" w:hanging="336"/>
      </w:pPr>
      <w:rPr>
        <w:rFonts w:hint="default" w:ascii="Wingdings" w:hAnsi="Wingdings" w:cs="Wingdings"/>
      </w:rPr>
    </w:lvl>
    <w:lvl w:ilvl="7" w:tentative="0">
      <w:start w:val="1"/>
      <w:numFmt w:val="bullet"/>
      <w:lvlText w:val="¡"/>
      <w:lvlJc w:val="left"/>
      <w:pPr>
        <w:ind w:left="3416" w:hanging="336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"/>
      <w:lvlJc w:val="left"/>
      <w:pPr>
        <w:ind w:left="3856" w:hanging="336"/>
      </w:pPr>
      <w:rPr>
        <w:rFonts w:hint="default" w:ascii="Wingdings" w:hAnsi="Wingdings" w:cs="Wingdings"/>
      </w:rPr>
    </w:lvl>
  </w:abstractNum>
  <w:abstractNum w:abstractNumId="2">
    <w:nsid w:val="25B654F3"/>
    <w:multiLevelType w:val="multilevel"/>
    <w:tmpl w:val="25B654F3"/>
    <w:lvl w:ilvl="0" w:tentative="0">
      <w:start w:val="1"/>
      <w:numFmt w:val="bullet"/>
      <w:lvlText w:val=""/>
      <w:lvlJc w:val="left"/>
      <w:pPr>
        <w:ind w:left="336" w:hanging="336"/>
      </w:pPr>
      <w:rPr>
        <w:rFonts w:hint="default" w:ascii="Wingdings" w:hAnsi="Wingdings" w:cs="Wingdings"/>
      </w:rPr>
    </w:lvl>
    <w:lvl w:ilvl="1" w:tentative="0">
      <w:start w:val="1"/>
      <w:numFmt w:val="bullet"/>
      <w:lvlText w:val="¡"/>
      <w:lvlJc w:val="left"/>
      <w:pPr>
        <w:ind w:left="776" w:hanging="336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"/>
      <w:lvlJc w:val="left"/>
      <w:pPr>
        <w:ind w:left="1216" w:hanging="336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56" w:hanging="336"/>
      </w:pPr>
      <w:rPr>
        <w:rFonts w:hint="default" w:ascii="Wingdings" w:hAnsi="Wingdings" w:cs="Wingdings"/>
      </w:rPr>
    </w:lvl>
    <w:lvl w:ilvl="4" w:tentative="0">
      <w:start w:val="1"/>
      <w:numFmt w:val="bullet"/>
      <w:lvlText w:val="¡"/>
      <w:lvlJc w:val="left"/>
      <w:pPr>
        <w:ind w:left="2096" w:hanging="336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"/>
      <w:lvlJc w:val="left"/>
      <w:pPr>
        <w:ind w:left="2536" w:hanging="336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76" w:hanging="336"/>
      </w:pPr>
      <w:rPr>
        <w:rFonts w:hint="default" w:ascii="Wingdings" w:hAnsi="Wingdings" w:cs="Wingdings"/>
      </w:rPr>
    </w:lvl>
    <w:lvl w:ilvl="7" w:tentative="0">
      <w:start w:val="1"/>
      <w:numFmt w:val="bullet"/>
      <w:lvlText w:val="¡"/>
      <w:lvlJc w:val="left"/>
      <w:pPr>
        <w:ind w:left="3416" w:hanging="336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"/>
      <w:lvlJc w:val="left"/>
      <w:pPr>
        <w:ind w:left="3856" w:hanging="336"/>
      </w:pPr>
      <w:rPr>
        <w:rFonts w:hint="default" w:ascii="Wingdings" w:hAnsi="Wingdings" w:cs="Wingdings"/>
      </w:rPr>
    </w:lvl>
  </w:abstractNum>
  <w:abstractNum w:abstractNumId="3">
    <w:nsid w:val="72183CF9"/>
    <w:multiLevelType w:val="multilevel"/>
    <w:tmpl w:val="72183CF9"/>
    <w:lvl w:ilvl="0" w:tentative="0">
      <w:start w:val="1"/>
      <w:numFmt w:val="bullet"/>
      <w:lvlText w:val=""/>
      <w:lvlJc w:val="left"/>
      <w:pPr>
        <w:ind w:left="336" w:hanging="336"/>
      </w:pPr>
      <w:rPr>
        <w:rFonts w:hint="default" w:ascii="Wingdings" w:hAnsi="Wingdings" w:cs="Wingdings"/>
      </w:rPr>
    </w:lvl>
    <w:lvl w:ilvl="1" w:tentative="0">
      <w:start w:val="1"/>
      <w:numFmt w:val="bullet"/>
      <w:lvlText w:val="¡"/>
      <w:lvlJc w:val="left"/>
      <w:pPr>
        <w:ind w:left="776" w:hanging="336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"/>
      <w:lvlJc w:val="left"/>
      <w:pPr>
        <w:ind w:left="1216" w:hanging="336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56" w:hanging="336"/>
      </w:pPr>
      <w:rPr>
        <w:rFonts w:hint="default" w:ascii="Wingdings" w:hAnsi="Wingdings" w:cs="Wingdings"/>
      </w:rPr>
    </w:lvl>
    <w:lvl w:ilvl="4" w:tentative="0">
      <w:start w:val="1"/>
      <w:numFmt w:val="bullet"/>
      <w:lvlText w:val="¡"/>
      <w:lvlJc w:val="left"/>
      <w:pPr>
        <w:ind w:left="2096" w:hanging="336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"/>
      <w:lvlJc w:val="left"/>
      <w:pPr>
        <w:ind w:left="2536" w:hanging="336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76" w:hanging="336"/>
      </w:pPr>
      <w:rPr>
        <w:rFonts w:hint="default" w:ascii="Wingdings" w:hAnsi="Wingdings" w:cs="Wingdings"/>
      </w:rPr>
    </w:lvl>
    <w:lvl w:ilvl="7" w:tentative="0">
      <w:start w:val="1"/>
      <w:numFmt w:val="bullet"/>
      <w:lvlText w:val="¡"/>
      <w:lvlJc w:val="left"/>
      <w:pPr>
        <w:ind w:left="3416" w:hanging="336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"/>
      <w:lvlJc w:val="left"/>
      <w:pPr>
        <w:ind w:left="3856" w:hanging="336"/>
      </w:pPr>
      <w:rPr>
        <w:rFonts w:hint="default" w:ascii="Wingdings" w:hAnsi="Wingdings" w:cs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220"/>
  <w:drawingGridVerticalSpacing w:val="38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A24D9F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1272C7E"/>
    <w:rsid w:val="01B464A4"/>
    <w:rsid w:val="01DB1C83"/>
    <w:rsid w:val="02380E83"/>
    <w:rsid w:val="07011CC2"/>
    <w:rsid w:val="07644792"/>
    <w:rsid w:val="08A92ADB"/>
    <w:rsid w:val="08C90A87"/>
    <w:rsid w:val="09284798"/>
    <w:rsid w:val="0CC17709"/>
    <w:rsid w:val="0CC41AAD"/>
    <w:rsid w:val="0F2B6FD9"/>
    <w:rsid w:val="116F688C"/>
    <w:rsid w:val="121D3BF2"/>
    <w:rsid w:val="12323B41"/>
    <w:rsid w:val="12AC38F3"/>
    <w:rsid w:val="12E0359D"/>
    <w:rsid w:val="13E26EA1"/>
    <w:rsid w:val="14E8498B"/>
    <w:rsid w:val="15EA028F"/>
    <w:rsid w:val="16007AB2"/>
    <w:rsid w:val="1647748F"/>
    <w:rsid w:val="183C240D"/>
    <w:rsid w:val="18664452"/>
    <w:rsid w:val="19DB4ABE"/>
    <w:rsid w:val="1AA24D9F"/>
    <w:rsid w:val="1B040045"/>
    <w:rsid w:val="1B391A9C"/>
    <w:rsid w:val="1B4548E5"/>
    <w:rsid w:val="1B56689D"/>
    <w:rsid w:val="1EB31B66"/>
    <w:rsid w:val="1F301408"/>
    <w:rsid w:val="20E73D48"/>
    <w:rsid w:val="257C53A7"/>
    <w:rsid w:val="2604714B"/>
    <w:rsid w:val="27D668C5"/>
    <w:rsid w:val="27FBD2E2"/>
    <w:rsid w:val="28DA2E89"/>
    <w:rsid w:val="2A4254F9"/>
    <w:rsid w:val="2AD4630F"/>
    <w:rsid w:val="2CCD0296"/>
    <w:rsid w:val="2D1F32F4"/>
    <w:rsid w:val="31350B00"/>
    <w:rsid w:val="315C42DF"/>
    <w:rsid w:val="323B4D81"/>
    <w:rsid w:val="32870EE7"/>
    <w:rsid w:val="336F56B0"/>
    <w:rsid w:val="33AF4B9A"/>
    <w:rsid w:val="34B70380"/>
    <w:rsid w:val="36252EF1"/>
    <w:rsid w:val="389B749B"/>
    <w:rsid w:val="3934169D"/>
    <w:rsid w:val="3962445C"/>
    <w:rsid w:val="3AE174A3"/>
    <w:rsid w:val="3B63409B"/>
    <w:rsid w:val="3BA40D5C"/>
    <w:rsid w:val="3EA352FB"/>
    <w:rsid w:val="3F281CA4"/>
    <w:rsid w:val="406B009A"/>
    <w:rsid w:val="4093139F"/>
    <w:rsid w:val="40C652D1"/>
    <w:rsid w:val="41B45A71"/>
    <w:rsid w:val="42C27D1A"/>
    <w:rsid w:val="433F136A"/>
    <w:rsid w:val="43446334"/>
    <w:rsid w:val="44A84E71"/>
    <w:rsid w:val="45605CF4"/>
    <w:rsid w:val="45A656D1"/>
    <w:rsid w:val="465477E8"/>
    <w:rsid w:val="477DCE1E"/>
    <w:rsid w:val="4A062BE2"/>
    <w:rsid w:val="4A0B1FA6"/>
    <w:rsid w:val="4A54394D"/>
    <w:rsid w:val="4ACF2C07"/>
    <w:rsid w:val="4B7826D5"/>
    <w:rsid w:val="4BC11DE8"/>
    <w:rsid w:val="4BC32B39"/>
    <w:rsid w:val="4CD64AED"/>
    <w:rsid w:val="4CDD7C2A"/>
    <w:rsid w:val="4DBC3CE3"/>
    <w:rsid w:val="4F8545A9"/>
    <w:rsid w:val="4FD5444B"/>
    <w:rsid w:val="50302496"/>
    <w:rsid w:val="503E6C32"/>
    <w:rsid w:val="51B11685"/>
    <w:rsid w:val="522B1438"/>
    <w:rsid w:val="52E37F64"/>
    <w:rsid w:val="56E36785"/>
    <w:rsid w:val="573E1E21"/>
    <w:rsid w:val="597A2501"/>
    <w:rsid w:val="5B334EF5"/>
    <w:rsid w:val="5B487E91"/>
    <w:rsid w:val="5BB354BE"/>
    <w:rsid w:val="5C6519EA"/>
    <w:rsid w:val="5CF9550F"/>
    <w:rsid w:val="5D047732"/>
    <w:rsid w:val="5D72616D"/>
    <w:rsid w:val="5EFEBDE8"/>
    <w:rsid w:val="5F1D47FE"/>
    <w:rsid w:val="61903065"/>
    <w:rsid w:val="6239194F"/>
    <w:rsid w:val="629848C7"/>
    <w:rsid w:val="6477675E"/>
    <w:rsid w:val="64D43BB1"/>
    <w:rsid w:val="653D52B2"/>
    <w:rsid w:val="67220C03"/>
    <w:rsid w:val="67DA7730"/>
    <w:rsid w:val="68CA2609"/>
    <w:rsid w:val="68CC1AED"/>
    <w:rsid w:val="69BB0F42"/>
    <w:rsid w:val="6A637494"/>
    <w:rsid w:val="6BCF62E6"/>
    <w:rsid w:val="6CD3A16D"/>
    <w:rsid w:val="6D535020"/>
    <w:rsid w:val="6E5F49A6"/>
    <w:rsid w:val="6ED87FC8"/>
    <w:rsid w:val="6F433E0D"/>
    <w:rsid w:val="6FFF37D2"/>
    <w:rsid w:val="704A4D27"/>
    <w:rsid w:val="70DE2EF1"/>
    <w:rsid w:val="712612F0"/>
    <w:rsid w:val="73BE2FA7"/>
    <w:rsid w:val="74820F33"/>
    <w:rsid w:val="755C3532"/>
    <w:rsid w:val="76342701"/>
    <w:rsid w:val="77FE4C91"/>
    <w:rsid w:val="7C5F4108"/>
    <w:rsid w:val="7DA168CE"/>
    <w:rsid w:val="7F79C282"/>
    <w:rsid w:val="7F7B6CAE"/>
    <w:rsid w:val="7F8C0EB8"/>
    <w:rsid w:val="7FBF6DD0"/>
    <w:rsid w:val="7FCD17FE"/>
    <w:rsid w:val="7FD7E9A0"/>
    <w:rsid w:val="7FE9FBB2"/>
    <w:rsid w:val="8FFFA67E"/>
    <w:rsid w:val="A97F623E"/>
    <w:rsid w:val="AFBF8780"/>
    <w:rsid w:val="BE3F6478"/>
    <w:rsid w:val="BEEFCB4B"/>
    <w:rsid w:val="BFE6F841"/>
    <w:rsid w:val="BFFBDBCA"/>
    <w:rsid w:val="D5DE8897"/>
    <w:rsid w:val="E7FE3684"/>
    <w:rsid w:val="E95E2A0D"/>
    <w:rsid w:val="EFFF70E4"/>
    <w:rsid w:val="F7EEC240"/>
    <w:rsid w:val="FBF75102"/>
    <w:rsid w:val="FDDC5620"/>
    <w:rsid w:val="FDEA700A"/>
    <w:rsid w:val="FE6F308B"/>
    <w:rsid w:val="FFBFCE42"/>
    <w:rsid w:val="FFFF4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qFormat="1"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keepLines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line="480" w:lineRule="auto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line="480" w:lineRule="auto"/>
      <w:outlineLvl w:val="5"/>
    </w:pPr>
    <w:rPr>
      <w:b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line="480" w:lineRule="auto"/>
      <w:outlineLvl w:val="6"/>
    </w:pPr>
    <w:rPr>
      <w:b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line="480" w:lineRule="auto"/>
      <w:outlineLvl w:val="7"/>
    </w:pPr>
    <w:rPr>
      <w:b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line="480" w:lineRule="auto"/>
      <w:outlineLvl w:val="8"/>
    </w:pPr>
    <w:rPr>
      <w:b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8"/>
    <w:basedOn w:val="1"/>
    <w:next w:val="1"/>
    <w:qFormat/>
    <w:uiPriority w:val="99"/>
    <w:pPr>
      <w:ind w:left="2940" w:leftChars="14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3"/>
    <w:qFormat/>
    <w:uiPriority w:val="0"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paragraph" w:styleId="15">
    <w:name w:val="Title"/>
    <w:basedOn w:val="1"/>
    <w:next w:val="1"/>
    <w:link w:val="22"/>
    <w:qFormat/>
    <w:uiPriority w:val="0"/>
    <w:pPr>
      <w:jc w:val="center"/>
      <w:outlineLvl w:val="0"/>
    </w:pPr>
    <w:rPr>
      <w:rFonts w:cstheme="majorBidi"/>
      <w:b/>
      <w:bCs/>
      <w:sz w:val="48"/>
      <w:szCs w:val="32"/>
    </w:rPr>
  </w:style>
  <w:style w:type="table" w:styleId="17">
    <w:name w:val="Table Grid"/>
    <w:basedOn w:val="16"/>
    <w:qFormat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19">
    <w:name w:val="Hyperlink"/>
    <w:basedOn w:val="18"/>
    <w:qFormat/>
    <w:uiPriority w:val="0"/>
    <w:rPr>
      <w:color w:val="1E6FFF"/>
      <w:u w:val="single"/>
    </w:rPr>
  </w:style>
  <w:style w:type="character" w:customStyle="1" w:styleId="20">
    <w:name w:val="melo-codeblock-Base-theme-char"/>
    <w:qFormat/>
    <w:uiPriority w:val="99"/>
    <w:rPr>
      <w:rFonts w:ascii="Monaco" w:hAnsi="Monaco" w:eastAsia="Monaco" w:cs="Monaco"/>
      <w:color w:val="000000"/>
      <w:sz w:val="21"/>
    </w:rPr>
  </w:style>
  <w:style w:type="paragraph" w:customStyle="1" w:styleId="21">
    <w:name w:val="melo-codeblock-Base-theme-para"/>
    <w:qFormat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  <w:lang w:val="en-US" w:eastAsia="zh-CN" w:bidi="ar-SA"/>
    </w:rPr>
  </w:style>
  <w:style w:type="character" w:customStyle="1" w:styleId="22">
    <w:name w:val="标题 字符"/>
    <w:basedOn w:val="18"/>
    <w:link w:val="15"/>
    <w:qFormat/>
    <w:uiPriority w:val="0"/>
    <w:rPr>
      <w:rFonts w:ascii="Arial" w:hAnsi="Arial" w:eastAsia="微软雅黑" w:cstheme="majorBidi"/>
      <w:b/>
      <w:bCs/>
      <w:kern w:val="2"/>
      <w:sz w:val="48"/>
      <w:szCs w:val="32"/>
    </w:rPr>
  </w:style>
  <w:style w:type="character" w:customStyle="1" w:styleId="23">
    <w:name w:val="副标题 字符"/>
    <w:basedOn w:val="18"/>
    <w:link w:val="14"/>
    <w:qFormat/>
    <w:uiPriority w:val="0"/>
    <w:rPr>
      <w:rFonts w:ascii="Arial" w:hAnsi="Arial" w:eastAsia="微软雅黑" w:cstheme="minorBidi"/>
      <w:b/>
      <w:bCs/>
      <w:kern w:val="28"/>
      <w:sz w:val="44"/>
      <w:szCs w:val="32"/>
    </w:rPr>
  </w:style>
  <w:style w:type="table" w:customStyle="1" w:styleId="24">
    <w:name w:val="Doc Table Column 1st"/>
    <w:basedOn w:val="17"/>
    <w:qFormat/>
    <w:uiPriority w:val="50"/>
    <w:tblStylePr w:type="firstRow">
      <w:tcPr>
        <w:shd w:val="clear" w:color="auto" w:fill="F3F5F7"/>
      </w:tcPr>
    </w:tblStylePr>
    <w:tblStylePr w:type="firstCol">
      <w:tcPr>
        <w:shd w:val="clear" w:color="auto" w:fill="F3F5F7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4713</Words>
  <Characters>5556</Characters>
  <TotalTime>5</TotalTime>
  <ScaleCrop>false</ScaleCrop>
  <LinksUpToDate>false</LinksUpToDate>
  <CharactersWithSpaces>5626</CharactersWithSpaces>
  <Application>WPS Office_11.8.2.10624_F1E327BC-269C-435d-A152-05C5408002CA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2025-10-13T12:38:00Z</dcterms:created>
  <dc:creator>Administrator</dc:creator>
  <cp:lastModifiedBy>kmcg</cp:lastModifiedBy>
  <cp:lastPrinted>2025-10-13T19:16:00Z</cp:lastPrinted>
  <dcterms:modified xsi:type="dcterms:W3CDTF">2025-11-06T09:30:47Z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00119144030071526726XG1I0YC","ProduceID":"d5c6a733-d16b-4e2c-81d2-ffff81804102_MToyOjI=","ReservedCode1":"i1dx1eDeGHJxOmEeRBf48nvjSGP3sNczk1Ch1+CI9TSddHiksNkVwBUTIXArE95Jn+kbGtV/j4Ej9Mo2HNn4ZkX0mKuzc/slWLJJM5s3Ndl2zMhGCC4uBwyTXt5kC9GmmObJbQmf/FWdlcTCF7y7UsCttfQ=","ContentPropagator":"00119144030071526726XG1I0YC","PropagateID":"d5c6a733-d16b-4e2c-81d2-ffff81804102_MToyOjI=","ReservedCode2":"i1dx1eDeGHJxOmEeRBf48nvjSGP3sNczk1Ch1+CI9TSddHiksNkVwBUTIXArE95Jn+kbGtV/j4Ej9Mo2HNn4ZkX0mKuzc/slWLJJM5s3Ndl2zMhGCC4uBwyTXt5kC9GmmObJbQmf/FWdlcTCF7y7UsCttfQ="}</vt:lpwstr>
  </property>
  <property fmtid="{D5CDD505-2E9C-101B-9397-08002B2CF9AE}" pid="3" name="KSOTemplateDocerSaveRecord">
    <vt:lpwstr>eyJoZGlkIjoiZTQxNWY3NDZlNGYyOGVkMzFkNDA0MGMxYjFiZjJjNDgiLCJ1c2VySWQiOiI1MDYxODY4In0=</vt:lpwstr>
  </property>
  <property fmtid="{D5CDD505-2E9C-101B-9397-08002B2CF9AE}" pid="4" name="KSOProductBuildVer">
    <vt:lpwstr>2052-11.8.2.10624</vt:lpwstr>
  </property>
  <property fmtid="{D5CDD505-2E9C-101B-9397-08002B2CF9AE}" pid="5" name="ICV">
    <vt:lpwstr>268D50D0D7334A6F9886115C0AE014D3_13</vt:lpwstr>
  </property>
</Properties>
</file>