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监督索引号53011400376201000</w:t>
      </w:r>
    </w:p>
    <w:p>
      <w:pPr>
        <w:jc w:val="center"/>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cs="方正小标宋简体" w:hint="eastAsia"/>
          <w:sz w:val="36"/>
          <w:szCs w:val="36"/>
          <w:highlight w:val="none"/>
          <w:lang w:val="en-US" w:eastAsia="zh-CN"/>
        </w:rPr>
        <w:t xml:space="preserve">  昆明市呈贡区残疾人联合会2024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spacing w:line="560" w:lineRule="exact"/>
        <w:ind w:firstLine="600" w:firstLineChars="200"/>
        <w:rPr>
          <w:rFonts w:eastAsia="仿宋_GB2312" w:hint="eastAsia"/>
          <w:sz w:val="30"/>
          <w:szCs w:val="30"/>
        </w:rPr>
      </w:pPr>
      <w:r>
        <w:rPr>
          <w:rFonts w:eastAsia="仿宋_GB2312" w:hint="eastAsia"/>
          <w:sz w:val="30"/>
          <w:szCs w:val="30"/>
        </w:rPr>
        <w:t>呈贡区残联作为政府和残疾人的沟通桥梁，履行“代表、服务、管理”职能，即代表残疾人共同利益，维护残疾人的合法权益；团结教育残疾人，为残疾人服务；履行政府赋予的职责，管理和发展残疾人事业。</w:t>
      </w:r>
    </w:p>
    <w:p>
      <w:pPr>
        <w:numPr>
          <w:ilvl w:val="0"/>
          <w:numId w:val="1"/>
        </w:num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pPr>
        <w:keepNext w:val="0"/>
        <w:keepLines w:val="0"/>
        <w:pageBreakBefore w:val="0"/>
        <w:kinsoku/>
        <w:wordWrap/>
        <w:overflowPunct/>
        <w:topLinePunct w:val="0"/>
        <w:autoSpaceDE/>
        <w:autoSpaceDN/>
        <w:bidi w:val="0"/>
        <w:spacing w:line="600" w:lineRule="exact"/>
        <w:ind w:firstLine="600" w:firstLineChars="200"/>
        <w:rPr>
          <w:rFonts w:ascii="仿宋_GB2312" w:eastAsia="仿宋_GB2312" w:hint="eastAsia"/>
          <w:color w:val="auto"/>
          <w:sz w:val="30"/>
          <w:szCs w:val="30"/>
          <w:lang w:eastAsia="zh-CN"/>
        </w:rPr>
      </w:pPr>
      <w:r>
        <w:rPr>
          <w:rFonts w:ascii="仿宋_GB2312" w:eastAsia="仿宋_GB2312" w:hint="eastAsia"/>
          <w:sz w:val="30"/>
          <w:szCs w:val="30"/>
          <w:highlight w:val="none"/>
          <w:lang w:val="en-US" w:eastAsia="zh-CN"/>
        </w:rPr>
        <w:t>我</w:t>
      </w:r>
      <w:r>
        <w:rPr>
          <w:rFonts w:ascii="仿宋_GB2312" w:eastAsia="仿宋_GB2312" w:hint="eastAsia"/>
          <w:color w:val="auto"/>
          <w:sz w:val="30"/>
          <w:szCs w:val="30"/>
          <w:lang w:eastAsia="zh-CN"/>
        </w:rPr>
        <w:t>我部门共设置三个内设机构，包括：办公室、事业科、综合服务中心。无所属单位。</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pPr>
        <w:keepNext w:val="0"/>
        <w:keepLines w:val="0"/>
        <w:pageBreakBefore w:val="0"/>
        <w:numPr>
          <w:ilvl w:val="0"/>
          <w:numId w:val="0"/>
        </w:numPr>
        <w:kinsoku/>
        <w:wordWrap/>
        <w:overflowPunct/>
        <w:topLinePunct w:val="0"/>
        <w:autoSpaceDE/>
        <w:autoSpaceDN/>
        <w:bidi w:val="0"/>
        <w:spacing w:line="600" w:lineRule="exact"/>
        <w:ind w:firstLine="600" w:firstLineChars="200"/>
        <w:rPr>
          <w:rFonts w:ascii="仿宋_GB2312" w:eastAsia="仿宋_GB2312" w:hint="eastAsia"/>
          <w:color w:val="auto"/>
          <w:sz w:val="30"/>
          <w:szCs w:val="30"/>
          <w:lang w:eastAsia="zh-CN"/>
        </w:rPr>
      </w:pPr>
      <w:r>
        <w:rPr>
          <w:rFonts w:ascii="仿宋_GB2312" w:eastAsia="仿宋_GB2312" w:hint="eastAsia"/>
          <w:color w:val="auto"/>
          <w:sz w:val="30"/>
          <w:szCs w:val="30"/>
        </w:rPr>
        <w:t>纳入</w:t>
      </w:r>
      <w:r>
        <w:rPr>
          <w:rFonts w:ascii="仿宋_GB2312" w:eastAsia="仿宋_GB2312" w:hint="eastAsia"/>
          <w:color w:val="auto"/>
          <w:sz w:val="30"/>
          <w:szCs w:val="30"/>
          <w:lang w:eastAsia="zh-CN"/>
        </w:rPr>
        <w:t>昆明市呈贡区残疾人联合会</w:t>
      </w:r>
      <w:r>
        <w:rPr>
          <w:rFonts w:ascii="仿宋_GB2312" w:eastAsia="仿宋_GB2312" w:hint="eastAsia"/>
          <w:color w:val="auto"/>
          <w:sz w:val="30"/>
          <w:szCs w:val="30"/>
          <w:lang w:val="en-US" w:eastAsia="zh-CN"/>
        </w:rPr>
        <w:t>2024</w:t>
      </w:r>
      <w:r>
        <w:rPr>
          <w:rFonts w:ascii="仿宋_GB2312" w:eastAsia="仿宋_GB2312" w:hint="eastAsia"/>
          <w:color w:val="auto"/>
          <w:sz w:val="30"/>
          <w:szCs w:val="30"/>
        </w:rPr>
        <w:t>年度部门决算编报的单位共</w:t>
      </w:r>
      <w:r>
        <w:rPr>
          <w:rFonts w:ascii="仿宋_GB2312" w:eastAsia="仿宋_GB2312" w:hint="eastAsia"/>
          <w:color w:val="auto"/>
          <w:sz w:val="30"/>
          <w:szCs w:val="30"/>
          <w:lang w:val="en-US" w:eastAsia="zh-CN"/>
        </w:rPr>
        <w:t>1</w:t>
      </w:r>
      <w:r>
        <w:rPr>
          <w:rFonts w:ascii="仿宋_GB2312" w:eastAsia="仿宋_GB2312" w:hint="eastAsia"/>
          <w:color w:val="auto"/>
          <w:sz w:val="30"/>
          <w:szCs w:val="30"/>
        </w:rPr>
        <w:t>个。其中：行政单位</w:t>
      </w:r>
      <w:r>
        <w:rPr>
          <w:rFonts w:ascii="仿宋_GB2312" w:eastAsia="仿宋_GB2312" w:hint="eastAsia"/>
          <w:color w:val="auto"/>
          <w:sz w:val="30"/>
          <w:szCs w:val="30"/>
          <w:lang w:val="en-US" w:eastAsia="zh-CN"/>
        </w:rPr>
        <w:t>0</w:t>
      </w:r>
      <w:r>
        <w:rPr>
          <w:rFonts w:ascii="仿宋_GB2312" w:eastAsia="仿宋_GB2312" w:hint="eastAsia"/>
          <w:color w:val="auto"/>
          <w:sz w:val="30"/>
          <w:szCs w:val="30"/>
        </w:rPr>
        <w:t>个，参照公务员法管理的事业单位</w:t>
      </w:r>
      <w:r>
        <w:rPr>
          <w:rFonts w:ascii="仿宋_GB2312" w:eastAsia="仿宋_GB2312" w:hint="eastAsia"/>
          <w:color w:val="auto"/>
          <w:sz w:val="30"/>
          <w:szCs w:val="30"/>
          <w:lang w:val="en-US" w:eastAsia="zh-CN"/>
        </w:rPr>
        <w:t>1</w:t>
      </w:r>
      <w:r>
        <w:rPr>
          <w:rFonts w:ascii="仿宋_GB2312" w:eastAsia="仿宋_GB2312" w:hint="eastAsia"/>
          <w:color w:val="auto"/>
          <w:sz w:val="30"/>
          <w:szCs w:val="30"/>
        </w:rPr>
        <w:t>个，其他事业单位</w:t>
      </w:r>
      <w:r>
        <w:rPr>
          <w:rFonts w:ascii="仿宋_GB2312" w:eastAsia="仿宋_GB2312" w:hint="eastAsia"/>
          <w:color w:val="auto"/>
          <w:sz w:val="30"/>
          <w:szCs w:val="30"/>
          <w:lang w:val="en-US" w:eastAsia="zh-CN"/>
        </w:rPr>
        <w:t>0</w:t>
      </w:r>
      <w:r>
        <w:rPr>
          <w:rFonts w:ascii="仿宋_GB2312" w:eastAsia="仿宋_GB2312" w:hint="eastAsia"/>
          <w:color w:val="auto"/>
          <w:sz w:val="30"/>
          <w:szCs w:val="30"/>
        </w:rPr>
        <w:t>个。分别是：</w:t>
      </w:r>
      <w:r>
        <w:rPr>
          <w:rFonts w:ascii="仿宋_GB2312" w:eastAsia="仿宋_GB2312" w:hint="eastAsia"/>
          <w:color w:val="auto"/>
          <w:sz w:val="30"/>
          <w:szCs w:val="30"/>
          <w:lang w:eastAsia="zh-CN"/>
        </w:rPr>
        <w:t>昆明市呈贡区残疾人联合会。</w:t>
      </w:r>
    </w:p>
    <w:p>
      <w:pPr>
        <w:widowControl/>
        <w:snapToGrid w:val="0"/>
        <w:spacing w:before="100" w:after="100"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昆明市呈贡区残疾人联合会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w:t>
      </w:r>
      <w:r>
        <w:rPr>
          <w:rFonts w:ascii="仿宋_GB2312" w:eastAsia="仿宋_GB2312" w:hint="eastAsia"/>
          <w:sz w:val="30"/>
          <w:szCs w:val="30"/>
          <w:highlight w:val="none"/>
          <w:lang w:eastAsia="zh-CN"/>
        </w:rPr>
        <w:t>与我部门所属单位范围保持一致。</w:t>
      </w:r>
    </w:p>
    <w:p>
      <w:pPr>
        <w:widowControl/>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int="eastAsia"/>
          <w:sz w:val="30"/>
          <w:szCs w:val="30"/>
          <w:highlight w:val="none"/>
          <w:lang w:val="en-US" w:eastAsia="zh-CN"/>
        </w:rPr>
        <w:t>5</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int="eastAsia"/>
          <w:sz w:val="30"/>
          <w:szCs w:val="30"/>
          <w:highlight w:val="none"/>
          <w:lang w:val="en-US" w:eastAsia="zh-CN"/>
        </w:rPr>
        <w:t>5</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人，机关和事业工人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int="eastAsia"/>
          <w:sz w:val="30"/>
          <w:szCs w:val="30"/>
          <w:highlight w:val="none"/>
          <w:lang w:val="en-US" w:eastAsia="zh-CN"/>
        </w:rPr>
        <w:t>10人。包括财政拨款开支经费的人员10</w:t>
      </w:r>
      <w:r>
        <w:rPr>
          <w:rFonts w:ascii="仿宋_GB2312" w:eastAsia="仿宋_GB2312" w:hint="eastAsia"/>
          <w:sz w:val="30"/>
          <w:szCs w:val="30"/>
          <w:highlight w:val="none"/>
          <w:lang w:eastAsia="zh-CN"/>
        </w:rPr>
        <w:t>人；经费自理人员</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人。</w:t>
      </w:r>
    </w:p>
    <w:p>
      <w:pPr>
        <w:spacing w:line="600" w:lineRule="exact"/>
        <w:ind w:firstLine="600" w:firstLineChars="200"/>
        <w:rPr>
          <w:rFonts w:ascii="仿宋_GB2312" w:eastAsia="仿宋_GB2312" w:hAnsi="宋体" w:cs="Arial" w:hint="default"/>
          <w:kern w:val="0"/>
          <w:sz w:val="30"/>
          <w:szCs w:val="30"/>
          <w:highlight w:val="none"/>
          <w:lang w:val="en-US" w:eastAsia="zh-CN"/>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宋体" w:cs="Arial" w:hint="eastAsia"/>
          <w:kern w:val="0"/>
          <w:sz w:val="30"/>
          <w:szCs w:val="30"/>
          <w:highlight w:val="none"/>
          <w:lang w:val="en-US" w:eastAsia="zh-CN"/>
        </w:rPr>
        <w:t>1人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pPr>
        <w:spacing w:line="600" w:lineRule="exact"/>
        <w:ind w:firstLine="600" w:firstLineChars="200"/>
        <w:jc w:val="left"/>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车辆编制1辆，在编实有车辆1辆，超编0辆。</w:t>
      </w:r>
    </w:p>
    <w:p>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pPr>
        <w:spacing w:line="600" w:lineRule="exact"/>
        <w:ind w:firstLine="600" w:firstLineChars="200"/>
        <w:rPr>
          <w:rFonts w:ascii="Times New Roman" w:eastAsia="仿宋_GB2312" w:hAnsi="Times New Roman" w:cs="Times New Roman" w:hint="eastAsia"/>
          <w:color w:val="auto"/>
          <w:spacing w:val="0"/>
          <w:sz w:val="32"/>
          <w:szCs w:val="32"/>
          <w:highlight w:val="none"/>
          <w:lang w:val="en-US" w:eastAsia="zh-CN"/>
        </w:rPr>
      </w:pPr>
      <w:r>
        <w:rPr>
          <w:rFonts w:ascii="仿宋_GB2312" w:eastAsia="仿宋_GB2312" w:hAnsi="宋体" w:cs="Arial" w:hint="eastAsia"/>
          <w:kern w:val="0"/>
          <w:sz w:val="30"/>
          <w:szCs w:val="30"/>
          <w:highlight w:val="none"/>
          <w:lang w:val="en-US" w:eastAsia="zh-CN"/>
        </w:rPr>
        <w:t>落实</w:t>
      </w:r>
      <w:r>
        <w:rPr>
          <w:rFonts w:ascii="仿宋_GB2312" w:eastAsia="仿宋_GB2312" w:hAnsi="宋体" w:cs="Arial" w:hint="eastAsia"/>
          <w:kern w:val="0"/>
          <w:sz w:val="30"/>
          <w:szCs w:val="30"/>
          <w:highlight w:val="none"/>
        </w:rPr>
        <w:t>残疾人社会保障</w:t>
      </w:r>
      <w:r>
        <w:rPr>
          <w:rFonts w:ascii="仿宋_GB2312" w:eastAsia="仿宋_GB2312" w:hAnsi="宋体" w:cs="Arial" w:hint="eastAsia"/>
          <w:kern w:val="0"/>
          <w:sz w:val="30"/>
          <w:szCs w:val="30"/>
          <w:highlight w:val="none"/>
          <w:lang w:eastAsia="zh-CN"/>
        </w:rPr>
        <w:t>制度</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坚决维护残疾人权益；</w:t>
      </w:r>
      <w:r>
        <w:rPr>
          <w:rFonts w:ascii="仿宋_GB2312" w:eastAsia="仿宋_GB2312" w:hAnsi="宋体" w:cs="Arial" w:hint="default"/>
          <w:kern w:val="0"/>
          <w:sz w:val="30"/>
          <w:szCs w:val="30"/>
          <w:highlight w:val="none"/>
          <w:lang w:eastAsia="zh-CN"/>
        </w:rPr>
        <w:t>开展残疾人精准康复工作</w:t>
      </w:r>
      <w:r>
        <w:rPr>
          <w:rFonts w:ascii="仿宋_GB2312" w:eastAsia="仿宋_GB2312" w:hAnsi="宋体" w:cs="Arial" w:hint="default"/>
          <w:kern w:val="0"/>
          <w:sz w:val="30"/>
          <w:szCs w:val="30"/>
          <w:highlight w:val="none"/>
        </w:rPr>
        <w:t>，</w:t>
      </w:r>
      <w:r>
        <w:rPr>
          <w:rFonts w:ascii="仿宋_GB2312" w:eastAsia="仿宋_GB2312" w:hAnsi="宋体" w:cs="Arial" w:hint="default"/>
          <w:kern w:val="0"/>
          <w:sz w:val="30"/>
          <w:szCs w:val="30"/>
          <w:highlight w:val="none"/>
          <w:lang w:eastAsia="zh-CN"/>
        </w:rPr>
        <w:t>提升残疾人康复服务水平</w:t>
      </w:r>
      <w:r>
        <w:rPr>
          <w:rFonts w:ascii="仿宋_GB2312" w:eastAsia="仿宋_GB2312" w:hAnsi="宋体" w:cs="Arial" w:hint="eastAsia"/>
          <w:kern w:val="0"/>
          <w:sz w:val="30"/>
          <w:szCs w:val="30"/>
          <w:highlight w:val="none"/>
          <w:lang w:eastAsia="zh-CN"/>
        </w:rPr>
        <w:t>；</w:t>
      </w:r>
      <w:r>
        <w:rPr>
          <w:rFonts w:ascii="仿宋_GB2312" w:eastAsia="仿宋_GB2312" w:hAnsi="宋体" w:cs="Arial" w:hint="default"/>
          <w:kern w:val="0"/>
          <w:sz w:val="30"/>
          <w:szCs w:val="30"/>
          <w:highlight w:val="none"/>
          <w:lang w:val="en-US" w:eastAsia="zh-CN"/>
        </w:rPr>
        <w:t>开展残疾人就业</w:t>
      </w:r>
      <w:r>
        <w:rPr>
          <w:rFonts w:ascii="仿宋_GB2312" w:eastAsia="仿宋_GB2312" w:hAnsi="宋体" w:cs="Arial" w:hint="eastAsia"/>
          <w:kern w:val="0"/>
          <w:sz w:val="30"/>
          <w:szCs w:val="30"/>
          <w:highlight w:val="none"/>
          <w:lang w:val="en-US" w:eastAsia="zh-CN"/>
        </w:rPr>
        <w:t>帮扶</w:t>
      </w:r>
      <w:r>
        <w:rPr>
          <w:rFonts w:ascii="仿宋_GB2312" w:eastAsia="仿宋_GB2312" w:hAnsi="宋体" w:cs="Arial" w:hint="default"/>
          <w:kern w:val="0"/>
          <w:sz w:val="30"/>
          <w:szCs w:val="30"/>
          <w:highlight w:val="none"/>
          <w:lang w:val="en-US" w:eastAsia="zh-CN"/>
        </w:rPr>
        <w:t>工作，</w:t>
      </w:r>
      <w:r>
        <w:rPr>
          <w:rFonts w:ascii="仿宋_GB2312" w:eastAsia="仿宋_GB2312" w:hAnsi="宋体" w:cs="Arial" w:hint="eastAsia"/>
          <w:kern w:val="0"/>
          <w:sz w:val="30"/>
          <w:szCs w:val="30"/>
          <w:highlight w:val="none"/>
          <w:lang w:val="en-US" w:eastAsia="zh-CN"/>
        </w:rPr>
        <w:t>提升残疾人生活</w:t>
      </w:r>
      <w:bookmarkStart w:id="0" w:name="_GoBack"/>
      <w:bookmarkEnd w:id="0"/>
      <w:r>
        <w:rPr>
          <w:rFonts w:ascii="仿宋_GB2312" w:eastAsia="仿宋_GB2312" w:hAnsi="宋体" w:cs="Arial" w:hint="eastAsia"/>
          <w:kern w:val="0"/>
          <w:sz w:val="30"/>
          <w:szCs w:val="30"/>
          <w:highlight w:val="none"/>
          <w:lang w:val="en-US" w:eastAsia="zh-CN"/>
        </w:rPr>
        <w:t>水平；</w:t>
      </w:r>
      <w:r>
        <w:rPr>
          <w:rFonts w:ascii="仿宋_GB2312" w:eastAsia="仿宋_GB2312" w:hAnsi="宋体" w:cs="Arial" w:hint="eastAsia"/>
          <w:kern w:val="0"/>
          <w:sz w:val="30"/>
          <w:szCs w:val="30"/>
          <w:highlight w:val="none"/>
        </w:rPr>
        <w:t>做好基础数据</w:t>
      </w:r>
      <w:r>
        <w:rPr>
          <w:rFonts w:ascii="仿宋_GB2312" w:eastAsia="仿宋_GB2312" w:hAnsi="宋体" w:cs="Arial" w:hint="eastAsia"/>
          <w:kern w:val="0"/>
          <w:sz w:val="30"/>
          <w:szCs w:val="30"/>
          <w:highlight w:val="none"/>
          <w:lang w:eastAsia="zh-CN"/>
        </w:rPr>
        <w:t>核查</w:t>
      </w:r>
      <w:r>
        <w:rPr>
          <w:rFonts w:ascii="仿宋_GB2312" w:eastAsia="仿宋_GB2312" w:hAnsi="宋体" w:cs="Arial" w:hint="eastAsia"/>
          <w:kern w:val="0"/>
          <w:sz w:val="30"/>
          <w:szCs w:val="30"/>
          <w:highlight w:val="none"/>
        </w:rPr>
        <w:t>统计，</w:t>
      </w:r>
      <w:r>
        <w:rPr>
          <w:rFonts w:ascii="仿宋_GB2312" w:eastAsia="仿宋_GB2312" w:hAnsi="宋体" w:cs="Arial" w:hint="eastAsia"/>
          <w:kern w:val="0"/>
          <w:sz w:val="30"/>
          <w:szCs w:val="30"/>
          <w:highlight w:val="none"/>
          <w:lang w:eastAsia="zh-CN"/>
        </w:rPr>
        <w:t>优化服务</w:t>
      </w:r>
      <w:r>
        <w:rPr>
          <w:rFonts w:ascii="仿宋_GB2312" w:eastAsia="仿宋_GB2312" w:hAnsi="宋体" w:cs="Arial" w:hint="eastAsia"/>
          <w:kern w:val="0"/>
          <w:sz w:val="30"/>
          <w:szCs w:val="30"/>
          <w:highlight w:val="none"/>
        </w:rPr>
        <w:t>残疾人</w:t>
      </w:r>
      <w:r>
        <w:rPr>
          <w:rFonts w:ascii="仿宋_GB2312" w:eastAsia="仿宋_GB2312" w:hAnsi="宋体" w:cs="Arial" w:hint="eastAsia"/>
          <w:kern w:val="0"/>
          <w:sz w:val="30"/>
          <w:szCs w:val="30"/>
          <w:highlight w:val="none"/>
          <w:lang w:eastAsia="zh-CN"/>
        </w:rPr>
        <w:t>举措</w:t>
      </w:r>
      <w:r>
        <w:rPr>
          <w:rFonts w:ascii="仿宋_GB2312" w:eastAsia="仿宋_GB2312" w:hAnsi="宋体" w:cs="Arial" w:hint="eastAsia"/>
          <w:kern w:val="0"/>
          <w:sz w:val="30"/>
          <w:szCs w:val="30"/>
          <w:highlight w:val="none"/>
          <w:lang w:val="en-US" w:eastAsia="zh-CN"/>
        </w:rPr>
        <w:t>。</w:t>
      </w:r>
    </w:p>
    <w:p>
      <w:pPr>
        <w:ind w:firstLine="2880" w:firstLineChars="900"/>
        <w:jc w:val="center"/>
        <w:rPr>
          <w:rFonts w:ascii="黑体" w:eastAsia="黑体" w:hAnsi="黑体" w:hint="eastAsia"/>
          <w:sz w:val="32"/>
          <w:szCs w:val="32"/>
          <w:highlight w:val="none"/>
        </w:rPr>
      </w:pPr>
    </w:p>
    <w:p>
      <w:pPr>
        <w:ind w:firstLine="2880" w:firstLineChars="900"/>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spacing w:line="600" w:lineRule="exact"/>
        <w:ind w:firstLine="600" w:firstLineChars="200"/>
        <w:jc w:val="center"/>
        <w:rPr>
          <w:rFonts w:ascii="仿宋_GB2312" w:eastAsia="仿宋_GB2312" w:hint="eastAsia"/>
          <w:sz w:val="30"/>
          <w:szCs w:val="30"/>
          <w:highlight w:val="none"/>
        </w:rPr>
      </w:pPr>
      <w:r>
        <w:rPr>
          <w:rFonts w:ascii="仿宋_GB2312" w:eastAsia="仿宋_GB2312" w:hint="eastAsia"/>
          <w:sz w:val="30"/>
          <w:szCs w:val="30"/>
          <w:highlight w:val="none"/>
        </w:rPr>
        <w:t>（详见附件）</w:t>
      </w:r>
    </w:p>
    <w:p>
      <w:pPr>
        <w:jc w:val="center"/>
        <w:rPr>
          <w:rFonts w:ascii="黑体" w:eastAsia="黑体" w:hAnsi="黑体" w:hint="eastAsia"/>
          <w:sz w:val="32"/>
          <w:szCs w:val="32"/>
          <w:highlight w:val="none"/>
        </w:rPr>
      </w:pPr>
      <w:r>
        <w:rPr>
          <w:rFonts w:ascii="黑体" w:eastAsia="黑体" w:hAnsi="黑体" w:hint="eastAsia"/>
          <w:sz w:val="32"/>
          <w:szCs w:val="32"/>
          <w:highlight w:val="none"/>
          <w:lang w:val="en-US" w:eastAsia="zh-CN"/>
        </w:rPr>
        <w:t xml:space="preserve">               </w:t>
      </w: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int="eastAsia"/>
          <w:sz w:val="30"/>
          <w:szCs w:val="30"/>
          <w:highlight w:val="none"/>
          <w:lang w:eastAsia="zh-CN"/>
        </w:rPr>
        <w:t>昆明市呈贡区残疾人联合会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int="eastAsia"/>
          <w:sz w:val="30"/>
          <w:szCs w:val="30"/>
          <w:highlight w:val="none"/>
          <w:lang w:val="en-US" w:eastAsia="zh-CN"/>
        </w:rPr>
        <w:t>5,586,939.87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int="eastAsia"/>
          <w:sz w:val="30"/>
          <w:szCs w:val="30"/>
          <w:highlight w:val="none"/>
          <w:lang w:val="en-US" w:eastAsia="zh-CN"/>
        </w:rPr>
        <w:t>5,586,939.87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100</w:t>
      </w:r>
      <w:r>
        <w:rPr>
          <w:rFonts w:ascii="仿宋_GB2312" w:eastAsia="仿宋_GB2312" w:hint="eastAsia"/>
          <w:sz w:val="30"/>
          <w:szCs w:val="30"/>
          <w:highlight w:val="none"/>
        </w:rPr>
        <w:t>%；上级补助收入</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%；事业收入</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元（含教育收费</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%；经营收入</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%；其他收入</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p>
    <w:p>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减少2,032,225.2</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下降26.67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减少2,032,225.2</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下降26.67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；无</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；无事业收入；无经营收入；无附属单位上缴收入；无其他收入。</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2024年较上年编制缩减，人员经费和公用经费减少</w:t>
      </w:r>
      <w:r>
        <w:rPr>
          <w:rFonts w:ascii="仿宋_GB2312" w:eastAsia="仿宋_GB2312" w:hint="eastAsia"/>
          <w:sz w:val="30"/>
          <w:szCs w:val="30"/>
          <w:highlight w:val="none"/>
        </w:rPr>
        <w:t>。</w:t>
      </w:r>
    </w:p>
    <w:p>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昆明市呈贡区残疾人联合会2024</w:t>
      </w:r>
      <w:r>
        <w:rPr>
          <w:rFonts w:ascii="仿宋_GB2312" w:eastAsia="仿宋_GB2312" w:hint="eastAsia"/>
          <w:sz w:val="30"/>
          <w:szCs w:val="30"/>
          <w:highlight w:val="none"/>
        </w:rPr>
        <w:t>年度支出合计</w:t>
      </w:r>
      <w:r>
        <w:rPr>
          <w:rFonts w:ascii="仿宋_GB2312" w:eastAsia="仿宋_GB2312" w:hint="eastAsia"/>
          <w:sz w:val="30"/>
          <w:szCs w:val="30"/>
          <w:highlight w:val="none"/>
          <w:lang w:val="en-US" w:eastAsia="zh-CN"/>
        </w:rPr>
        <w:t>5,586,939.87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rPr>
        <w:t>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902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685.52</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34.06</w:t>
      </w:r>
      <w:r>
        <w:rPr>
          <w:rFonts w:ascii="仿宋_GB2312" w:eastAsia="仿宋_GB2312" w:hAnsi="宋体" w:cs="Arial" w:hint="eastAsia"/>
          <w:kern w:val="0"/>
          <w:sz w:val="30"/>
          <w:szCs w:val="30"/>
          <w:highlight w:val="none"/>
        </w:rPr>
        <w:t>％；项目支出</w:t>
      </w:r>
      <w:r>
        <w:rPr>
          <w:rFonts w:ascii="仿宋_GB2312" w:eastAsia="仿宋_GB2312" w:hint="eastAsia"/>
          <w:sz w:val="30"/>
          <w:szCs w:val="30"/>
          <w:highlight w:val="none"/>
        </w:rPr>
        <w:t>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684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254.35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65.94</w:t>
      </w:r>
      <w:r>
        <w:rPr>
          <w:rFonts w:ascii="仿宋_GB2312" w:eastAsia="仿宋_GB2312" w:hAnsi="宋体" w:cs="Arial" w:hint="eastAsia"/>
          <w:kern w:val="0"/>
          <w:sz w:val="30"/>
          <w:szCs w:val="30"/>
          <w:highlight w:val="none"/>
        </w:rPr>
        <w:t>％；上缴上级支出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％；经营支出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％；对附属单位补助支出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w:t>
      </w:r>
    </w:p>
    <w:p>
      <w:pPr>
        <w:spacing w:line="600" w:lineRule="exact"/>
        <w:ind w:firstLine="600" w:firstLineChars="200"/>
        <w:rPr>
          <w:rFonts w:ascii="仿宋_GB2312" w:eastAsia="仿宋_GB2312" w:hint="default"/>
          <w:color w:val="FF0000"/>
          <w:sz w:val="30"/>
          <w:szCs w:val="30"/>
          <w:highlight w:val="none"/>
          <w:lang w:val="en-US"/>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val="en-US" w:eastAsia="zh-CN"/>
        </w:rPr>
        <w:t>减少2,032,225.2</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下降26.67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减少2,135,192.25</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下降52.88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；项目支出增加</w:t>
      </w:r>
      <w:r>
        <w:rPr>
          <w:rFonts w:ascii="仿宋_GB2312" w:eastAsia="仿宋_GB2312" w:hint="eastAsia"/>
          <w:sz w:val="30"/>
          <w:szCs w:val="30"/>
          <w:highlight w:val="none"/>
          <w:lang w:val="en-US" w:eastAsia="zh-CN"/>
        </w:rPr>
        <w:t>102,967.05</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2.88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；无上缴上级支出；无经营支出；无对附属单位补助支出。基本支出减少的</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2024年较上年编制缩减，人员经费和公用经费减少；项目支出增加的主要原因是2024年科学规划项目工作，积极推进项目完成进度，使项目进度较上年有所加快。</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int="eastAsia"/>
          <w:sz w:val="30"/>
          <w:szCs w:val="30"/>
          <w:highlight w:val="none"/>
          <w:lang w:eastAsia="zh-CN"/>
        </w:rPr>
        <w:t>昆明市呈贡区残疾人联合会</w:t>
      </w:r>
      <w:r>
        <w:rPr>
          <w:rFonts w:ascii="仿宋_GB2312" w:eastAsia="仿宋_GB2312" w:hint="eastAsia"/>
          <w:sz w:val="30"/>
          <w:szCs w:val="30"/>
          <w:highlight w:val="none"/>
        </w:rPr>
        <w:t>机关正常运转的日常支出</w:t>
      </w:r>
      <w:r>
        <w:rPr>
          <w:rFonts w:ascii="仿宋_GB2312" w:eastAsia="仿宋_GB2312" w:hint="eastAsia"/>
          <w:sz w:val="30"/>
          <w:szCs w:val="30"/>
          <w:highlight w:val="none"/>
          <w:lang w:val="en-US" w:eastAsia="zh-CN"/>
        </w:rPr>
        <w:t>1,902,,685.52</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基本工资、津贴补贴等人员经费支出1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168</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463.77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int="eastAsia"/>
          <w:sz w:val="30"/>
          <w:szCs w:val="30"/>
          <w:highlight w:val="none"/>
          <w:lang w:val="en-US" w:eastAsia="zh-CN"/>
        </w:rPr>
        <w:t>61.41</w:t>
      </w:r>
      <w:r>
        <w:rPr>
          <w:rFonts w:ascii="仿宋_GB2312" w:eastAsia="仿宋_GB2312" w:hint="eastAsia"/>
          <w:sz w:val="30"/>
          <w:szCs w:val="30"/>
          <w:highlight w:val="none"/>
        </w:rPr>
        <w:t>％；办公费、印刷费、水电费、办公设备购置等公用经费734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221.75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占基本支出的</w:t>
      </w:r>
      <w:r>
        <w:rPr>
          <w:rFonts w:ascii="仿宋_GB2312" w:eastAsia="仿宋_GB2312" w:hint="eastAsia"/>
          <w:sz w:val="30"/>
          <w:szCs w:val="30"/>
          <w:highlight w:val="none"/>
          <w:lang w:val="en-US" w:eastAsia="zh-CN"/>
        </w:rPr>
        <w:t>38.59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人均</w:t>
      </w:r>
      <w:r>
        <w:rPr>
          <w:rFonts w:ascii="仿宋_GB2312" w:eastAsia="仿宋_GB2312" w:hint="eastAsia"/>
          <w:sz w:val="30"/>
          <w:szCs w:val="30"/>
          <w:highlight w:val="none"/>
        </w:rPr>
        <w:t>人员经费支出</w:t>
      </w:r>
      <w:r>
        <w:rPr>
          <w:rFonts w:ascii="仿宋_GB2312" w:eastAsia="仿宋_GB2312" w:hint="eastAsia"/>
          <w:sz w:val="30"/>
          <w:szCs w:val="30"/>
          <w:highlight w:val="none"/>
          <w:lang w:val="en-US" w:eastAsia="zh-CN"/>
        </w:rPr>
        <w:t>77897.58元；人均公用经费支出48,948.12元</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int="eastAsia"/>
          <w:sz w:val="30"/>
          <w:szCs w:val="30"/>
          <w:highlight w:val="none"/>
          <w:lang w:eastAsia="zh-CN"/>
        </w:rPr>
        <w:t>昆明市呈贡区残疾人联合会机关</w:t>
      </w:r>
      <w:r>
        <w:rPr>
          <w:rFonts w:ascii="仿宋_GB2312" w:eastAsia="仿宋_GB2312" w:hint="eastAsia"/>
          <w:sz w:val="30"/>
          <w:szCs w:val="30"/>
          <w:highlight w:val="none"/>
        </w:rPr>
        <w:t>为完成特定的行政工作任务或事业发展目标，用于专项业务工作的经费支出</w:t>
      </w:r>
      <w:r>
        <w:rPr>
          <w:rFonts w:ascii="仿宋_GB2312" w:eastAsia="仿宋_GB2312" w:hint="eastAsia"/>
          <w:sz w:val="30"/>
          <w:szCs w:val="30"/>
          <w:highlight w:val="none"/>
          <w:lang w:val="en-US" w:eastAsia="zh-CN"/>
        </w:rPr>
        <w:t>3,506,254.35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int="eastAsia"/>
          <w:sz w:val="30"/>
          <w:szCs w:val="30"/>
          <w:highlight w:val="none"/>
          <w:lang w:val="en-US" w:eastAsia="zh-CN"/>
        </w:rPr>
        <w:t>3,506,254.35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rPr>
        <w:t>残疾人康复项目经费1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188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073.25元，主要用于</w:t>
      </w:r>
      <w:r>
        <w:rPr>
          <w:rFonts w:ascii="仿宋_GB2312" w:eastAsia="仿宋_GB2312" w:hint="eastAsia"/>
          <w:sz w:val="30"/>
          <w:szCs w:val="30"/>
          <w:highlight w:val="none"/>
          <w:lang w:eastAsia="zh-CN"/>
        </w:rPr>
        <w:t>残疾人精准康复；残疾儿童康复救助；精神残疾人服药补助；残疾人住院医疗康复救助。</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rPr>
        <w:t>残疾人就业项目经费975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774</w:t>
      </w:r>
      <w:r>
        <w:rPr>
          <w:rFonts w:ascii="仿宋_GB2312" w:eastAsia="仿宋_GB2312" w:hint="eastAsia"/>
          <w:sz w:val="30"/>
          <w:szCs w:val="30"/>
          <w:highlight w:val="none"/>
          <w:lang w:val="en-US" w:eastAsia="zh-CN"/>
        </w:rPr>
        <w:t>.00</w:t>
      </w:r>
      <w:r>
        <w:rPr>
          <w:rFonts w:ascii="仿宋_GB2312" w:eastAsia="仿宋_GB2312" w:hint="eastAsia"/>
          <w:sz w:val="30"/>
          <w:szCs w:val="30"/>
          <w:highlight w:val="none"/>
        </w:rPr>
        <w:t>元，主要用于</w:t>
      </w:r>
      <w:r>
        <w:rPr>
          <w:rFonts w:ascii="仿宋_GB2312" w:eastAsia="仿宋_GB2312" w:hint="eastAsia"/>
          <w:sz w:val="30"/>
          <w:szCs w:val="30"/>
          <w:highlight w:val="none"/>
          <w:lang w:eastAsia="zh-CN"/>
        </w:rPr>
        <w:t>残疾人就业创业扶持补助；残疾人机动车驾驶证取证补贴；残疾人实用技术培训；应届高校残疾人毕业生求职补贴。</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rPr>
        <w:t>其他残疾人事业支出项目经费1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342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407.1元，主要用于</w:t>
      </w:r>
      <w:r>
        <w:rPr>
          <w:rFonts w:ascii="仿宋_GB2312" w:eastAsia="仿宋_GB2312" w:hint="eastAsia"/>
          <w:sz w:val="30"/>
          <w:szCs w:val="30"/>
          <w:highlight w:val="none"/>
          <w:lang w:eastAsia="zh-CN"/>
        </w:rPr>
        <w:t>残疾人文化宣传；残疾人基层组织建设；残疾人基本服务状况调查；基层残疾人工作者培训残疾人意外伤害保险投保；残疾人医疗保险代缴费补助；残疾人养老保险代缴费补助。</w:t>
      </w:r>
    </w:p>
    <w:p>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昆明市呈贡区残疾人联合会2024</w:t>
      </w:r>
      <w:r>
        <w:rPr>
          <w:rFonts w:ascii="仿宋_GB2312" w:eastAsia="仿宋_GB2312" w:hint="eastAsia"/>
          <w:sz w:val="30"/>
          <w:szCs w:val="30"/>
          <w:highlight w:val="none"/>
        </w:rPr>
        <w:t>年度一般公共预算财政拨款支出</w:t>
      </w:r>
      <w:r>
        <w:rPr>
          <w:rFonts w:ascii="仿宋_GB2312" w:eastAsia="仿宋_GB2312" w:hAnsi="宋体" w:cs="Arial" w:hint="eastAsia"/>
          <w:kern w:val="0"/>
          <w:sz w:val="30"/>
          <w:szCs w:val="30"/>
          <w:highlight w:val="none"/>
        </w:rPr>
        <w:t>5</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408</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939.87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int="eastAsia"/>
          <w:sz w:val="30"/>
          <w:szCs w:val="30"/>
          <w:highlight w:val="none"/>
          <w:lang w:val="en-US" w:eastAsia="zh-CN"/>
        </w:rPr>
        <w:t>96.81</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宋体" w:cs="Arial" w:hint="eastAsia"/>
          <w:kern w:val="0"/>
          <w:sz w:val="30"/>
          <w:szCs w:val="30"/>
          <w:highlight w:val="none"/>
          <w:lang w:val="en-US" w:eastAsia="zh-CN"/>
        </w:rPr>
        <w:t>1,667,708.2</w:t>
      </w:r>
      <w:r>
        <w:rPr>
          <w:rFonts w:ascii="仿宋_GB2312" w:eastAsia="仿宋_GB2312" w:hAnsi="宋体" w:cs="Arial" w:hint="eastAsia"/>
          <w:kern w:val="0"/>
          <w:sz w:val="30"/>
          <w:szCs w:val="30"/>
          <w:highlight w:val="none"/>
        </w:rPr>
        <w:t>元，下降</w:t>
      </w:r>
      <w:r>
        <w:rPr>
          <w:rFonts w:ascii="仿宋_GB2312" w:eastAsia="仿宋_GB2312" w:hAnsi="宋体" w:cs="Arial" w:hint="eastAsia"/>
          <w:kern w:val="0"/>
          <w:sz w:val="30"/>
          <w:szCs w:val="30"/>
          <w:highlight w:val="none"/>
          <w:lang w:val="en-US" w:eastAsia="zh-CN"/>
        </w:rPr>
        <w:t>23.57</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96.81%</w:t>
      </w:r>
      <w:r>
        <w:rPr>
          <w:rFonts w:ascii="仿宋_GB2312" w:eastAsia="仿宋_GB2312" w:hAnsi="宋体" w:cs="Arial" w:hint="eastAsia"/>
          <w:kern w:val="0"/>
          <w:sz w:val="30"/>
          <w:szCs w:val="30"/>
          <w:highlight w:val="none"/>
        </w:rPr>
        <w:t>。</w:t>
      </w:r>
    </w:p>
    <w:p>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1.一般公共服务（类）支出5</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408</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939.87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100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96.09%</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Ansi="宋体" w:cs="Arial" w:hint="eastAsia"/>
          <w:kern w:val="0"/>
          <w:sz w:val="30"/>
          <w:szCs w:val="30"/>
          <w:highlight w:val="none"/>
          <w:lang w:eastAsia="zh-CN"/>
        </w:rPr>
        <w:t>社会保障和就业支出</w:t>
      </w:r>
      <w:r>
        <w:rPr>
          <w:rFonts w:ascii="仿宋_GB2312" w:eastAsia="仿宋_GB2312" w:hAnsi="宋体" w:cs="Arial" w:hint="eastAsia"/>
          <w:color w:val="auto"/>
          <w:kern w:val="0"/>
          <w:sz w:val="30"/>
          <w:szCs w:val="30"/>
          <w:highlight w:val="none"/>
          <w:lang w:val="en-US" w:eastAsia="zh-CN"/>
        </w:rPr>
        <w:t>5,053,634.42元；卫生健康支出72,972.09元；住房保障支出103,563元。造成</w:t>
      </w:r>
      <w:r>
        <w:rPr>
          <w:rFonts w:ascii="仿宋_GB2312" w:eastAsia="仿宋_GB2312" w:hAnsi="宋体" w:cs="Arial" w:hint="eastAsia"/>
          <w:color w:val="auto"/>
          <w:kern w:val="0"/>
          <w:sz w:val="30"/>
          <w:szCs w:val="30"/>
          <w:highlight w:val="none"/>
          <w:lang w:eastAsia="zh-CN"/>
        </w:rPr>
        <w:t>预决算差异的主要是预算编制的准确性和科学性仍需提高。</w:t>
      </w:r>
    </w:p>
    <w:p>
      <w:pPr>
        <w:widowControl/>
        <w:snapToGrid w:val="0"/>
        <w:spacing w:before="100" w:after="100" w:line="360" w:lineRule="auto"/>
        <w:ind w:firstLine="600" w:firstLineChars="200"/>
        <w:jc w:val="left"/>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2.外交（类）支出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3.国防（类）支出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4.公共安全（类）支出</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pPr>
        <w:widowControl/>
        <w:numPr>
          <w:ilvl w:val="0"/>
          <w:numId w:val="2"/>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25,420.00</w:t>
      </w:r>
      <w:r>
        <w:rPr>
          <w:rFonts w:ascii="仿宋_GB2312" w:eastAsia="仿宋_GB2312" w:hAnsi="宋体" w:cs="Arial" w:hint="eastAsia"/>
          <w:kern w:val="0"/>
          <w:sz w:val="30"/>
          <w:szCs w:val="30"/>
          <w:highlight w:val="none"/>
        </w:rPr>
        <w:t>元，决算为</w:t>
      </w:r>
      <w:r>
        <w:rPr>
          <w:rFonts w:ascii="仿宋_GB2312" w:eastAsia="仿宋_GB2312" w:hAnsi="宋体" w:cs="Arial" w:hint="eastAsia"/>
          <w:kern w:val="0"/>
          <w:sz w:val="30"/>
          <w:szCs w:val="30"/>
          <w:highlight w:val="none"/>
          <w:lang w:val="en-US" w:eastAsia="zh-CN"/>
        </w:rPr>
        <w:t>8,125.85</w:t>
      </w:r>
      <w:r>
        <w:rPr>
          <w:rFonts w:ascii="仿宋_GB2312" w:eastAsia="仿宋_GB2312" w:hAnsi="宋体" w:cs="Arial" w:hint="eastAsia"/>
          <w:kern w:val="0"/>
          <w:sz w:val="30"/>
          <w:szCs w:val="30"/>
          <w:highlight w:val="none"/>
        </w:rPr>
        <w:t>元，完成</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预算的</w:t>
      </w:r>
      <w:r>
        <w:rPr>
          <w:rFonts w:ascii="仿宋_GB2312" w:eastAsia="仿宋_GB2312" w:hAnsi="宋体" w:cs="Arial" w:hint="eastAsia"/>
          <w:kern w:val="0"/>
          <w:sz w:val="30"/>
          <w:szCs w:val="30"/>
          <w:highlight w:val="none"/>
          <w:lang w:val="en-US" w:eastAsia="zh-CN"/>
        </w:rPr>
        <w:t>31.97</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减少634.21元，下降7.24%</w:t>
      </w:r>
      <w:r>
        <w:rPr>
          <w:rFonts w:ascii="仿宋_GB2312" w:eastAsia="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FF0000"/>
          <w:sz w:val="30"/>
          <w:szCs w:val="30"/>
          <w:lang w:val="en-US"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25,420.00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8,125.85</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100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，完成年初预算的</w:t>
      </w:r>
      <w:r>
        <w:rPr>
          <w:rFonts w:ascii="仿宋_GB2312" w:eastAsia="仿宋_GB2312" w:hAnsi="宋体" w:cs="Arial" w:hint="eastAsia"/>
          <w:kern w:val="0"/>
          <w:sz w:val="30"/>
          <w:szCs w:val="30"/>
          <w:highlight w:val="none"/>
          <w:lang w:val="en-US" w:eastAsia="zh-CN"/>
        </w:rPr>
        <w:t>31.97%；</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支出决算较上年减少</w:t>
      </w:r>
      <w:r>
        <w:rPr>
          <w:rFonts w:ascii="仿宋_GB2312" w:eastAsia="仿宋_GB2312" w:hAnsi="宋体" w:cs="Arial" w:hint="eastAsia"/>
          <w:kern w:val="0"/>
          <w:sz w:val="30"/>
          <w:szCs w:val="30"/>
          <w:highlight w:val="none"/>
          <w:lang w:val="en-US" w:eastAsia="zh-CN"/>
        </w:rPr>
        <w:t>634.21元，下降7.24%</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0元，</w:t>
      </w:r>
      <w:r>
        <w:rPr>
          <w:rFonts w:ascii="仿宋_GB2312" w:eastAsia="仿宋_GB2312" w:hint="eastAsia"/>
          <w:color w:val="auto"/>
          <w:sz w:val="30"/>
          <w:szCs w:val="30"/>
          <w:lang w:eastAsia="zh-CN"/>
        </w:rPr>
        <w:t>上年无此项支出</w:t>
      </w:r>
      <w:r>
        <w:rPr>
          <w:rFonts w:ascii="仿宋_GB2312" w:eastAsia="仿宋_GB2312" w:hAnsi="宋体" w:cs="Arial" w:hint="eastAsia"/>
          <w:kern w:val="0"/>
          <w:sz w:val="30"/>
          <w:szCs w:val="30"/>
          <w:highlight w:val="none"/>
          <w:lang w:eastAsia="zh-CN"/>
        </w:rPr>
        <w:t>；具体是国内接待费支出决算较上年增加</w:t>
      </w:r>
      <w:r>
        <w:rPr>
          <w:rFonts w:ascii="仿宋_GB2312" w:eastAsia="仿宋_GB2312" w:hAnsi="宋体" w:cs="Arial" w:hint="eastAsia"/>
          <w:kern w:val="0"/>
          <w:sz w:val="30"/>
          <w:szCs w:val="30"/>
          <w:highlight w:val="none"/>
          <w:lang w:val="en-US" w:eastAsia="zh-CN"/>
        </w:rPr>
        <w:t>0元</w:t>
      </w:r>
      <w:r>
        <w:rPr>
          <w:rFonts w:ascii="仿宋_GB2312" w:eastAsia="仿宋_GB2312" w:hAnsi="宋体" w:cs="Arial" w:hint="eastAsia"/>
          <w:kern w:val="0"/>
          <w:sz w:val="30"/>
          <w:szCs w:val="30"/>
          <w:highlight w:val="none"/>
          <w:lang w:eastAsia="zh-CN"/>
        </w:rPr>
        <w:t>（其中：外事接待费支出决算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元），上年无此项支出</w:t>
      </w:r>
      <w:r>
        <w:rPr>
          <w:rFonts w:ascii="仿宋_GB2312" w:eastAsia="仿宋_GB2312" w:hint="eastAsia"/>
          <w:color w:val="auto"/>
          <w:sz w:val="30"/>
          <w:szCs w:val="30"/>
          <w:lang w:eastAsia="zh-CN"/>
        </w:rPr>
        <w:t>；</w:t>
      </w:r>
      <w:r>
        <w:rPr>
          <w:rFonts w:ascii="仿宋_GB2312" w:eastAsia="仿宋_GB2312" w:hAnsi="宋体" w:cs="Arial" w:hint="eastAsia"/>
          <w:kern w:val="0"/>
          <w:sz w:val="30"/>
          <w:szCs w:val="30"/>
          <w:highlight w:val="none"/>
          <w:lang w:eastAsia="zh-CN"/>
        </w:rPr>
        <w:t>国（境）外接待费支出决算较上年增加</w:t>
      </w:r>
      <w:r>
        <w:rPr>
          <w:rFonts w:ascii="仿宋_GB2312" w:eastAsia="仿宋_GB2312" w:hAnsi="宋体" w:cs="Arial" w:hint="eastAsia"/>
          <w:kern w:val="0"/>
          <w:sz w:val="30"/>
          <w:szCs w:val="30"/>
          <w:highlight w:val="none"/>
          <w:lang w:val="en-US" w:eastAsia="zh-CN"/>
        </w:rPr>
        <w:t>0元，</w:t>
      </w:r>
      <w:r>
        <w:rPr>
          <w:rFonts w:ascii="仿宋_GB2312" w:eastAsia="仿宋_GB2312" w:hAnsi="宋体" w:cs="Arial" w:hint="eastAsia"/>
          <w:kern w:val="0"/>
          <w:sz w:val="30"/>
          <w:szCs w:val="30"/>
          <w:highlight w:val="none"/>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25,420.00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int="eastAsia"/>
          <w:sz w:val="30"/>
          <w:szCs w:val="30"/>
          <w:highlight w:val="none"/>
          <w:lang w:val="en-US" w:eastAsia="zh-CN"/>
        </w:rPr>
        <w:t>8,125.85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int="eastAsia"/>
          <w:sz w:val="30"/>
          <w:szCs w:val="30"/>
          <w:highlight w:val="none"/>
          <w:lang w:val="en-US" w:eastAsia="zh-CN"/>
        </w:rPr>
        <w:t>31.97</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Ansi="宋体" w:cs="Arial" w:hint="eastAsia"/>
          <w:kern w:val="0"/>
          <w:sz w:val="30"/>
          <w:szCs w:val="30"/>
          <w:highlight w:val="none"/>
          <w:lang w:eastAsia="zh-CN"/>
        </w:rPr>
        <w:t>支出决算较上年</w:t>
      </w:r>
      <w:r>
        <w:rPr>
          <w:rFonts w:ascii="仿宋_GB2312" w:eastAsia="仿宋_GB2312" w:hAnsi="宋体" w:cs="Arial" w:hint="eastAsia"/>
          <w:kern w:val="0"/>
          <w:sz w:val="30"/>
          <w:szCs w:val="30"/>
          <w:highlight w:val="none"/>
          <w:lang w:val="en-US" w:eastAsia="zh-CN"/>
        </w:rPr>
        <w:t>减少634.21元，下降7.24%</w:t>
      </w:r>
      <w:r>
        <w:rPr>
          <w:rFonts w:ascii="仿宋_GB2312" w:eastAsia="仿宋_GB2312" w:hAnsi="宋体" w:cs="Arial" w:hint="eastAsia"/>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25,420.00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8,125.85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，完成</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预算的</w:t>
      </w:r>
      <w:r>
        <w:rPr>
          <w:rFonts w:ascii="仿宋_GB2312" w:eastAsia="仿宋_GB2312" w:hint="eastAsia"/>
          <w:sz w:val="30"/>
          <w:szCs w:val="30"/>
          <w:highlight w:val="none"/>
          <w:lang w:val="en-US" w:eastAsia="zh-CN"/>
        </w:rPr>
        <w:t>31.97</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年度一般公共预算财政拨款“三公”经费支出决算数小于</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预算数的主要原因</w:t>
      </w:r>
      <w:r>
        <w:rPr>
          <w:rFonts w:ascii="仿宋_GB2312" w:eastAsia="仿宋_GB2312" w:hint="eastAsia"/>
          <w:sz w:val="30"/>
          <w:szCs w:val="30"/>
          <w:highlight w:val="none"/>
          <w:lang w:eastAsia="zh-CN"/>
        </w:rPr>
        <w:t>是公务用车实际运行维护费用小于定额的公务用车运行维护费</w:t>
      </w:r>
      <w:r>
        <w:rPr>
          <w:rFonts w:ascii="仿宋_GB2312" w:eastAsia="仿宋_GB2312" w:hint="eastAsia"/>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highlight w:val="none"/>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上年无此项支出</w:t>
      </w:r>
      <w:r>
        <w:rPr>
          <w:rFonts w:ascii="仿宋_GB2312" w:eastAsia="仿宋_GB2312" w:hint="eastAsia"/>
          <w:sz w:val="30"/>
          <w:szCs w:val="30"/>
          <w:highlight w:val="none"/>
        </w:rPr>
        <w:t>；公务用车购置费支出决算增加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支出决算减少</w:t>
      </w:r>
      <w:r>
        <w:rPr>
          <w:rFonts w:ascii="仿宋_GB2312" w:eastAsia="仿宋_GB2312" w:hint="eastAsia"/>
          <w:sz w:val="30"/>
          <w:szCs w:val="30"/>
          <w:highlight w:val="none"/>
          <w:lang w:val="en-US" w:eastAsia="zh-CN"/>
        </w:rPr>
        <w:t>634.21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，下降</w:t>
      </w:r>
      <w:r>
        <w:rPr>
          <w:rFonts w:ascii="仿宋_GB2312" w:eastAsia="仿宋_GB2312" w:hint="eastAsia"/>
          <w:sz w:val="30"/>
          <w:szCs w:val="30"/>
          <w:highlight w:val="none"/>
          <w:lang w:val="en-US" w:eastAsia="zh-CN"/>
        </w:rPr>
        <w:t>7.24</w:t>
      </w:r>
      <w:r>
        <w:rPr>
          <w:rFonts w:ascii="仿宋_GB2312" w:eastAsia="仿宋_GB2312" w:hint="eastAsia"/>
          <w:sz w:val="30"/>
          <w:szCs w:val="30"/>
          <w:highlight w:val="none"/>
        </w:rPr>
        <w:t>%；公务接待费支出决算增加</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上年无此项支出，</w:t>
      </w:r>
      <w:r>
        <w:rPr>
          <w:rFonts w:ascii="仿宋_GB2312" w:eastAsia="仿宋_GB2312" w:hAnsi="宋体" w:cs="Arial" w:hint="eastAsia"/>
          <w:kern w:val="0"/>
          <w:sz w:val="30"/>
          <w:szCs w:val="30"/>
          <w:highlight w:val="none"/>
          <w:lang w:eastAsia="zh-CN"/>
        </w:rPr>
        <w:t>具体是国内接待费支出决算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w:t>
      </w:r>
      <w:r>
        <w:rPr>
          <w:rFonts w:ascii="仿宋_GB2312" w:eastAsia="仿宋_GB2312" w:hint="eastAsia"/>
          <w:sz w:val="30"/>
          <w:szCs w:val="30"/>
          <w:highlight w:val="none"/>
          <w:lang w:eastAsia="zh-CN"/>
        </w:rPr>
        <w:t>上年无此项支出；</w:t>
      </w:r>
      <w:r>
        <w:rPr>
          <w:rFonts w:ascii="仿宋_GB2312" w:eastAsia="仿宋_GB2312" w:hAnsi="宋体" w:cs="Arial" w:hint="eastAsia"/>
          <w:kern w:val="0"/>
          <w:sz w:val="30"/>
          <w:szCs w:val="30"/>
          <w:highlight w:val="none"/>
          <w:lang w:eastAsia="zh-CN"/>
        </w:rPr>
        <w:t>国（境）外接待费支出决算</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0元，</w:t>
      </w:r>
      <w:r>
        <w:rPr>
          <w:rFonts w:ascii="仿宋_GB2312" w:eastAsia="仿宋_GB2312" w:hint="eastAsia"/>
          <w:sz w:val="30"/>
          <w:szCs w:val="30"/>
          <w:highlight w:val="none"/>
          <w:lang w:eastAsia="zh-CN"/>
        </w:rPr>
        <w:t>上年无此项支出</w:t>
      </w:r>
      <w:r>
        <w:rPr>
          <w:rFonts w:ascii="仿宋_GB2312" w:eastAsia="仿宋_GB2312" w:hAnsi="宋体" w:cs="Arial" w:hint="eastAsia"/>
          <w:kern w:val="0"/>
          <w:sz w:val="30"/>
          <w:szCs w:val="30"/>
          <w:highlight w:val="none"/>
          <w:lang w:eastAsia="zh-CN"/>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年度一般公共预算财政拨款“三公”经费支出决算减少的主要原因</w:t>
      </w:r>
      <w:r>
        <w:rPr>
          <w:rFonts w:ascii="仿宋_GB2312" w:eastAsia="仿宋_GB2312" w:hint="eastAsia"/>
          <w:sz w:val="30"/>
          <w:szCs w:val="30"/>
          <w:highlight w:val="none"/>
          <w:lang w:eastAsia="zh-CN"/>
        </w:rPr>
        <w:t>是根据工作实际</w:t>
      </w:r>
      <w:r>
        <w:rPr>
          <w:rFonts w:ascii="仿宋_GB2312" w:eastAsia="仿宋_GB2312" w:hint="eastAsia"/>
          <w:color w:val="auto"/>
          <w:sz w:val="30"/>
          <w:szCs w:val="30"/>
          <w:highlight w:val="none"/>
          <w:lang w:eastAsia="zh-CN"/>
        </w:rPr>
        <w:t>公务用车实际用车成本低于上年</w:t>
      </w:r>
      <w:r>
        <w:rPr>
          <w:rFonts w:ascii="仿宋_GB2312" w:eastAsia="仿宋_GB2312" w:hint="eastAsia"/>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1.安排因公出国（境）团组</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个，累计</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人次。</w:t>
      </w:r>
    </w:p>
    <w:p>
      <w:pPr>
        <w:widowControl/>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w:t>
      </w:r>
    </w:p>
    <w:p>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批次（其中：外事接待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人（其中：外事接待人次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w:t>
      </w:r>
    </w:p>
    <w:p>
      <w:pPr>
        <w:widowControl/>
        <w:snapToGrid w:val="0"/>
        <w:spacing w:before="100" w:after="100" w:line="360" w:lineRule="auto"/>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pPr>
        <w:widowControl/>
        <w:snapToGrid w:val="0"/>
        <w:spacing w:before="100" w:after="100" w:line="360" w:lineRule="auto"/>
        <w:ind w:firstLine="640" w:firstLineChars="200"/>
        <w:jc w:val="center"/>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widowControl/>
        <w:snapToGrid w:val="0"/>
        <w:spacing w:before="100" w:after="100" w:line="600" w:lineRule="exact"/>
        <w:ind w:firstLine="538"/>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val="en-US" w:eastAsia="zh-CN"/>
        </w:rPr>
        <w:t>昆明市呈贡区残疾人联合会2024</w:t>
      </w:r>
      <w:r>
        <w:rPr>
          <w:rFonts w:ascii="仿宋_GB2312" w:eastAsia="仿宋_GB2312" w:hAnsi="黑体" w:cs="方正小标宋简体" w:hint="eastAsia"/>
          <w:sz w:val="30"/>
          <w:szCs w:val="30"/>
          <w:highlight w:val="none"/>
        </w:rPr>
        <w:t>年机关运行经费支出</w:t>
      </w:r>
      <w:r>
        <w:rPr>
          <w:rFonts w:ascii="仿宋_GB2312" w:eastAsia="仿宋_GB2312" w:hint="eastAsia"/>
          <w:sz w:val="30"/>
          <w:szCs w:val="30"/>
          <w:highlight w:val="none"/>
          <w:lang w:val="en-US" w:eastAsia="zh-CN"/>
        </w:rPr>
        <w:t>1,902,,685.52</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减少</w:t>
      </w:r>
      <w:r>
        <w:rPr>
          <w:rFonts w:ascii="仿宋_GB2312" w:eastAsia="仿宋_GB2312" w:hint="eastAsia"/>
          <w:sz w:val="30"/>
          <w:szCs w:val="30"/>
          <w:highlight w:val="none"/>
          <w:lang w:val="en-US" w:eastAsia="zh-CN"/>
        </w:rPr>
        <w:t>2,135,192.25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，下降</w:t>
      </w:r>
      <w:r>
        <w:rPr>
          <w:rFonts w:ascii="仿宋_GB2312" w:eastAsia="仿宋_GB2312" w:hint="eastAsia"/>
          <w:sz w:val="30"/>
          <w:szCs w:val="30"/>
          <w:highlight w:val="none"/>
          <w:lang w:val="en-US" w:eastAsia="zh-CN"/>
        </w:rPr>
        <w:t>52.88</w:t>
      </w:r>
      <w:r>
        <w:rPr>
          <w:rFonts w:ascii="仿宋_GB2312" w:eastAsia="仿宋_GB2312" w:hint="eastAsia"/>
          <w:sz w:val="30"/>
          <w:szCs w:val="30"/>
          <w:highlight w:val="none"/>
        </w:rPr>
        <w:t>X%</w:t>
      </w:r>
      <w:r>
        <w:rPr>
          <w:rFonts w:ascii="仿宋_GB2312" w:eastAsia="仿宋_GB2312" w:hAnsi="黑体" w:cs="方正小标宋简体" w:hint="eastAsia"/>
          <w:sz w:val="30"/>
          <w:szCs w:val="30"/>
          <w:highlight w:val="none"/>
        </w:rPr>
        <w:t>,主要原因</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lang w:val="en-US" w:eastAsia="zh-CN"/>
        </w:rPr>
        <w:t>2024年较上年编制缩减，人员经费和公用经费支出减少</w:t>
      </w:r>
      <w:r>
        <w:rPr>
          <w:rFonts w:ascii="仿宋_GB2312" w:eastAsia="仿宋_GB2312" w:hAnsi="黑体" w:cs="方正小标宋简体" w:hint="eastAsia"/>
          <w:sz w:val="30"/>
          <w:szCs w:val="30"/>
          <w:highlight w:val="none"/>
        </w:rPr>
        <w:t>。部门机关运行经费主要用于</w:t>
      </w:r>
      <w:r>
        <w:rPr>
          <w:rFonts w:ascii="仿宋_GB2312" w:eastAsia="仿宋_GB2312" w:hint="eastAsia"/>
          <w:sz w:val="30"/>
          <w:szCs w:val="30"/>
          <w:highlight w:val="none"/>
        </w:rPr>
        <w:t>工资、津贴补贴</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办公费、印刷费、水电费、办公设备购置等</w:t>
      </w:r>
      <w:r>
        <w:rPr>
          <w:rFonts w:ascii="仿宋_GB2312" w:eastAsia="仿宋_GB2312" w:hAnsi="黑体" w:cs="方正小标宋简体" w:hint="eastAsia"/>
          <w:sz w:val="30"/>
          <w:szCs w:val="30"/>
          <w:highlight w:val="none"/>
        </w:rPr>
        <w:t>。</w:t>
      </w:r>
    </w:p>
    <w:p>
      <w:pPr>
        <w:widowControl/>
        <w:numPr>
          <w:ilvl w:val="0"/>
          <w:numId w:val="0"/>
        </w:numPr>
        <w:ind w:left="420" w:leftChars="200"/>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截至2024年末，昆明市呈贡区残疾人联合会资产总额1</w:t>
      </w:r>
      <w:r>
        <w:rPr>
          <w:rFonts w:ascii="仿宋_GB2312" w:eastAsia="仿宋_GB2312" w:hAnsi="仿宋_GB2312" w:cs="仿宋_GB2312" w:hint="eastAsia"/>
          <w:sz w:val="30"/>
          <w:szCs w:val="30"/>
          <w:highlight w:val="none"/>
          <w:lang w:val="en-US" w:eastAsia="zh-CN"/>
        </w:rPr>
        <w:t>,</w:t>
      </w:r>
      <w:r>
        <w:rPr>
          <w:rFonts w:ascii="仿宋_GB2312" w:eastAsia="仿宋_GB2312" w:hAnsi="仿宋_GB2312" w:cs="仿宋_GB2312" w:hint="eastAsia"/>
          <w:sz w:val="30"/>
          <w:szCs w:val="30"/>
          <w:highlight w:val="none"/>
          <w:lang w:eastAsia="zh-CN"/>
        </w:rPr>
        <w:t>132</w:t>
      </w:r>
      <w:r>
        <w:rPr>
          <w:rFonts w:ascii="仿宋_GB2312" w:eastAsia="仿宋_GB2312" w:hAnsi="仿宋_GB2312" w:cs="仿宋_GB2312" w:hint="eastAsia"/>
          <w:sz w:val="30"/>
          <w:szCs w:val="30"/>
          <w:highlight w:val="none"/>
          <w:lang w:val="en-US" w:eastAsia="zh-CN"/>
        </w:rPr>
        <w:t>,</w:t>
      </w:r>
      <w:r>
        <w:rPr>
          <w:rFonts w:ascii="仿宋_GB2312" w:eastAsia="仿宋_GB2312" w:hAnsi="仿宋_GB2312" w:cs="仿宋_GB2312" w:hint="eastAsia"/>
          <w:sz w:val="30"/>
          <w:szCs w:val="30"/>
          <w:highlight w:val="none"/>
          <w:lang w:eastAsia="zh-CN"/>
        </w:rPr>
        <w:t>712.36元，其中，流动资产204</w:t>
      </w:r>
      <w:r>
        <w:rPr>
          <w:rFonts w:ascii="仿宋_GB2312" w:eastAsia="仿宋_GB2312" w:hAnsi="仿宋_GB2312" w:cs="仿宋_GB2312" w:hint="eastAsia"/>
          <w:sz w:val="30"/>
          <w:szCs w:val="30"/>
          <w:highlight w:val="none"/>
          <w:lang w:val="en-US" w:eastAsia="zh-CN"/>
        </w:rPr>
        <w:t>,</w:t>
      </w:r>
      <w:r>
        <w:rPr>
          <w:rFonts w:ascii="仿宋_GB2312" w:eastAsia="仿宋_GB2312" w:hAnsi="仿宋_GB2312" w:cs="仿宋_GB2312" w:hint="eastAsia"/>
          <w:sz w:val="30"/>
          <w:szCs w:val="30"/>
          <w:highlight w:val="none"/>
          <w:lang w:eastAsia="zh-CN"/>
        </w:rPr>
        <w:t>217.06元，固定资产928</w:t>
      </w:r>
      <w:r>
        <w:rPr>
          <w:rFonts w:ascii="仿宋_GB2312" w:eastAsia="仿宋_GB2312" w:hAnsi="仿宋_GB2312" w:cs="仿宋_GB2312" w:hint="eastAsia"/>
          <w:sz w:val="30"/>
          <w:szCs w:val="30"/>
          <w:highlight w:val="none"/>
          <w:lang w:val="en-US" w:eastAsia="zh-CN"/>
        </w:rPr>
        <w:t>,</w:t>
      </w:r>
      <w:r>
        <w:rPr>
          <w:rFonts w:ascii="仿宋_GB2312" w:eastAsia="仿宋_GB2312" w:hAnsi="仿宋_GB2312" w:cs="仿宋_GB2312" w:hint="eastAsia"/>
          <w:sz w:val="30"/>
          <w:szCs w:val="30"/>
          <w:highlight w:val="none"/>
          <w:lang w:eastAsia="zh-CN"/>
        </w:rPr>
        <w:t>495.3元（净值），对外投资及有价证券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黑体" w:cs="方正小标宋简体" w:hint="eastAsia"/>
          <w:color w:val="000000"/>
          <w:kern w:val="0"/>
          <w:sz w:val="30"/>
          <w:szCs w:val="30"/>
          <w:highlight w:val="none"/>
        </w:rPr>
        <w:t>。与上年相比，本年资产总额减少</w:t>
      </w:r>
      <w:r>
        <w:rPr>
          <w:rFonts w:ascii="仿宋_GB2312" w:eastAsia="仿宋_GB2312" w:hAnsi="黑体" w:cs="方正小标宋简体" w:hint="eastAsia"/>
          <w:color w:val="000000"/>
          <w:kern w:val="0"/>
          <w:sz w:val="30"/>
          <w:szCs w:val="30"/>
          <w:highlight w:val="none"/>
          <w:lang w:val="en-US" w:eastAsia="zh-CN"/>
        </w:rPr>
        <w:t>98,833.87</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，其中固定资产减少</w:t>
      </w:r>
      <w:r>
        <w:rPr>
          <w:rFonts w:ascii="仿宋_GB2312" w:eastAsia="仿宋_GB2312" w:hAnsi="黑体" w:cs="方正小标宋简体" w:hint="eastAsia"/>
          <w:color w:val="000000"/>
          <w:kern w:val="0"/>
          <w:sz w:val="30"/>
          <w:szCs w:val="30"/>
          <w:highlight w:val="none"/>
          <w:lang w:val="en-US" w:eastAsia="zh-CN"/>
        </w:rPr>
        <w:t>92，263.53</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p>
      <w:pPr>
        <w:widowControl/>
        <w:ind w:firstLine="600" w:firstLineChars="200"/>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2024年度，部门政府采购支出总额484,788.15元，其中：政府采购货物支出36,500.00元；政府采购工程支出0元；政府采购服务支出448,288.15元。授予中小企业合同金额197,095.15元，其中：授予小微企业合同金额197,095.15元。</w:t>
      </w:r>
    </w:p>
    <w:p>
      <w:pPr>
        <w:widowControl/>
        <w:ind w:firstLine="600" w:firstLineChars="200"/>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ind w:firstLine="600" w:firstLineChars="200"/>
        <w:jc w:val="left"/>
        <w:rPr>
          <w:rFonts w:ascii="仿宋_GB2312" w:eastAsia="仿宋_GB2312" w:hAnsi="黑体" w:cs="方正小标宋简体" w:hint="eastAsia"/>
          <w:color w:val="FF0000"/>
          <w:sz w:val="30"/>
          <w:szCs w:val="30"/>
          <w:highlight w:val="none"/>
        </w:rPr>
      </w:pPr>
      <w:r>
        <w:rPr>
          <w:rFonts w:ascii="仿宋_GB2312" w:eastAsia="仿宋_GB2312" w:hAnsi="黑体" w:cs="方正小标宋简体" w:hint="eastAsia"/>
          <w:sz w:val="30"/>
          <w:szCs w:val="30"/>
          <w:highlight w:val="none"/>
          <w:lang w:eastAsia="zh-CN"/>
        </w:rPr>
        <w:t>无其他重要事项说明</w:t>
      </w:r>
      <w:r>
        <w:rPr>
          <w:rFonts w:ascii="仿宋_GB2312" w:eastAsia="仿宋_GB2312" w:hAnsi="黑体" w:cs="方正小标宋简体" w:hint="eastAsia"/>
          <w:sz w:val="30"/>
          <w:szCs w:val="30"/>
          <w:highlight w:val="none"/>
        </w:rPr>
        <w:t>。</w:t>
      </w:r>
    </w:p>
    <w:p>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val="0"/>
        <w:kinsoku/>
        <w:wordWrap/>
        <w:overflowPunct/>
        <w:topLinePunct w:val="0"/>
        <w:autoSpaceDE/>
        <w:autoSpaceDN/>
        <w:bidi w:val="0"/>
        <w:adjustRightInd/>
        <w:snapToGrid/>
        <w:ind w:firstLine="300" w:firstLineChars="100"/>
        <w:jc w:val="left"/>
        <w:textAlignment w:val="auto"/>
        <w:rPr>
          <w:rFonts w:ascii="仿宋_GB2312" w:eastAsia="仿宋_GB2312" w:hAnsi="黑体" w:cs="方正小标宋简体" w:hint="eastAsia"/>
          <w:sz w:val="30"/>
          <w:szCs w:val="30"/>
          <w:lang w:val="en-US" w:eastAsia="zh-CN"/>
        </w:rPr>
      </w:pPr>
      <w:r>
        <w:rPr>
          <w:rFonts w:ascii="仿宋_GB2312" w:eastAsia="仿宋_GB2312" w:hAnsi="黑体" w:cs="方正小标宋简体" w:hint="eastAsia"/>
          <w:sz w:val="30"/>
          <w:szCs w:val="30"/>
          <w:lang w:val="en-US" w:eastAsia="zh-CN"/>
        </w:rPr>
        <w:t>“三公经费”：公务用车、公务接待、因公出国发生的费用。</w:t>
      </w:r>
    </w:p>
    <w:p/>
    <w:p>
      <w:pPr>
        <w:rPr>
          <w:rFonts w:ascii="Arial" w:eastAsia="Arial" w:hAnsi="Arial" w:cs="Arial"/>
          <w:b/>
          <w:sz w:val="36"/>
        </w:rPr>
      </w:pPr>
      <w:r>
        <w:rPr>
          <w:rFonts w:ascii="Arial" w:eastAsia="Arial" w:hAnsi="Arial" w:cs="Arial"/>
          <w:b/>
          <w:sz w:val="36"/>
        </w:rPr>
        <w:t>监督索引号53011400376201111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abstractNum w:abstractNumId="1">
    <w:nsid w:val="4B3B323A"/>
    <w:multiLevelType w:val="singleLevel"/>
    <w:tmpl w:val="4B3B323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8067F87"/>
    <w:rsid w:val="394C50D9"/>
    <w:rsid w:val="3A4C211A"/>
    <w:rsid w:val="56FB5B0B"/>
    <w:rsid w:val="57301886"/>
    <w:rsid w:val="59B15A33"/>
    <w:rsid w:val="64C46CA2"/>
    <w:rsid w:val="67DC7635"/>
    <w:rsid w:val="71423568"/>
    <w:rsid w:val="76E24582"/>
    <w:rsid w:val="780128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R.T.E</cp:lastModifiedBy>
  <cp:revision>0</cp:revision>
  <dcterms:created xsi:type="dcterms:W3CDTF">2025-10-31T10:19:00Z</dcterms:created>
  <dcterms:modified xsi:type="dcterms:W3CDTF">2025-10-31T10:59:38Z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0292169A163343CA8808613465511A3C</vt:lpwstr>
  </property>
  <property fmtid="{D5CDD505-2E9C-101B-9397-08002B2CF9AE}" pid="3" name="KSOProductBuildVer">
    <vt:lpwstr>2052-11.8.2.12089</vt:lpwstr>
  </property>
</Properties>
</file>