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eastAsia="方正小标宋_GBK" w:hAnsiTheme="minorHAnsi" w:cstheme="minorBidi"/>
          <w:sz w:val="36"/>
          <w:szCs w:val="36"/>
        </w:rPr>
      </w:pPr>
      <w:r>
        <w:rPr>
          <w:rFonts w:hint="eastAsia" w:ascii="方正小标宋_GBK" w:eastAsia="方正小标宋_GBK" w:hAnsiTheme="minorHAnsi" w:cstheme="minorBidi"/>
          <w:sz w:val="36"/>
          <w:szCs w:val="36"/>
          <w:lang w:val="en-US" w:eastAsia="zh-CN"/>
        </w:rPr>
        <w:t>呈荣大道（67号路）建设项目完善土地手续所需资金</w:t>
      </w:r>
      <w:r>
        <w:rPr>
          <w:rFonts w:hint="eastAsia" w:ascii="方正小标宋_GBK" w:eastAsia="方正小标宋_GBK" w:hAnsiTheme="minorHAnsi" w:cstheme="minorBidi"/>
          <w:sz w:val="36"/>
          <w:szCs w:val="36"/>
        </w:rPr>
        <w:t>项目支出绩效评价报告</w:t>
      </w:r>
    </w:p>
    <w:p>
      <w:pPr>
        <w:topLinePunct/>
        <w:ind w:firstLine="640" w:firstLineChars="200"/>
        <w:jc w:val="both"/>
        <w:rPr>
          <w:rFonts w:hint="eastAsia" w:ascii="黑体" w:hAnsi="Times New Roman" w:eastAsia="黑体"/>
          <w:sz w:val="32"/>
          <w:szCs w:val="32"/>
        </w:rPr>
      </w:pPr>
      <w:bookmarkStart w:id="0" w:name="_GoBack"/>
      <w:bookmarkEnd w:id="0"/>
    </w:p>
    <w:p>
      <w:pPr>
        <w:topLinePunct/>
        <w:ind w:firstLine="640" w:firstLineChars="200"/>
        <w:jc w:val="both"/>
        <w:rPr>
          <w:rFonts w:hint="eastAsia" w:ascii="黑体" w:hAnsi="Times New Roman" w:eastAsia="黑体"/>
          <w:sz w:val="32"/>
          <w:szCs w:val="32"/>
        </w:rPr>
      </w:pPr>
      <w:r>
        <w:rPr>
          <w:rFonts w:hint="eastAsia" w:ascii="黑体" w:hAnsi="Times New Roman" w:eastAsia="黑体"/>
          <w:sz w:val="32"/>
          <w:szCs w:val="32"/>
          <w:lang w:val="en-US" w:eastAsia="zh-CN"/>
        </w:rPr>
        <w:t>一、项目基本情况</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（一）项目概况。</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项目位于昆明市呈贡区，是现状“呈荣大道”的延伸，道路始于现状“呈荣大道”与东盟森林内规划道路的平交口，之后向西南延伸，上跨昆玉高速，下穿地铁1号线高架桥，至于彩云北路。道路全长 719.315米，道路等级为城市主干路，红线宽度为 60 米，双向8车道，设计时速为 60Km/h。投资概算22108.45万元。本项目概算总投资为：22108.45万元，其中工程建安费用为15191.77万元，工程建设其他费用为5863.90万元，工程预备费为1052.7 8万元。</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（二）项目绩效目标。</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1.项目绩效总目标：本项目的建设是对呈贡新区城市道路网基础设施建设的完善，是连接经开区“王家营现代物流园”与呈贡新区的主要道路；提升其货物运载效率的重要通道，也是满足“东盟森林”项目内部及周边居民出行需要的举措，有利于营造良好的交通环境和人居环境，促进区域经济的发展。</w:t>
      </w:r>
    </w:p>
    <w:p>
      <w:pPr>
        <w:topLinePunct/>
        <w:ind w:firstLine="640" w:firstLineChars="200"/>
        <w:jc w:val="both"/>
        <w:rPr>
          <w:rFonts w:hint="eastAsia" w:ascii="仿宋_GB2312" w:eastAsia="仿宋_GB2312" w:hAnsiTheme="minorHAnsi" w:cstheme="minorBidi"/>
          <w:sz w:val="32"/>
          <w:szCs w:val="32"/>
          <w:lang w:eastAsia="zh-CN"/>
        </w:rPr>
      </w:pPr>
      <w:r>
        <w:rPr>
          <w:rFonts w:hint="eastAsia" w:ascii="仿宋_GB2312" w:eastAsia="仿宋_GB2312" w:hAnsiTheme="minorHAnsi" w:cstheme="minorBidi"/>
          <w:sz w:val="32"/>
          <w:szCs w:val="32"/>
        </w:rPr>
        <w:t>2.项目绩效阶段性目标：</w:t>
      </w:r>
      <w:r>
        <w:rPr>
          <w:rFonts w:hint="eastAsia" w:ascii="仿宋_GB2312" w:eastAsia="仿宋_GB2312" w:hAnsiTheme="minorHAnsi" w:cstheme="minorBidi"/>
          <w:sz w:val="32"/>
          <w:szCs w:val="32"/>
          <w:lang w:eastAsia="zh-CN"/>
        </w:rPr>
        <w:t>项目前期工作已完成，</w:t>
      </w:r>
      <w:r>
        <w:rPr>
          <w:rFonts w:hint="eastAsia" w:ascii="仿宋_GB2312" w:eastAsia="仿宋_GB2312" w:hAnsiTheme="minorHAnsi" w:cstheme="minorBidi"/>
          <w:sz w:val="32"/>
          <w:szCs w:val="32"/>
        </w:rPr>
        <w:t>2017年7月1日开工建设,2019年4月试通车，2019年5月组织并通过竣工验收，2019年12月完成审计工作。</w:t>
      </w:r>
    </w:p>
    <w:p>
      <w:pPr>
        <w:topLinePunct/>
        <w:ind w:firstLine="640" w:firstLineChars="200"/>
        <w:jc w:val="both"/>
        <w:rPr>
          <w:rFonts w:hint="eastAsia" w:ascii="黑体" w:hAnsi="Times New Roman" w:eastAsia="黑体"/>
          <w:sz w:val="32"/>
          <w:szCs w:val="32"/>
          <w:lang w:val="en-US" w:eastAsia="zh-CN"/>
        </w:rPr>
      </w:pPr>
      <w:r>
        <w:rPr>
          <w:rFonts w:hint="eastAsia" w:ascii="黑体" w:hAnsi="Times New Roman" w:eastAsia="黑体"/>
          <w:sz w:val="32"/>
          <w:szCs w:val="32"/>
          <w:lang w:val="en-US" w:eastAsia="zh-CN"/>
        </w:rPr>
        <w:t>二、项目单位绩效报告情况</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根据呈财行〔2024〕81号文件，年初安排预算资金</w:t>
      </w:r>
      <w:r>
        <w:rPr>
          <w:rFonts w:hint="eastAsia" w:ascii="仿宋_GB2312" w:eastAsia="仿宋_GB2312" w:hAnsiTheme="minorHAnsi" w:cstheme="minorBidi"/>
          <w:sz w:val="32"/>
          <w:szCs w:val="32"/>
          <w:lang w:val="en-US" w:eastAsia="zh-CN"/>
        </w:rPr>
        <w:t>1300</w:t>
      </w:r>
      <w:r>
        <w:rPr>
          <w:rFonts w:hint="eastAsia" w:ascii="仿宋_GB2312" w:eastAsia="仿宋_GB2312" w:hAnsiTheme="minorHAnsi" w:cstheme="minorBidi"/>
          <w:sz w:val="32"/>
          <w:szCs w:val="32"/>
        </w:rPr>
        <w:t>万元，20</w:t>
      </w:r>
      <w:r>
        <w:rPr>
          <w:rFonts w:hint="eastAsia" w:ascii="仿宋_GB2312" w:eastAsia="仿宋_GB2312" w:hAnsiTheme="minorHAnsi" w:cstheme="minorBidi"/>
          <w:sz w:val="32"/>
          <w:szCs w:val="32"/>
          <w:lang w:val="en-US" w:eastAsia="zh-CN"/>
        </w:rPr>
        <w:t>24</w:t>
      </w:r>
      <w:r>
        <w:rPr>
          <w:rFonts w:hint="eastAsia" w:ascii="仿宋_GB2312" w:eastAsia="仿宋_GB2312" w:hAnsiTheme="minorHAnsi" w:cstheme="minorBidi"/>
          <w:sz w:val="32"/>
          <w:szCs w:val="32"/>
        </w:rPr>
        <w:t>年该项目使用资金</w:t>
      </w:r>
      <w:r>
        <w:rPr>
          <w:rFonts w:hint="eastAsia" w:ascii="仿宋_GB2312" w:eastAsia="仿宋_GB2312" w:hAnsiTheme="minorHAnsi" w:cstheme="minorBidi"/>
          <w:sz w:val="32"/>
          <w:szCs w:val="32"/>
          <w:lang w:val="en-US" w:eastAsia="zh-CN"/>
        </w:rPr>
        <w:t>1300</w:t>
      </w:r>
      <w:r>
        <w:rPr>
          <w:rFonts w:hint="eastAsia" w:ascii="仿宋_GB2312" w:eastAsia="仿宋_GB2312" w:hAnsiTheme="minorHAnsi" w:cstheme="minorBidi"/>
          <w:sz w:val="32"/>
          <w:szCs w:val="32"/>
        </w:rPr>
        <w:t>万元，项目如实申报绩效。</w:t>
      </w:r>
    </w:p>
    <w:p>
      <w:pPr>
        <w:topLinePunct/>
        <w:ind w:firstLine="640" w:firstLineChars="200"/>
        <w:jc w:val="both"/>
        <w:rPr>
          <w:rFonts w:hint="eastAsia" w:ascii="黑体" w:hAnsi="Times New Roman" w:eastAsia="黑体"/>
          <w:sz w:val="32"/>
          <w:szCs w:val="32"/>
          <w:lang w:val="en-US" w:eastAsia="zh-CN"/>
        </w:rPr>
      </w:pPr>
      <w:r>
        <w:rPr>
          <w:rFonts w:hint="eastAsia" w:ascii="黑体" w:hAnsi="Times New Roman" w:eastAsia="黑体"/>
          <w:sz w:val="32"/>
          <w:szCs w:val="32"/>
          <w:lang w:val="en-US" w:eastAsia="zh-CN"/>
        </w:rPr>
        <w:t>三、绩效评价工作情况</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（一）绩效评价目的。</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严格控制投资，确保资金合理使用和资金使用安全；强化资金支付管理、项目成本管理和财务管理制度；加强项目管理，确保项目建设取得更好经济、政治、社会效益。</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（二）绩效评价原则、评价指标体系、评价方法。</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绩效评价原则：同一尺度、同一标准下，坚持公开、公正、公平的原则。评价工作分定量评价和定性评价两个步骤：定量评价以评价客体提供的相关资料为基础，经过认真审查和核对，测出定量评价结果。</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（三）绩效评价工作过程。</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1</w:t>
      </w:r>
      <w:r>
        <w:rPr>
          <w:rFonts w:hint="eastAsia" w:ascii="仿宋_GB2312" w:eastAsia="仿宋_GB2312" w:hAnsiTheme="minorHAnsi" w:cstheme="minorBidi"/>
          <w:sz w:val="32"/>
          <w:szCs w:val="32"/>
          <w:lang w:val="en-US" w:eastAsia="zh-CN"/>
        </w:rPr>
        <w:t>.</w:t>
      </w:r>
      <w:r>
        <w:rPr>
          <w:rFonts w:hint="eastAsia" w:ascii="仿宋_GB2312" w:eastAsia="仿宋_GB2312" w:hAnsiTheme="minorHAnsi" w:cstheme="minorBidi"/>
          <w:sz w:val="32"/>
          <w:szCs w:val="32"/>
        </w:rPr>
        <w:t>前期准备：我们于202</w:t>
      </w:r>
      <w:r>
        <w:rPr>
          <w:rFonts w:hint="eastAsia" w:ascii="仿宋_GB2312" w:eastAsia="仿宋_GB2312" w:hAnsiTheme="minorHAnsi" w:cstheme="minorBidi"/>
          <w:sz w:val="32"/>
          <w:szCs w:val="32"/>
          <w:lang w:val="en-US" w:eastAsia="zh-CN"/>
        </w:rPr>
        <w:t>5</w:t>
      </w:r>
      <w:r>
        <w:rPr>
          <w:rFonts w:hint="eastAsia" w:ascii="仿宋_GB2312" w:eastAsia="仿宋_GB2312" w:hAnsiTheme="minorHAnsi" w:cstheme="minorBidi"/>
          <w:sz w:val="32"/>
          <w:szCs w:val="32"/>
        </w:rPr>
        <w:t>年</w:t>
      </w:r>
      <w:r>
        <w:rPr>
          <w:rFonts w:hint="eastAsia" w:ascii="仿宋_GB2312" w:eastAsia="仿宋_GB2312" w:hAnsiTheme="minorHAnsi" w:cstheme="minorBidi"/>
          <w:sz w:val="32"/>
          <w:szCs w:val="32"/>
          <w:lang w:val="en-US" w:eastAsia="zh-CN"/>
        </w:rPr>
        <w:t>2</w:t>
      </w:r>
      <w:r>
        <w:rPr>
          <w:rFonts w:hint="eastAsia" w:ascii="仿宋_GB2312" w:eastAsia="仿宋_GB2312" w:hAnsiTheme="minorHAnsi" w:cstheme="minorBidi"/>
          <w:sz w:val="32"/>
          <w:szCs w:val="32"/>
        </w:rPr>
        <w:t>月</w:t>
      </w:r>
      <w:r>
        <w:rPr>
          <w:rFonts w:hint="eastAsia" w:ascii="仿宋_GB2312" w:eastAsia="仿宋_GB2312" w:hAnsiTheme="minorHAnsi" w:cstheme="minorBidi"/>
          <w:sz w:val="32"/>
          <w:szCs w:val="32"/>
          <w:lang w:val="en-US" w:eastAsia="zh-CN"/>
        </w:rPr>
        <w:t>27</w:t>
      </w:r>
      <w:r>
        <w:rPr>
          <w:rFonts w:hint="eastAsia" w:ascii="仿宋_GB2312" w:eastAsia="仿宋_GB2312" w:hAnsiTheme="minorHAnsi" w:cstheme="minorBidi"/>
          <w:sz w:val="32"/>
          <w:szCs w:val="32"/>
        </w:rPr>
        <w:t>日收到绩效评价相关文件要求后，单位领导及时做了安排，梳理整体支出基本情况、项目支出情况；确定自评项目，根据项目基本情况收集资料、汇总数据，制定评价方案，制定评价指标体系，完善评价指标体系。</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2.组织实施：为使绩效评价工作顺利开展，202</w:t>
      </w:r>
      <w:r>
        <w:rPr>
          <w:rFonts w:hint="eastAsia" w:ascii="仿宋_GB2312" w:eastAsia="仿宋_GB2312" w:hAnsiTheme="minorHAnsi" w:cstheme="minorBidi"/>
          <w:sz w:val="32"/>
          <w:szCs w:val="32"/>
          <w:lang w:val="en-US" w:eastAsia="zh-CN"/>
        </w:rPr>
        <w:t>5</w:t>
      </w:r>
      <w:r>
        <w:rPr>
          <w:rFonts w:hint="eastAsia" w:ascii="仿宋_GB2312" w:eastAsia="仿宋_GB2312" w:hAnsiTheme="minorHAnsi" w:cstheme="minorBidi"/>
          <w:sz w:val="32"/>
          <w:szCs w:val="32"/>
        </w:rPr>
        <w:t>年</w:t>
      </w:r>
      <w:r>
        <w:rPr>
          <w:rFonts w:hint="eastAsia" w:ascii="仿宋_GB2312" w:eastAsia="仿宋_GB2312" w:hAnsiTheme="minorHAnsi" w:cstheme="minorBidi"/>
          <w:sz w:val="32"/>
          <w:szCs w:val="32"/>
          <w:lang w:val="en-US" w:eastAsia="zh-CN"/>
        </w:rPr>
        <w:t>3</w:t>
      </w:r>
      <w:r>
        <w:rPr>
          <w:rFonts w:hint="eastAsia" w:ascii="仿宋_GB2312" w:eastAsia="仿宋_GB2312" w:hAnsiTheme="minorHAnsi" w:cstheme="minorBidi"/>
          <w:sz w:val="32"/>
          <w:szCs w:val="32"/>
        </w:rPr>
        <w:t>月</w:t>
      </w:r>
      <w:r>
        <w:rPr>
          <w:rFonts w:hint="eastAsia" w:ascii="仿宋_GB2312" w:eastAsia="仿宋_GB2312" w:hAnsiTheme="minorHAnsi" w:cstheme="minorBidi"/>
          <w:sz w:val="32"/>
          <w:szCs w:val="32"/>
          <w:lang w:val="en-US" w:eastAsia="zh-CN"/>
        </w:rPr>
        <w:t>5</w:t>
      </w:r>
      <w:r>
        <w:rPr>
          <w:rFonts w:hint="eastAsia" w:ascii="仿宋_GB2312" w:eastAsia="仿宋_GB2312" w:hAnsiTheme="minorHAnsi" w:cstheme="minorBidi"/>
          <w:sz w:val="32"/>
          <w:szCs w:val="32"/>
        </w:rPr>
        <w:t>日成立由局长任组长的财政支出绩效评价工作领导小组，负责绩效评价的组织和实施工作，负责本次绩效评价工作。</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3.分析评价：</w:t>
      </w:r>
      <w:r>
        <w:rPr>
          <w:rFonts w:hint="eastAsia" w:ascii="仿宋_GB2312" w:eastAsia="仿宋_GB2312" w:hAnsiTheme="minorHAnsi" w:cstheme="minorBidi"/>
          <w:sz w:val="32"/>
          <w:szCs w:val="32"/>
          <w:lang w:val="en-US" w:eastAsia="zh-CN"/>
        </w:rPr>
        <w:t>3</w:t>
      </w:r>
      <w:r>
        <w:rPr>
          <w:rFonts w:hint="eastAsia" w:ascii="仿宋_GB2312" w:eastAsia="仿宋_GB2312" w:hAnsiTheme="minorHAnsi" w:cstheme="minorBidi"/>
          <w:sz w:val="32"/>
          <w:szCs w:val="32"/>
        </w:rPr>
        <w:t>月</w:t>
      </w:r>
      <w:r>
        <w:rPr>
          <w:rFonts w:hint="eastAsia" w:ascii="仿宋_GB2312" w:eastAsia="仿宋_GB2312" w:hAnsiTheme="minorHAnsi" w:cstheme="minorBidi"/>
          <w:sz w:val="32"/>
          <w:szCs w:val="32"/>
          <w:lang w:val="en-US" w:eastAsia="zh-CN"/>
        </w:rPr>
        <w:t>6</w:t>
      </w:r>
      <w:r>
        <w:rPr>
          <w:rFonts w:hint="eastAsia" w:ascii="仿宋_GB2312" w:eastAsia="仿宋_GB2312" w:hAnsiTheme="minorHAnsi" w:cstheme="minorBidi"/>
          <w:sz w:val="32"/>
          <w:szCs w:val="32"/>
        </w:rPr>
        <w:t>日至</w:t>
      </w:r>
      <w:r>
        <w:rPr>
          <w:rFonts w:hint="eastAsia" w:ascii="仿宋_GB2312" w:eastAsia="仿宋_GB2312" w:hAnsiTheme="minorHAnsi" w:cstheme="minorBidi"/>
          <w:sz w:val="32"/>
          <w:szCs w:val="32"/>
          <w:lang w:val="en-US" w:eastAsia="zh-CN"/>
        </w:rPr>
        <w:t>3</w:t>
      </w:r>
      <w:r>
        <w:rPr>
          <w:rFonts w:hint="eastAsia" w:ascii="仿宋_GB2312" w:eastAsia="仿宋_GB2312" w:hAnsiTheme="minorHAnsi" w:cstheme="minorBidi"/>
          <w:sz w:val="32"/>
          <w:szCs w:val="32"/>
        </w:rPr>
        <w:t>月</w:t>
      </w:r>
      <w:r>
        <w:rPr>
          <w:rFonts w:hint="eastAsia" w:ascii="仿宋_GB2312" w:eastAsia="仿宋_GB2312" w:hAnsiTheme="minorHAnsi" w:cstheme="minorBidi"/>
          <w:sz w:val="32"/>
          <w:szCs w:val="32"/>
          <w:lang w:val="en-US" w:eastAsia="zh-CN"/>
        </w:rPr>
        <w:t>20</w:t>
      </w:r>
      <w:r>
        <w:rPr>
          <w:rFonts w:hint="eastAsia" w:ascii="仿宋_GB2312" w:eastAsia="仿宋_GB2312" w:hAnsiTheme="minorHAnsi" w:cstheme="minorBidi"/>
          <w:sz w:val="32"/>
          <w:szCs w:val="32"/>
        </w:rPr>
        <w:t>日，各事业单位及各</w:t>
      </w:r>
      <w:r>
        <w:rPr>
          <w:rFonts w:hint="eastAsia" w:ascii="仿宋_GB2312" w:eastAsia="仿宋_GB2312" w:hAnsiTheme="minorHAnsi" w:cstheme="minorBidi"/>
          <w:sz w:val="32"/>
          <w:szCs w:val="32"/>
          <w:lang w:val="en-US" w:eastAsia="zh-CN"/>
        </w:rPr>
        <w:t>科室</w:t>
      </w:r>
      <w:r>
        <w:rPr>
          <w:rFonts w:hint="eastAsia" w:ascii="仿宋_GB2312" w:eastAsia="仿宋_GB2312" w:hAnsiTheme="minorHAnsi" w:cstheme="minorBidi"/>
          <w:sz w:val="32"/>
          <w:szCs w:val="32"/>
        </w:rPr>
        <w:t>先结合要求进行摸底准备，进行单位整体支出绩效及项目支出绩效的自评工作。</w:t>
      </w:r>
      <w:r>
        <w:rPr>
          <w:rFonts w:hint="eastAsia" w:ascii="仿宋_GB2312" w:eastAsia="仿宋_GB2312" w:hAnsiTheme="minorHAnsi" w:cstheme="minorBidi"/>
          <w:sz w:val="32"/>
          <w:szCs w:val="32"/>
          <w:lang w:val="en-US" w:eastAsia="zh-CN"/>
        </w:rPr>
        <w:t>3</w:t>
      </w:r>
      <w:r>
        <w:rPr>
          <w:rFonts w:hint="eastAsia" w:ascii="仿宋_GB2312" w:eastAsia="仿宋_GB2312" w:hAnsiTheme="minorHAnsi" w:cstheme="minorBidi"/>
          <w:sz w:val="32"/>
          <w:szCs w:val="32"/>
        </w:rPr>
        <w:t>月</w:t>
      </w:r>
      <w:r>
        <w:rPr>
          <w:rFonts w:hint="eastAsia" w:ascii="仿宋_GB2312" w:eastAsia="仿宋_GB2312" w:hAnsiTheme="minorHAnsi" w:cstheme="minorBidi"/>
          <w:sz w:val="32"/>
          <w:szCs w:val="32"/>
          <w:lang w:val="en-US" w:eastAsia="zh-CN"/>
        </w:rPr>
        <w:t>21</w:t>
      </w:r>
      <w:r>
        <w:rPr>
          <w:rFonts w:hint="eastAsia" w:ascii="仿宋_GB2312" w:eastAsia="仿宋_GB2312" w:hAnsiTheme="minorHAnsi" w:cstheme="minorBidi"/>
          <w:sz w:val="32"/>
          <w:szCs w:val="32"/>
        </w:rPr>
        <w:t>日局评价小组召开专题会议，集中安排布置本次财政支出评价工作，并提出工作要求，进行核实、分析，对基本支出绩效及项目支出绩效完成情况进行综合分析形成评价结论，于</w:t>
      </w:r>
      <w:r>
        <w:rPr>
          <w:rFonts w:hint="eastAsia" w:ascii="仿宋_GB2312" w:eastAsia="仿宋_GB2312" w:hAnsiTheme="minorHAnsi" w:cstheme="minorBidi"/>
          <w:sz w:val="32"/>
          <w:szCs w:val="32"/>
          <w:lang w:val="en-US" w:eastAsia="zh-CN"/>
        </w:rPr>
        <w:t>3</w:t>
      </w:r>
      <w:r>
        <w:rPr>
          <w:rFonts w:hint="eastAsia" w:ascii="仿宋_GB2312" w:eastAsia="仿宋_GB2312" w:hAnsiTheme="minorHAnsi" w:cstheme="minorBidi"/>
          <w:sz w:val="32"/>
          <w:szCs w:val="32"/>
        </w:rPr>
        <w:t>月</w:t>
      </w:r>
      <w:r>
        <w:rPr>
          <w:rFonts w:hint="eastAsia" w:ascii="仿宋_GB2312" w:eastAsia="仿宋_GB2312" w:hAnsiTheme="minorHAnsi" w:cstheme="minorBidi"/>
          <w:sz w:val="32"/>
          <w:szCs w:val="32"/>
          <w:lang w:val="en-US" w:eastAsia="zh-CN"/>
        </w:rPr>
        <w:t>27</w:t>
      </w:r>
      <w:r>
        <w:rPr>
          <w:rFonts w:hint="eastAsia" w:ascii="仿宋_GB2312" w:eastAsia="仿宋_GB2312" w:hAnsiTheme="minorHAnsi" w:cstheme="minorBidi"/>
          <w:sz w:val="32"/>
          <w:szCs w:val="32"/>
        </w:rPr>
        <w:t>日前上报202</w:t>
      </w:r>
      <w:r>
        <w:rPr>
          <w:rFonts w:hint="eastAsia" w:ascii="仿宋_GB2312" w:eastAsia="仿宋_GB2312" w:hAnsiTheme="minorHAnsi" w:cstheme="minorBidi"/>
          <w:sz w:val="32"/>
          <w:szCs w:val="32"/>
          <w:lang w:val="en-US" w:eastAsia="zh-CN"/>
        </w:rPr>
        <w:t>4</w:t>
      </w:r>
      <w:r>
        <w:rPr>
          <w:rFonts w:hint="eastAsia" w:ascii="仿宋_GB2312" w:eastAsia="仿宋_GB2312" w:hAnsiTheme="minorHAnsi" w:cstheme="minorBidi"/>
          <w:sz w:val="32"/>
          <w:szCs w:val="32"/>
        </w:rPr>
        <w:t>年各单位整体支出绩效</w:t>
      </w:r>
      <w:r>
        <w:rPr>
          <w:rFonts w:hint="eastAsia" w:ascii="仿宋_GB2312" w:eastAsia="仿宋_GB2312" w:hAnsiTheme="minorHAnsi" w:cstheme="minorBidi"/>
          <w:sz w:val="32"/>
          <w:szCs w:val="32"/>
          <w:lang w:eastAsia="zh-CN"/>
        </w:rPr>
        <w:t>、</w:t>
      </w:r>
      <w:r>
        <w:rPr>
          <w:rFonts w:hint="eastAsia" w:ascii="仿宋_GB2312" w:eastAsia="仿宋_GB2312" w:hAnsiTheme="minorHAnsi" w:cstheme="minorBidi"/>
          <w:sz w:val="32"/>
          <w:szCs w:val="32"/>
        </w:rPr>
        <w:t>项目支出绩效自评</w:t>
      </w:r>
      <w:r>
        <w:rPr>
          <w:rFonts w:hint="eastAsia" w:ascii="仿宋_GB2312" w:eastAsia="仿宋_GB2312" w:hAnsiTheme="minorHAnsi" w:cstheme="minorBidi"/>
          <w:sz w:val="32"/>
          <w:szCs w:val="32"/>
          <w:lang w:val="en-US" w:eastAsia="zh-CN"/>
        </w:rPr>
        <w:t>报告及项目支出绩效评价报告</w:t>
      </w:r>
      <w:r>
        <w:rPr>
          <w:rFonts w:hint="eastAsia" w:ascii="仿宋_GB2312" w:eastAsia="仿宋_GB2312" w:hAnsiTheme="minorHAnsi" w:cstheme="minorBidi"/>
          <w:sz w:val="32"/>
          <w:szCs w:val="32"/>
          <w:lang w:eastAsia="zh-CN"/>
        </w:rPr>
        <w:t>。</w:t>
      </w:r>
      <w:r>
        <w:rPr>
          <w:rFonts w:hint="eastAsia" w:ascii="仿宋_GB2312" w:eastAsia="仿宋_GB2312" w:hAnsiTheme="minorHAnsi" w:cstheme="minorBidi"/>
          <w:sz w:val="32"/>
          <w:szCs w:val="32"/>
        </w:rPr>
        <w:t xml:space="preserve">    </w:t>
      </w:r>
    </w:p>
    <w:p>
      <w:pPr>
        <w:topLinePunct/>
        <w:ind w:firstLine="640" w:firstLineChars="200"/>
        <w:jc w:val="both"/>
        <w:rPr>
          <w:rFonts w:hint="eastAsia" w:ascii="黑体" w:hAnsi="Times New Roman" w:eastAsia="黑体"/>
          <w:sz w:val="32"/>
          <w:szCs w:val="32"/>
          <w:lang w:val="en-US" w:eastAsia="zh-CN"/>
        </w:rPr>
      </w:pPr>
      <w:r>
        <w:rPr>
          <w:rFonts w:hint="eastAsia" w:ascii="黑体" w:hAnsi="Times New Roman" w:eastAsia="黑体"/>
          <w:sz w:val="32"/>
          <w:szCs w:val="32"/>
          <w:lang w:val="en-US" w:eastAsia="zh-CN"/>
        </w:rPr>
        <w:t>四、绩效评价指标分析情况</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（一）项目资金情况分析</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1.资金到位情况分析：资金为财政支出，</w:t>
      </w:r>
      <w:r>
        <w:rPr>
          <w:rFonts w:hint="eastAsia" w:ascii="仿宋_GB2312" w:eastAsia="仿宋_GB2312" w:hAnsiTheme="minorHAnsi" w:cstheme="minorBidi"/>
          <w:sz w:val="32"/>
          <w:szCs w:val="32"/>
          <w:lang w:val="en-US" w:eastAsia="zh-CN"/>
        </w:rPr>
        <w:t>2024年</w:t>
      </w:r>
      <w:r>
        <w:rPr>
          <w:rFonts w:hint="eastAsia" w:ascii="仿宋_GB2312" w:eastAsia="仿宋_GB2312" w:hAnsiTheme="minorHAnsi" w:cstheme="minorBidi"/>
          <w:sz w:val="32"/>
          <w:szCs w:val="32"/>
        </w:rPr>
        <w:t>累计拨入资金</w:t>
      </w:r>
      <w:r>
        <w:rPr>
          <w:rFonts w:hint="eastAsia" w:ascii="仿宋_GB2312" w:eastAsia="仿宋_GB2312" w:hAnsiTheme="minorHAnsi" w:cstheme="minorBidi"/>
          <w:sz w:val="32"/>
          <w:szCs w:val="32"/>
          <w:lang w:val="en-US" w:eastAsia="zh-CN"/>
        </w:rPr>
        <w:t>1300</w:t>
      </w:r>
      <w:r>
        <w:rPr>
          <w:rFonts w:hint="eastAsia" w:ascii="仿宋_GB2312" w:eastAsia="仿宋_GB2312" w:hAnsiTheme="minorHAnsi" w:cstheme="minorBidi"/>
          <w:sz w:val="32"/>
          <w:szCs w:val="32"/>
        </w:rPr>
        <w:t>万元</w:t>
      </w:r>
      <w:r>
        <w:rPr>
          <w:rFonts w:hint="eastAsia" w:ascii="仿宋_GB2312" w:eastAsia="仿宋_GB2312" w:hAnsiTheme="minorHAnsi" w:cstheme="minorBidi"/>
          <w:sz w:val="32"/>
          <w:szCs w:val="32"/>
          <w:lang w:eastAsia="zh-CN"/>
        </w:rPr>
        <w:t>，</w:t>
      </w:r>
      <w:r>
        <w:rPr>
          <w:rFonts w:hint="eastAsia" w:ascii="仿宋_GB2312" w:eastAsia="仿宋_GB2312" w:hAnsiTheme="minorHAnsi" w:cstheme="minorBidi"/>
          <w:sz w:val="32"/>
          <w:szCs w:val="32"/>
        </w:rPr>
        <w:t>年末无结转资金。</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2.项目资金使用情况分析：20</w:t>
      </w:r>
      <w:r>
        <w:rPr>
          <w:rFonts w:hint="eastAsia" w:ascii="仿宋_GB2312" w:eastAsia="仿宋_GB2312" w:hAnsiTheme="minorHAnsi" w:cstheme="minorBidi"/>
          <w:sz w:val="32"/>
          <w:szCs w:val="32"/>
          <w:lang w:val="en-US" w:eastAsia="zh-CN"/>
        </w:rPr>
        <w:t>24</w:t>
      </w:r>
      <w:r>
        <w:rPr>
          <w:rFonts w:hint="eastAsia" w:ascii="仿宋_GB2312" w:eastAsia="仿宋_GB2312" w:hAnsiTheme="minorHAnsi" w:cstheme="minorBidi"/>
          <w:sz w:val="32"/>
          <w:szCs w:val="32"/>
        </w:rPr>
        <w:t>年支出资金</w:t>
      </w:r>
      <w:r>
        <w:rPr>
          <w:rFonts w:hint="eastAsia" w:ascii="仿宋_GB2312" w:eastAsia="仿宋_GB2312" w:hAnsiTheme="minorHAnsi" w:cstheme="minorBidi"/>
          <w:sz w:val="32"/>
          <w:szCs w:val="32"/>
          <w:lang w:val="en-US" w:eastAsia="zh-CN"/>
        </w:rPr>
        <w:t>1300</w:t>
      </w:r>
      <w:r>
        <w:rPr>
          <w:rFonts w:hint="eastAsia" w:ascii="仿宋_GB2312" w:eastAsia="仿宋_GB2312" w:hAnsiTheme="minorHAnsi" w:cstheme="minorBidi"/>
          <w:sz w:val="32"/>
          <w:szCs w:val="32"/>
        </w:rPr>
        <w:t>万元，主要为</w:t>
      </w:r>
      <w:r>
        <w:rPr>
          <w:rFonts w:hint="eastAsia" w:ascii="仿宋_GB2312" w:eastAsia="仿宋_GB2312" w:hAnsiTheme="minorHAnsi" w:cstheme="minorBidi"/>
          <w:sz w:val="32"/>
          <w:szCs w:val="32"/>
          <w:lang w:eastAsia="zh-CN"/>
        </w:rPr>
        <w:t>支付</w:t>
      </w:r>
      <w:r>
        <w:rPr>
          <w:rFonts w:hint="eastAsia" w:ascii="仿宋_GB2312" w:eastAsia="仿宋_GB2312" w:hAnsiTheme="minorHAnsi" w:cstheme="minorBidi"/>
          <w:sz w:val="32"/>
          <w:szCs w:val="32"/>
        </w:rPr>
        <w:t>完善土地手续所需</w:t>
      </w:r>
      <w:r>
        <w:rPr>
          <w:rFonts w:hint="eastAsia" w:ascii="仿宋_GB2312" w:eastAsia="仿宋_GB2312" w:hAnsiTheme="minorHAnsi" w:cstheme="minorBidi"/>
          <w:sz w:val="32"/>
          <w:szCs w:val="32"/>
          <w:lang w:eastAsia="zh-CN"/>
        </w:rPr>
        <w:t>费用</w:t>
      </w:r>
      <w:r>
        <w:rPr>
          <w:rFonts w:hint="eastAsia" w:ascii="仿宋_GB2312" w:eastAsia="仿宋_GB2312" w:hAnsiTheme="minorHAnsi" w:cstheme="minorBidi"/>
          <w:sz w:val="32"/>
          <w:szCs w:val="32"/>
        </w:rPr>
        <w:t>。</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lang w:val="en-US" w:eastAsia="zh-CN"/>
        </w:rPr>
        <w:t>3.</w:t>
      </w:r>
      <w:r>
        <w:rPr>
          <w:rFonts w:hint="eastAsia" w:ascii="仿宋_GB2312" w:eastAsia="仿宋_GB2312" w:hAnsiTheme="minorHAnsi" w:cstheme="minorBidi"/>
          <w:sz w:val="32"/>
          <w:szCs w:val="32"/>
        </w:rPr>
        <w:t>项目资金管理情况</w:t>
      </w:r>
      <w:r>
        <w:rPr>
          <w:rFonts w:hint="eastAsia" w:ascii="仿宋_GB2312" w:eastAsia="仿宋_GB2312" w:hAnsiTheme="minorHAnsi" w:cstheme="minorBidi"/>
          <w:sz w:val="32"/>
          <w:szCs w:val="32"/>
          <w:lang w:eastAsia="zh-CN"/>
        </w:rPr>
        <w:t>分析</w:t>
      </w:r>
      <w:r>
        <w:rPr>
          <w:rFonts w:hint="eastAsia" w:ascii="仿宋_GB2312" w:eastAsia="仿宋_GB2312" w:hAnsiTheme="minorHAnsi" w:cstheme="minorBidi"/>
          <w:sz w:val="32"/>
          <w:szCs w:val="32"/>
        </w:rPr>
        <w:t>：</w:t>
      </w:r>
      <w:r>
        <w:rPr>
          <w:rFonts w:hint="eastAsia" w:ascii="仿宋_GB2312" w:eastAsia="仿宋_GB2312" w:hAnsiTheme="minorHAnsi" w:cstheme="minorBidi"/>
          <w:sz w:val="32"/>
          <w:szCs w:val="32"/>
          <w:lang w:val="en-US" w:eastAsia="zh-CN"/>
        </w:rPr>
        <w:t>按政府投资项目相关规定进行管理。项目单独建账核算，资金支付时严格审批程序，核算规范，准确反映各项业务收支活动。资金支付严格执行合同条款，项目资金拨付及时，无截留、挤占、挪用、虚列资金现象，确保专款专用。</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（二）项目实施情况分析。</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lang w:val="en-US" w:eastAsia="zh-CN"/>
        </w:rPr>
        <w:t>1.</w:t>
      </w:r>
      <w:r>
        <w:rPr>
          <w:rFonts w:hint="eastAsia" w:ascii="仿宋_GB2312" w:eastAsia="仿宋_GB2312" w:hAnsiTheme="minorHAnsi" w:cstheme="minorBidi"/>
          <w:sz w:val="32"/>
          <w:szCs w:val="32"/>
        </w:rPr>
        <w:t>项目组织情况分析：按照区政府《关于2015年道路建设和2015年道路综合整治工作责任分解的通知》（呈新综办通〔2015〕107号）的的要求，我局负责呈贡67号路（呈荣大道）建设工作。至今，我局于2015年6月取得《关于同意呈贡67号市政道路建设项目开展前期工作的函》（呈发改函〔2015〕10号）；2015年12月取得《关于呈贡67（呈荣大道）市政道路建设项目可行性研究报告的批复》（呈发改复〔2015〕35号）；2016年3月取得《昆明市呈贡区水务局关于准予呈贡67（呈荣大道）市政道路建设项目水土保持方案的行政许可决定书》（呈水许可准〔2016〕2号）；2016年4月取得《关于对&lt;呈贡67号（呈荣大道）市政道路建设环境影响报告书&gt;的批复》（呈环保复〔2016〕17号）；2016年取得《关于呈贡67号呈荣大道市政道路建设项目初步设计的批复》（呈新管复〔2016〕10号）。目前已支付征地费2000万元，前期手续、报建、办证支付250万元。2018年计划投资7000万元。该市政道路建设项目已按原计划于2019年4月通车，并于2019年5月组织竣工验收，2019 年12月完成审计工作</w:t>
      </w:r>
      <w:r>
        <w:rPr>
          <w:rFonts w:hint="eastAsia" w:ascii="仿宋_GB2312" w:eastAsia="仿宋_GB2312" w:hAnsiTheme="minorHAnsi" w:cstheme="minorBidi"/>
          <w:sz w:val="32"/>
          <w:szCs w:val="32"/>
          <w:lang w:eastAsia="zh-CN"/>
        </w:rPr>
        <w:t>，完善土地手续相关材料已组件上报省自然资源厅</w:t>
      </w:r>
      <w:r>
        <w:rPr>
          <w:rFonts w:hint="eastAsia" w:ascii="仿宋_GB2312" w:eastAsia="仿宋_GB2312" w:hAnsiTheme="minorHAnsi" w:cstheme="minorBidi"/>
          <w:sz w:val="32"/>
          <w:szCs w:val="32"/>
        </w:rPr>
        <w:t>。</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lang w:val="en-US" w:eastAsia="zh-CN"/>
        </w:rPr>
        <w:t>2.</w:t>
      </w:r>
      <w:r>
        <w:rPr>
          <w:rFonts w:hint="eastAsia" w:ascii="仿宋_GB2312" w:eastAsia="仿宋_GB2312" w:hAnsiTheme="minorHAnsi" w:cstheme="minorBidi"/>
          <w:sz w:val="32"/>
          <w:szCs w:val="32"/>
        </w:rPr>
        <w:t>项目管理情况分析：住建局成立了以张毅副局长为组长的领导小组，成员有：王彦春（现场管理、协调）、杨泽林（工程资料管理）、傅红惠（工程资金的财务管理）。确定项目负责人，统一组织协调本项目建设；负责起草计划、总结，会议纪要等文书和档案管理；组织完善各类审批事项及手续，及时协调解决工作中出现的问题。</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（三）项目绩效情况分析</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1.项目经济性分析：通过项目招投标选择了设计和监理单位，并通过招投标的方式选择造价咨询服务单位进行成本核算，控制项目成本，节约资金。</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2.项目的效率性分析：67号路现已竣工验收</w:t>
      </w:r>
      <w:r>
        <w:rPr>
          <w:rFonts w:hint="eastAsia" w:ascii="仿宋_GB2312" w:eastAsia="仿宋_GB2312" w:hAnsiTheme="minorHAnsi" w:cstheme="minorBidi"/>
          <w:sz w:val="32"/>
          <w:szCs w:val="32"/>
          <w:lang w:eastAsia="zh-CN"/>
        </w:rPr>
        <w:t>，已完成政府审计，已投入使用</w:t>
      </w:r>
      <w:r>
        <w:rPr>
          <w:rFonts w:hint="eastAsia" w:ascii="仿宋_GB2312" w:eastAsia="仿宋_GB2312" w:hAnsiTheme="minorHAnsi" w:cstheme="minorBidi"/>
          <w:sz w:val="32"/>
          <w:szCs w:val="32"/>
        </w:rPr>
        <w:t>。</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3.项目的效益性分析：项目预期目标完成情况良好，已按原计划于2019年4月试通车并于2019年5月竣工验收，2019年12月完成审计工作。项目建成将有利于营造良好的交通环境和人居环境，促进区域经济的发展。项目建设将最大程度的满足片区交通量的需求，改善片区生活配套，提升区域价值，将构建良好的道路生态廊道，能够较好的实现局部区域之间能源流、信息流的交流，有利于营造良好的交通环境和人居环境，促进区域经济发展，项目建设具有良好的社会效益和经济效益。</w:t>
      </w:r>
    </w:p>
    <w:p>
      <w:pPr>
        <w:topLinePunct/>
        <w:ind w:firstLine="640" w:firstLineChars="200"/>
        <w:jc w:val="both"/>
        <w:rPr>
          <w:rFonts w:hint="eastAsia" w:ascii="黑体" w:hAnsi="Times New Roman" w:eastAsia="黑体"/>
          <w:sz w:val="32"/>
          <w:szCs w:val="32"/>
          <w:lang w:val="en-US" w:eastAsia="zh-CN"/>
        </w:rPr>
      </w:pPr>
      <w:r>
        <w:rPr>
          <w:rFonts w:hint="eastAsia" w:ascii="黑体" w:hAnsi="Times New Roman" w:eastAsia="黑体"/>
          <w:sz w:val="32"/>
          <w:szCs w:val="32"/>
          <w:lang w:val="en-US" w:eastAsia="zh-CN"/>
        </w:rPr>
        <w:t>五、综合评价情况及评价结论</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经按“财政支出绩效评价指标体系”进行综合评价，本项目综合得分9</w:t>
      </w:r>
      <w:r>
        <w:rPr>
          <w:rFonts w:hint="eastAsia" w:ascii="仿宋_GB2312" w:eastAsia="仿宋_GB2312" w:hAnsiTheme="minorHAnsi" w:cstheme="minorBidi"/>
          <w:sz w:val="32"/>
          <w:szCs w:val="32"/>
          <w:lang w:val="en-US" w:eastAsia="zh-CN"/>
        </w:rPr>
        <w:t>4</w:t>
      </w:r>
      <w:r>
        <w:rPr>
          <w:rFonts w:hint="eastAsia" w:ascii="仿宋_GB2312" w:eastAsia="仿宋_GB2312" w:hAnsiTheme="minorHAnsi" w:cstheme="minorBidi"/>
          <w:sz w:val="32"/>
          <w:szCs w:val="32"/>
        </w:rPr>
        <w:t>分，评价等次为“优”。各项评分结果见“项目支出绩效自评指标评分表”。</w:t>
      </w:r>
    </w:p>
    <w:p>
      <w:pPr>
        <w:topLinePunct/>
        <w:ind w:firstLine="640" w:firstLineChars="200"/>
        <w:jc w:val="both"/>
        <w:rPr>
          <w:rFonts w:hint="eastAsia" w:ascii="黑体" w:hAnsi="Times New Roman" w:eastAsia="黑体"/>
          <w:sz w:val="32"/>
          <w:szCs w:val="32"/>
          <w:lang w:val="en-US" w:eastAsia="zh-CN"/>
        </w:rPr>
      </w:pPr>
      <w:r>
        <w:rPr>
          <w:rFonts w:hint="eastAsia" w:ascii="黑体" w:hAnsi="Times New Roman" w:eastAsia="黑体"/>
          <w:sz w:val="32"/>
          <w:szCs w:val="32"/>
          <w:lang w:val="en-US" w:eastAsia="zh-CN"/>
        </w:rPr>
        <w:t>六、绩效评价结果应用建议</w:t>
      </w:r>
    </w:p>
    <w:p>
      <w:pPr>
        <w:topLinePunct/>
        <w:ind w:firstLine="640" w:firstLineChars="200"/>
        <w:jc w:val="both"/>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以后年度预算资金安排的依据、评价结果应在中共•呈贡网站上公开，促进项目管理、单位管理。</w:t>
      </w:r>
    </w:p>
    <w:p>
      <w:pPr>
        <w:topLinePunct/>
        <w:ind w:firstLine="640" w:firstLineChars="200"/>
        <w:jc w:val="both"/>
        <w:rPr>
          <w:rFonts w:hint="eastAsia" w:ascii="黑体" w:hAnsi="Times New Roman" w:eastAsia="黑体"/>
          <w:sz w:val="32"/>
          <w:szCs w:val="32"/>
          <w:lang w:val="en-US" w:eastAsia="zh-CN"/>
        </w:rPr>
      </w:pPr>
      <w:r>
        <w:rPr>
          <w:rFonts w:hint="eastAsia" w:ascii="黑体" w:hAnsi="Times New Roman" w:eastAsia="黑体"/>
          <w:sz w:val="32"/>
          <w:szCs w:val="32"/>
          <w:lang w:val="en-US" w:eastAsia="zh-CN"/>
        </w:rPr>
        <w:t>七、主要经验及做法、存在的问题和建议</w:t>
      </w:r>
    </w:p>
    <w:p>
      <w:pPr>
        <w:numPr>
          <w:numId w:val="0"/>
        </w:numPr>
        <w:spacing w:line="500" w:lineRule="exact"/>
        <w:ind w:firstLine="640" w:firstLineChars="200"/>
        <w:jc w:val="both"/>
        <w:rPr>
          <w:rFonts w:ascii="仿宋" w:hAnsi="仿宋" w:eastAsia="仿宋" w:cs="仿宋"/>
          <w:b/>
          <w:sz w:val="32"/>
          <w:szCs w:val="32"/>
        </w:rPr>
      </w:pPr>
      <w:r>
        <w:rPr>
          <w:rFonts w:hint="eastAsia" w:ascii="仿宋" w:hAnsi="仿宋" w:eastAsia="仿宋" w:cs="仿宋"/>
          <w:b w:val="0"/>
          <w:bCs/>
          <w:sz w:val="32"/>
          <w:szCs w:val="32"/>
        </w:rPr>
        <w:t>无</w:t>
      </w:r>
    </w:p>
    <w:p>
      <w:pPr>
        <w:topLinePunct/>
        <w:ind w:firstLine="640" w:firstLineChars="200"/>
        <w:jc w:val="both"/>
        <w:rPr>
          <w:rFonts w:hint="eastAsia" w:ascii="黑体" w:hAnsi="Times New Roman" w:eastAsia="黑体"/>
          <w:sz w:val="32"/>
          <w:szCs w:val="32"/>
          <w:lang w:val="en-US" w:eastAsia="zh-CN"/>
        </w:rPr>
      </w:pPr>
      <w:r>
        <w:rPr>
          <w:rFonts w:hint="eastAsia" w:ascii="黑体" w:hAnsi="Times New Roman" w:eastAsia="黑体"/>
          <w:sz w:val="32"/>
          <w:szCs w:val="32"/>
          <w:lang w:val="en-US" w:eastAsia="zh-CN"/>
        </w:rPr>
        <w:t>八、其他需说明的问题</w:t>
      </w:r>
    </w:p>
    <w:p>
      <w:pPr>
        <w:numPr>
          <w:numId w:val="0"/>
        </w:numPr>
        <w:spacing w:line="500" w:lineRule="exact"/>
        <w:ind w:leftChars="200" w:firstLine="320" w:firstLineChars="100"/>
        <w:jc w:val="both"/>
        <w:rPr>
          <w:rFonts w:ascii="仿宋" w:hAnsi="仿宋" w:eastAsia="仿宋" w:cs="仿宋"/>
          <w:sz w:val="32"/>
          <w:szCs w:val="32"/>
        </w:rPr>
      </w:pPr>
      <w:r>
        <w:rPr>
          <w:rFonts w:hint="eastAsia" w:ascii="仿宋" w:hAnsi="仿宋" w:eastAsia="仿宋" w:cs="仿宋"/>
          <w:sz w:val="32"/>
          <w:szCs w:val="32"/>
        </w:rPr>
        <w:t>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5</w:t>
                </w:r>
                <w:r>
                  <w:rPr>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M2NTNmOTRlYWRmYjc0MWFjZWYwNDllZWQwYjVkOWMifQ=="/>
  </w:docVars>
  <w:rsids>
    <w:rsidRoot w:val="00FB18EC"/>
    <w:rsid w:val="00004F2F"/>
    <w:rsid w:val="00046319"/>
    <w:rsid w:val="00051654"/>
    <w:rsid w:val="00057FEE"/>
    <w:rsid w:val="001C4906"/>
    <w:rsid w:val="00214735"/>
    <w:rsid w:val="00234821"/>
    <w:rsid w:val="002A604B"/>
    <w:rsid w:val="002B6BA4"/>
    <w:rsid w:val="002C0984"/>
    <w:rsid w:val="00386F30"/>
    <w:rsid w:val="003A5FC6"/>
    <w:rsid w:val="003E7AE6"/>
    <w:rsid w:val="00410494"/>
    <w:rsid w:val="004C08D1"/>
    <w:rsid w:val="0057338C"/>
    <w:rsid w:val="005753B2"/>
    <w:rsid w:val="005F0F6B"/>
    <w:rsid w:val="005F1A27"/>
    <w:rsid w:val="00653AB4"/>
    <w:rsid w:val="006D6014"/>
    <w:rsid w:val="00733317"/>
    <w:rsid w:val="007C3A6A"/>
    <w:rsid w:val="007C3D74"/>
    <w:rsid w:val="00824A7E"/>
    <w:rsid w:val="008424A4"/>
    <w:rsid w:val="008F5CC6"/>
    <w:rsid w:val="00903845"/>
    <w:rsid w:val="0094181E"/>
    <w:rsid w:val="0097413D"/>
    <w:rsid w:val="009B6904"/>
    <w:rsid w:val="009F5720"/>
    <w:rsid w:val="00AA5D2B"/>
    <w:rsid w:val="00AB56BF"/>
    <w:rsid w:val="00AE513B"/>
    <w:rsid w:val="00B020E9"/>
    <w:rsid w:val="00B67201"/>
    <w:rsid w:val="00C14F3E"/>
    <w:rsid w:val="00C27710"/>
    <w:rsid w:val="00C62DF1"/>
    <w:rsid w:val="00C8203A"/>
    <w:rsid w:val="00D24854"/>
    <w:rsid w:val="00D31E02"/>
    <w:rsid w:val="00D52FA9"/>
    <w:rsid w:val="00DA125C"/>
    <w:rsid w:val="00DC1921"/>
    <w:rsid w:val="00E34478"/>
    <w:rsid w:val="00FA4F5E"/>
    <w:rsid w:val="00FB18EC"/>
    <w:rsid w:val="00FF7013"/>
    <w:rsid w:val="0317350E"/>
    <w:rsid w:val="03814F93"/>
    <w:rsid w:val="0460371E"/>
    <w:rsid w:val="07474E74"/>
    <w:rsid w:val="08E91793"/>
    <w:rsid w:val="08FA56E9"/>
    <w:rsid w:val="09D52373"/>
    <w:rsid w:val="0BFBE65B"/>
    <w:rsid w:val="0E4137B5"/>
    <w:rsid w:val="10AB307D"/>
    <w:rsid w:val="11074E23"/>
    <w:rsid w:val="12D61215"/>
    <w:rsid w:val="13182D37"/>
    <w:rsid w:val="1A0C3710"/>
    <w:rsid w:val="1AFC2F3E"/>
    <w:rsid w:val="1B4111D0"/>
    <w:rsid w:val="1CE84CDA"/>
    <w:rsid w:val="22EA535D"/>
    <w:rsid w:val="23EE73D7"/>
    <w:rsid w:val="29400567"/>
    <w:rsid w:val="29656152"/>
    <w:rsid w:val="2B9F53E0"/>
    <w:rsid w:val="2F591AC1"/>
    <w:rsid w:val="30B425B7"/>
    <w:rsid w:val="31A81F36"/>
    <w:rsid w:val="337C11FF"/>
    <w:rsid w:val="34363413"/>
    <w:rsid w:val="36165FFF"/>
    <w:rsid w:val="38C8259F"/>
    <w:rsid w:val="3B240834"/>
    <w:rsid w:val="3B83171E"/>
    <w:rsid w:val="3FF027C2"/>
    <w:rsid w:val="40EC4984"/>
    <w:rsid w:val="43667F1A"/>
    <w:rsid w:val="478948D7"/>
    <w:rsid w:val="47A16117"/>
    <w:rsid w:val="481275A6"/>
    <w:rsid w:val="49F70BA9"/>
    <w:rsid w:val="4A1F51B1"/>
    <w:rsid w:val="4EA65C40"/>
    <w:rsid w:val="4FEF794D"/>
    <w:rsid w:val="531B7225"/>
    <w:rsid w:val="5906636D"/>
    <w:rsid w:val="591E534A"/>
    <w:rsid w:val="59FE0ED4"/>
    <w:rsid w:val="5B17797F"/>
    <w:rsid w:val="5BC63E39"/>
    <w:rsid w:val="5DD43A17"/>
    <w:rsid w:val="60C0388A"/>
    <w:rsid w:val="63FAF96B"/>
    <w:rsid w:val="64247A95"/>
    <w:rsid w:val="6AF8223B"/>
    <w:rsid w:val="6C5D26DE"/>
    <w:rsid w:val="6C5E3D48"/>
    <w:rsid w:val="6F25431D"/>
    <w:rsid w:val="6F5D5823"/>
    <w:rsid w:val="70FA674D"/>
    <w:rsid w:val="723339DC"/>
    <w:rsid w:val="753C5586"/>
    <w:rsid w:val="76A80905"/>
    <w:rsid w:val="7B2B5CF3"/>
    <w:rsid w:val="7B2F105B"/>
    <w:rsid w:val="7BC767E6"/>
    <w:rsid w:val="7C370678"/>
    <w:rsid w:val="7C6453C2"/>
    <w:rsid w:val="7C9A2151"/>
    <w:rsid w:val="7DD6409E"/>
    <w:rsid w:val="7E4F6CA4"/>
    <w:rsid w:val="7FCE6EFD"/>
    <w:rsid w:val="D1574A62"/>
    <w:rsid w:val="DFB5E2E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ascii="Calibri" w:hAnsi="Calibri" w:eastAsia="宋体" w:cs="Times New Roman"/>
    </w:rPr>
  </w:style>
  <w:style w:type="paragraph" w:styleId="3">
    <w:name w:val="Body Text Indent"/>
    <w:basedOn w:val="1"/>
    <w:qFormat/>
    <w:uiPriority w:val="0"/>
    <w:pPr>
      <w:ind w:firstLine="632" w:firstLineChars="200"/>
    </w:pPr>
    <w:rPr>
      <w:rFonts w:eastAsia="仿宋_GB2312" w:cs="Times New Roman"/>
      <w:sz w:val="20"/>
      <w:szCs w:val="20"/>
    </w:rPr>
  </w:style>
  <w:style w:type="paragraph" w:styleId="4">
    <w:name w:val="footer"/>
    <w:basedOn w:val="1"/>
    <w:link w:val="8"/>
    <w:qFormat/>
    <w:uiPriority w:val="99"/>
    <w:pPr>
      <w:tabs>
        <w:tab w:val="center" w:pos="4153"/>
        <w:tab w:val="right" w:pos="8306"/>
      </w:tabs>
      <w:snapToGrid w:val="0"/>
      <w:jc w:val="left"/>
    </w:pPr>
    <w:rPr>
      <w:sz w:val="18"/>
    </w:rPr>
  </w:style>
  <w:style w:type="paragraph" w:styleId="5">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Footer Char"/>
    <w:basedOn w:val="7"/>
    <w:link w:val="4"/>
    <w:semiHidden/>
    <w:qFormat/>
    <w:locked/>
    <w:uiPriority w:val="99"/>
    <w:rPr>
      <w:rFonts w:cs="Times New Roman"/>
      <w:sz w:val="18"/>
      <w:szCs w:val="18"/>
    </w:rPr>
  </w:style>
  <w:style w:type="character" w:customStyle="1" w:styleId="9">
    <w:name w:val="Header Char"/>
    <w:basedOn w:val="7"/>
    <w:link w:val="5"/>
    <w:semiHidden/>
    <w:qFormat/>
    <w:locked/>
    <w:uiPriority w:val="99"/>
    <w:rPr>
      <w:rFonts w:cs="Times New Roman"/>
      <w:sz w:val="18"/>
      <w:szCs w:val="18"/>
    </w:rPr>
  </w:style>
  <w:style w:type="paragraph" w:customStyle="1" w:styleId="10">
    <w:name w:val="列出段落1"/>
    <w:basedOn w:val="1"/>
    <w:qFormat/>
    <w:uiPriority w:val="99"/>
    <w:pPr>
      <w:ind w:firstLine="420" w:firstLineChars="200"/>
    </w:p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6</Pages>
  <Words>2379</Words>
  <Characters>2574</Characters>
  <Lines>0</Lines>
  <Paragraphs>0</Paragraphs>
  <TotalTime>43</TotalTime>
  <ScaleCrop>false</ScaleCrop>
  <LinksUpToDate>false</LinksUpToDate>
  <CharactersWithSpaces>2585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2018-04-29T00:36:00Z</dcterms:created>
  <dc:creator>pc</dc:creator>
  <cp:lastModifiedBy>HP</cp:lastModifiedBy>
  <cp:lastPrinted>2019-03-22T22:14:00Z</cp:lastPrinted>
  <dcterms:modified xsi:type="dcterms:W3CDTF">2025-03-14T02:05:35Z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C4C570177BCD47328A8E7A6F23919CDA</vt:lpwstr>
  </property>
</Properties>
</file>