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0400F">
      <w:pPr>
        <w:spacing w:line="570" w:lineRule="exact"/>
        <w:jc w:val="center"/>
        <w:rPr>
          <w:rFonts w:hint="eastAsia" w:ascii="方正小标宋简体" w:hAnsi="华文中宋" w:eastAsia="方正小标宋简体"/>
          <w:spacing w:val="14"/>
          <w:sz w:val="44"/>
          <w:szCs w:val="44"/>
        </w:rPr>
      </w:pPr>
    </w:p>
    <w:p w14:paraId="49C1D803">
      <w:pPr>
        <w:jc w:val="center"/>
        <w:rPr>
          <w:rFonts w:hint="eastAsia" w:ascii="方正小标宋简体" w:eastAsia="方正小标宋简体"/>
          <w:sz w:val="36"/>
          <w:szCs w:val="36"/>
        </w:rPr>
      </w:pPr>
      <w:r>
        <w:rPr>
          <w:rFonts w:hint="eastAsia" w:ascii="方正小标宋简体" w:eastAsia="方正小标宋简体"/>
          <w:sz w:val="36"/>
          <w:szCs w:val="36"/>
        </w:rPr>
        <w:t>昆明市呈贡区公共资源交易监督</w:t>
      </w:r>
      <w:r>
        <w:rPr>
          <w:rFonts w:hint="eastAsia" w:ascii="方正小标宋简体" w:eastAsia="方正小标宋简体"/>
          <w:sz w:val="36"/>
          <w:szCs w:val="36"/>
          <w:lang w:eastAsia="zh-CN"/>
        </w:rPr>
        <w:t>管理委员会</w:t>
      </w:r>
      <w:r>
        <w:rPr>
          <w:rFonts w:hint="eastAsia" w:ascii="方正小标宋简体" w:eastAsia="方正小标宋简体"/>
          <w:sz w:val="36"/>
          <w:szCs w:val="36"/>
        </w:rPr>
        <w:t>办公室部门2020年聘请法律顾问项目</w:t>
      </w:r>
    </w:p>
    <w:p w14:paraId="680BDB38">
      <w:pPr>
        <w:numPr>
          <w:ilvl w:val="0"/>
          <w:numId w:val="1"/>
        </w:numPr>
        <w:adjustRightInd/>
        <w:snapToGrid/>
        <w:spacing w:after="0"/>
        <w:ind w:firstLine="600" w:firstLineChars="200"/>
        <w:rPr>
          <w:rFonts w:hint="eastAsia" w:ascii="黑体" w:hAnsi="黑体" w:eastAsia="黑体"/>
          <w:sz w:val="30"/>
          <w:szCs w:val="30"/>
        </w:rPr>
      </w:pPr>
      <w:r>
        <w:rPr>
          <w:rFonts w:hint="eastAsia" w:ascii="黑体" w:hAnsi="黑体" w:eastAsia="黑体"/>
          <w:sz w:val="30"/>
          <w:szCs w:val="30"/>
        </w:rPr>
        <w:t>项目名称</w:t>
      </w:r>
    </w:p>
    <w:p w14:paraId="74EBC7B1">
      <w:pPr>
        <w:adjustRightInd/>
        <w:snapToGrid/>
        <w:spacing w:after="0"/>
        <w:ind w:left="600"/>
        <w:rPr>
          <w:rFonts w:hint="eastAsia" w:ascii="黑体" w:hAnsi="黑体" w:eastAsia="黑体" w:cs="黑体"/>
          <w:sz w:val="30"/>
          <w:szCs w:val="30"/>
        </w:rPr>
      </w:pPr>
      <w:r>
        <w:rPr>
          <w:rFonts w:hint="eastAsia" w:eastAsia="仿宋_GB2312"/>
          <w:sz w:val="30"/>
          <w:szCs w:val="30"/>
        </w:rPr>
        <w:t>聘请法律顾问</w:t>
      </w:r>
    </w:p>
    <w:p w14:paraId="1F132353">
      <w:pPr>
        <w:numPr>
          <w:ilvl w:val="0"/>
          <w:numId w:val="1"/>
        </w:numPr>
        <w:adjustRightInd/>
        <w:snapToGrid/>
        <w:spacing w:after="0"/>
        <w:ind w:firstLine="600" w:firstLineChars="200"/>
        <w:rPr>
          <w:rFonts w:hint="eastAsia" w:ascii="黑体" w:hAnsi="黑体" w:eastAsia="黑体" w:cs="黑体"/>
          <w:sz w:val="30"/>
          <w:szCs w:val="30"/>
        </w:rPr>
      </w:pPr>
      <w:r>
        <w:rPr>
          <w:rFonts w:hint="eastAsia" w:ascii="黑体" w:hAnsi="黑体" w:eastAsia="黑体" w:cs="黑体"/>
          <w:sz w:val="30"/>
          <w:szCs w:val="30"/>
        </w:rPr>
        <w:t>立项依据</w:t>
      </w:r>
    </w:p>
    <w:p w14:paraId="6A2AA2AE">
      <w:pPr>
        <w:ind w:firstLine="600" w:firstLineChars="200"/>
        <w:rPr>
          <w:rFonts w:hint="eastAsia" w:eastAsia="仿宋_GB2312"/>
          <w:sz w:val="30"/>
          <w:szCs w:val="30"/>
        </w:rPr>
      </w:pPr>
      <w:r>
        <w:rPr>
          <w:rFonts w:hint="eastAsia" w:eastAsia="仿宋_GB2312"/>
          <w:sz w:val="30"/>
          <w:szCs w:val="30"/>
        </w:rPr>
        <w:t>其他证明文件</w:t>
      </w:r>
    </w:p>
    <w:p w14:paraId="20FA1925">
      <w:pPr>
        <w:numPr>
          <w:ilvl w:val="0"/>
          <w:numId w:val="1"/>
        </w:numPr>
        <w:adjustRightInd/>
        <w:snapToGrid/>
        <w:spacing w:after="0"/>
        <w:ind w:firstLine="600" w:firstLineChars="200"/>
        <w:rPr>
          <w:rFonts w:hint="eastAsia" w:ascii="黑体" w:hAnsi="黑体" w:eastAsia="黑体" w:cs="黑体"/>
          <w:sz w:val="30"/>
          <w:szCs w:val="30"/>
        </w:rPr>
      </w:pPr>
      <w:r>
        <w:rPr>
          <w:rFonts w:hint="eastAsia" w:ascii="黑体" w:hAnsi="黑体" w:eastAsia="黑体" w:cs="黑体"/>
          <w:sz w:val="30"/>
          <w:szCs w:val="30"/>
        </w:rPr>
        <w:t>项目实施单位</w:t>
      </w:r>
    </w:p>
    <w:p w14:paraId="05F9BC7D">
      <w:pPr>
        <w:ind w:firstLine="600" w:firstLineChars="200"/>
        <w:rPr>
          <w:rFonts w:hint="eastAsia" w:eastAsia="仿宋_GB2312"/>
          <w:sz w:val="30"/>
          <w:szCs w:val="30"/>
        </w:rPr>
      </w:pPr>
      <w:r>
        <w:rPr>
          <w:rFonts w:hint="eastAsia" w:eastAsia="仿宋_GB2312"/>
          <w:sz w:val="30"/>
          <w:szCs w:val="30"/>
        </w:rPr>
        <w:t>单位名称：昆明市呈贡区公共资源交易监督</w:t>
      </w:r>
      <w:bookmarkStart w:id="0" w:name="_GoBack"/>
      <w:bookmarkEnd w:id="0"/>
      <w:r>
        <w:rPr>
          <w:rFonts w:hint="eastAsia" w:eastAsia="仿宋_GB2312"/>
          <w:sz w:val="30"/>
          <w:szCs w:val="30"/>
          <w:lang w:eastAsia="zh-CN"/>
        </w:rPr>
        <w:t>管理委员会</w:t>
      </w:r>
      <w:r>
        <w:rPr>
          <w:rFonts w:hint="eastAsia" w:eastAsia="仿宋_GB2312"/>
          <w:sz w:val="30"/>
          <w:szCs w:val="30"/>
        </w:rPr>
        <w:t>办公室</w:t>
      </w:r>
    </w:p>
    <w:p w14:paraId="180C2EFA">
      <w:pPr>
        <w:ind w:firstLine="600" w:firstLineChars="200"/>
        <w:rPr>
          <w:rFonts w:hint="eastAsia" w:eastAsia="仿宋_GB2312"/>
          <w:sz w:val="30"/>
          <w:szCs w:val="30"/>
        </w:rPr>
      </w:pPr>
      <w:r>
        <w:rPr>
          <w:rFonts w:hint="eastAsia" w:eastAsia="仿宋_GB2312"/>
          <w:sz w:val="30"/>
          <w:szCs w:val="30"/>
        </w:rPr>
        <w:t>组织机构代码：12530121579845327Q</w:t>
      </w:r>
    </w:p>
    <w:p w14:paraId="2AF80FEA">
      <w:pPr>
        <w:ind w:firstLine="600" w:firstLineChars="200"/>
        <w:rPr>
          <w:rFonts w:hint="eastAsia" w:eastAsia="仿宋_GB2312"/>
          <w:sz w:val="30"/>
          <w:szCs w:val="30"/>
        </w:rPr>
      </w:pPr>
      <w:r>
        <w:rPr>
          <w:rFonts w:hint="eastAsia" w:eastAsia="仿宋_GB2312"/>
          <w:sz w:val="30"/>
          <w:szCs w:val="30"/>
        </w:rPr>
        <w:t>地址：昆明市呈贡区呈祥街515号惠景园D7幢3楼</w:t>
      </w:r>
    </w:p>
    <w:p w14:paraId="50682B30">
      <w:pPr>
        <w:ind w:firstLine="600" w:firstLineChars="200"/>
        <w:rPr>
          <w:rFonts w:hint="eastAsia" w:eastAsia="仿宋_GB2312"/>
          <w:sz w:val="30"/>
          <w:szCs w:val="30"/>
        </w:rPr>
      </w:pPr>
      <w:r>
        <w:rPr>
          <w:rFonts w:hint="eastAsia" w:eastAsia="仿宋_GB2312"/>
          <w:sz w:val="30"/>
          <w:szCs w:val="30"/>
        </w:rPr>
        <w:t>联系电话：67483553</w:t>
      </w:r>
    </w:p>
    <w:p w14:paraId="1BECA5A1">
      <w:pPr>
        <w:ind w:firstLine="600" w:firstLineChars="200"/>
        <w:rPr>
          <w:rFonts w:hint="eastAsia" w:eastAsia="仿宋_GB2312"/>
          <w:sz w:val="30"/>
          <w:szCs w:val="30"/>
        </w:rPr>
      </w:pPr>
      <w:r>
        <w:rPr>
          <w:rFonts w:hint="eastAsia" w:eastAsia="仿宋_GB2312"/>
          <w:sz w:val="30"/>
          <w:szCs w:val="30"/>
        </w:rPr>
        <w:t>法人代表：李济留</w:t>
      </w:r>
    </w:p>
    <w:p w14:paraId="2EE44B55">
      <w:pPr>
        <w:ind w:firstLine="600" w:firstLineChars="200"/>
        <w:rPr>
          <w:rFonts w:hint="eastAsia" w:eastAsia="仿宋_GB2312"/>
          <w:sz w:val="30"/>
          <w:szCs w:val="30"/>
        </w:rPr>
      </w:pPr>
      <w:r>
        <w:rPr>
          <w:rFonts w:hint="eastAsia" w:eastAsia="仿宋_GB2312"/>
          <w:sz w:val="30"/>
          <w:szCs w:val="30"/>
        </w:rPr>
        <w:t>经费来源：财政全额拨款</w:t>
      </w:r>
    </w:p>
    <w:p w14:paraId="1030A3AE">
      <w:pPr>
        <w:ind w:firstLine="600" w:firstLineChars="200"/>
        <w:rPr>
          <w:rFonts w:hint="eastAsia" w:eastAsia="仿宋_GB2312"/>
          <w:sz w:val="30"/>
          <w:szCs w:val="30"/>
        </w:rPr>
      </w:pPr>
      <w:r>
        <w:rPr>
          <w:rFonts w:hint="eastAsia" w:eastAsia="仿宋_GB2312"/>
          <w:sz w:val="30"/>
          <w:szCs w:val="30"/>
        </w:rPr>
        <w:t>代为概况：</w:t>
      </w:r>
    </w:p>
    <w:p w14:paraId="20A9B110">
      <w:pPr>
        <w:ind w:firstLine="640" w:firstLineChars="200"/>
        <w:rPr>
          <w:rFonts w:hint="eastAsia" w:eastAsia="仿宋_GB2312" w:cs="仿宋_GB2312"/>
          <w:sz w:val="32"/>
          <w:szCs w:val="32"/>
        </w:rPr>
      </w:pPr>
      <w:r>
        <w:rPr>
          <w:rFonts w:hint="eastAsia" w:eastAsia="仿宋_GB2312" w:cs="仿宋_GB2312"/>
          <w:sz w:val="32"/>
          <w:szCs w:val="32"/>
        </w:rPr>
        <w:t>负责对辖区范围内各行业公共资源交易文件进行监督备案并直接进入市交易中心交易，负责区属公共资源交易活动投诉处理；负责中介超市的监督管理；负责监督各行业主管部门履行职责。</w:t>
      </w:r>
    </w:p>
    <w:p w14:paraId="343F694B">
      <w:pPr>
        <w:ind w:firstLine="300" w:firstLineChars="100"/>
        <w:rPr>
          <w:rFonts w:hint="eastAsia" w:ascii="黑体" w:hAnsi="黑体" w:eastAsia="黑体" w:cs="黑体"/>
          <w:sz w:val="30"/>
          <w:szCs w:val="30"/>
        </w:rPr>
      </w:pPr>
      <w:r>
        <w:rPr>
          <w:rFonts w:hint="eastAsia" w:ascii="黑体" w:hAnsi="黑体" w:eastAsia="黑体" w:cs="黑体"/>
          <w:sz w:val="30"/>
          <w:szCs w:val="30"/>
        </w:rPr>
        <w:t>四、项目基本概况</w:t>
      </w:r>
    </w:p>
    <w:p w14:paraId="04AE64E0">
      <w:pPr>
        <w:adjustRightInd/>
        <w:snapToGrid/>
        <w:spacing w:after="0"/>
        <w:ind w:left="640"/>
        <w:rPr>
          <w:rFonts w:hint="eastAsia" w:ascii="黑体" w:hAnsi="黑体" w:eastAsia="黑体" w:cs="黑体"/>
          <w:sz w:val="30"/>
          <w:szCs w:val="30"/>
        </w:rPr>
      </w:pPr>
      <w:r>
        <w:rPr>
          <w:rFonts w:hint="eastAsia" w:eastAsia="仿宋_GB2312" w:cs="仿宋_GB2312"/>
          <w:sz w:val="32"/>
          <w:szCs w:val="32"/>
        </w:rPr>
        <w:t>负责监督辖区内公共资源经营活动、各行业主管部门职责履行及区属公共资源交易活动的投诉处理。</w:t>
      </w:r>
    </w:p>
    <w:p w14:paraId="7ACDF4EA">
      <w:pPr>
        <w:numPr>
          <w:ilvl w:val="0"/>
          <w:numId w:val="1"/>
        </w:numPr>
        <w:adjustRightInd/>
        <w:snapToGrid/>
        <w:spacing w:after="0"/>
        <w:ind w:firstLine="600" w:firstLineChars="200"/>
        <w:rPr>
          <w:rFonts w:hint="eastAsia" w:ascii="黑体" w:hAnsi="黑体" w:eastAsia="黑体" w:cs="黑体"/>
          <w:sz w:val="30"/>
          <w:szCs w:val="30"/>
        </w:rPr>
      </w:pPr>
      <w:r>
        <w:rPr>
          <w:rFonts w:hint="eastAsia" w:ascii="黑体" w:hAnsi="黑体" w:eastAsia="黑体" w:cs="黑体"/>
          <w:sz w:val="30"/>
          <w:szCs w:val="30"/>
        </w:rPr>
        <w:t>项目实施内容</w:t>
      </w:r>
    </w:p>
    <w:p w14:paraId="6548EE85">
      <w:pPr>
        <w:adjustRightInd/>
        <w:snapToGrid/>
        <w:spacing w:after="0"/>
        <w:ind w:left="600"/>
        <w:rPr>
          <w:rFonts w:hint="eastAsia" w:eastAsia="仿宋_GB2312"/>
          <w:sz w:val="30"/>
          <w:szCs w:val="30"/>
        </w:rPr>
      </w:pPr>
      <w:r>
        <w:rPr>
          <w:rFonts w:hint="eastAsia" w:eastAsia="仿宋_GB2312"/>
          <w:sz w:val="30"/>
          <w:szCs w:val="30"/>
        </w:rPr>
        <w:t>负责监督辖区内公共资源经营活动、各行业主管部门职责履行及区属公共资源交易活动的投诉处理。</w:t>
      </w:r>
    </w:p>
    <w:p w14:paraId="672582CE">
      <w:pPr>
        <w:adjustRightInd/>
        <w:snapToGrid/>
        <w:spacing w:after="0"/>
        <w:ind w:left="600"/>
        <w:rPr>
          <w:rFonts w:hint="eastAsia" w:ascii="黑体" w:hAnsi="黑体" w:eastAsia="黑体" w:cs="黑体"/>
          <w:sz w:val="30"/>
          <w:szCs w:val="30"/>
        </w:rPr>
      </w:pPr>
      <w:r>
        <w:rPr>
          <w:rFonts w:hint="eastAsia" w:ascii="黑体" w:hAnsi="黑体" w:eastAsia="黑体" w:cs="黑体"/>
          <w:sz w:val="30"/>
          <w:szCs w:val="30"/>
        </w:rPr>
        <w:t>五、资金安排情况</w:t>
      </w:r>
    </w:p>
    <w:p w14:paraId="362E3ED8">
      <w:pPr>
        <w:ind w:firstLine="600" w:firstLineChars="200"/>
        <w:rPr>
          <w:rFonts w:hint="eastAsia" w:ascii="黑体" w:hAnsi="黑体" w:eastAsia="黑体" w:cs="黑体"/>
          <w:sz w:val="30"/>
          <w:szCs w:val="30"/>
        </w:rPr>
      </w:pPr>
      <w:r>
        <w:rPr>
          <w:rFonts w:hint="eastAsia" w:eastAsia="仿宋_GB2312"/>
          <w:sz w:val="30"/>
          <w:szCs w:val="30"/>
        </w:rPr>
        <w:t>区财政安排资金4万元</w:t>
      </w:r>
    </w:p>
    <w:p w14:paraId="5FE6D273">
      <w:pPr>
        <w:adjustRightInd/>
        <w:snapToGrid/>
        <w:spacing w:after="0"/>
        <w:ind w:firstLine="600" w:firstLineChars="200"/>
        <w:rPr>
          <w:rFonts w:hint="eastAsia" w:ascii="黑体" w:hAnsi="黑体" w:eastAsia="黑体" w:cs="黑体"/>
          <w:sz w:val="30"/>
          <w:szCs w:val="30"/>
        </w:rPr>
      </w:pPr>
      <w:r>
        <w:rPr>
          <w:rFonts w:hint="eastAsia" w:ascii="黑体" w:hAnsi="黑体" w:eastAsia="黑体" w:cs="黑体"/>
          <w:sz w:val="30"/>
          <w:szCs w:val="30"/>
        </w:rPr>
        <w:t>六、项目实施计划</w:t>
      </w:r>
    </w:p>
    <w:p w14:paraId="5D8070AF">
      <w:pPr>
        <w:ind w:left="600"/>
        <w:rPr>
          <w:rFonts w:hint="eastAsia" w:ascii="黑体" w:hAnsi="黑体" w:eastAsia="黑体" w:cs="黑体"/>
          <w:sz w:val="30"/>
          <w:szCs w:val="30"/>
        </w:rPr>
      </w:pPr>
      <w:r>
        <w:rPr>
          <w:rFonts w:hint="eastAsia" w:eastAsia="仿宋_GB2312"/>
          <w:sz w:val="30"/>
          <w:szCs w:val="30"/>
        </w:rPr>
        <w:t>按照年初目标工作进度完成</w:t>
      </w:r>
    </w:p>
    <w:p w14:paraId="312D0A32">
      <w:pPr>
        <w:pStyle w:val="8"/>
        <w:numPr>
          <w:ilvl w:val="0"/>
          <w:numId w:val="2"/>
        </w:numPr>
        <w:adjustRightInd/>
        <w:snapToGrid/>
        <w:spacing w:after="0"/>
        <w:ind w:firstLineChars="0"/>
        <w:rPr>
          <w:rFonts w:hint="eastAsia" w:ascii="黑体" w:hAnsi="黑体" w:eastAsia="黑体" w:cs="黑体"/>
          <w:sz w:val="30"/>
          <w:szCs w:val="30"/>
        </w:rPr>
      </w:pPr>
      <w:r>
        <w:rPr>
          <w:rFonts w:hint="eastAsia" w:ascii="黑体" w:hAnsi="黑体" w:eastAsia="黑体" w:cs="黑体"/>
          <w:sz w:val="30"/>
          <w:szCs w:val="30"/>
        </w:rPr>
        <w:t>项目实施成效</w:t>
      </w:r>
    </w:p>
    <w:p w14:paraId="62C258CB">
      <w:pPr>
        <w:adjustRightInd/>
        <w:snapToGrid/>
        <w:spacing w:after="0"/>
        <w:ind w:firstLine="600" w:firstLineChars="200"/>
        <w:rPr>
          <w:rFonts w:hint="eastAsia" w:ascii="黑体" w:hAnsi="黑体" w:eastAsia="黑体" w:cs="黑体"/>
          <w:sz w:val="30"/>
          <w:szCs w:val="30"/>
        </w:rPr>
      </w:pPr>
      <w:r>
        <w:rPr>
          <w:rFonts w:hint="eastAsia" w:eastAsia="仿宋_GB2312"/>
          <w:sz w:val="30"/>
          <w:szCs w:val="30"/>
        </w:rPr>
        <w:t>负责监督辖区内公共资源经营活动、各行业主管部门职责履行及区属公共资源交易活动的投诉处理。做到有法可依违法必追。</w:t>
      </w:r>
    </w:p>
    <w:p w14:paraId="173673BC">
      <w:pPr>
        <w:pStyle w:val="8"/>
        <w:numPr>
          <w:ilvl w:val="0"/>
          <w:numId w:val="3"/>
        </w:numPr>
        <w:adjustRightInd/>
        <w:snapToGrid/>
        <w:spacing w:after="0"/>
        <w:ind w:firstLineChars="0"/>
        <w:rPr>
          <w:rFonts w:hint="eastAsia" w:ascii="黑体" w:hAnsi="黑体" w:eastAsia="黑体" w:cs="黑体"/>
          <w:sz w:val="30"/>
          <w:szCs w:val="30"/>
        </w:rPr>
      </w:pPr>
      <w:r>
        <w:rPr>
          <w:rFonts w:hint="eastAsia" w:ascii="黑体" w:hAnsi="黑体" w:eastAsia="黑体" w:cs="黑体"/>
          <w:sz w:val="30"/>
          <w:szCs w:val="30"/>
        </w:rPr>
        <w:t>项目绩效目标表</w:t>
      </w:r>
    </w:p>
    <w:tbl>
      <w:tblPr>
        <w:tblStyle w:val="4"/>
        <w:tblW w:w="0" w:type="auto"/>
        <w:tblInd w:w="93" w:type="dxa"/>
        <w:tblLayout w:type="autofit"/>
        <w:tblCellMar>
          <w:top w:w="0" w:type="dxa"/>
          <w:left w:w="108" w:type="dxa"/>
          <w:bottom w:w="0" w:type="dxa"/>
          <w:right w:w="108" w:type="dxa"/>
        </w:tblCellMar>
      </w:tblPr>
      <w:tblGrid>
        <w:gridCol w:w="533"/>
        <w:gridCol w:w="550"/>
        <w:gridCol w:w="559"/>
        <w:gridCol w:w="2260"/>
        <w:gridCol w:w="768"/>
        <w:gridCol w:w="768"/>
        <w:gridCol w:w="768"/>
        <w:gridCol w:w="1321"/>
        <w:gridCol w:w="908"/>
      </w:tblGrid>
      <w:tr w14:paraId="1A8232FD">
        <w:tblPrEx>
          <w:tblCellMar>
            <w:top w:w="0" w:type="dxa"/>
            <w:left w:w="108" w:type="dxa"/>
            <w:bottom w:w="0" w:type="dxa"/>
            <w:right w:w="108" w:type="dxa"/>
          </w:tblCellMar>
        </w:tblPrEx>
        <w:trPr>
          <w:trHeight w:val="540" w:hRule="atLeast"/>
        </w:trPr>
        <w:tc>
          <w:tcPr>
            <w:tcW w:w="0" w:type="auto"/>
            <w:gridSpan w:val="9"/>
            <w:tcBorders>
              <w:top w:val="nil"/>
              <w:left w:val="nil"/>
              <w:bottom w:val="nil"/>
              <w:right w:val="nil"/>
            </w:tcBorders>
            <w:shd w:val="clear" w:color="auto" w:fill="auto"/>
            <w:vAlign w:val="center"/>
          </w:tcPr>
          <w:p w14:paraId="20B5B154">
            <w:pPr>
              <w:adjustRightInd/>
              <w:snapToGrid/>
              <w:spacing w:after="0"/>
              <w:jc w:val="center"/>
              <w:rPr>
                <w:rFonts w:ascii="方正小标宋简体" w:hAnsi="Arial" w:eastAsia="方正小标宋简体" w:cs="Arial"/>
                <w:sz w:val="40"/>
                <w:szCs w:val="40"/>
              </w:rPr>
            </w:pPr>
            <w:r>
              <w:rPr>
                <w:rFonts w:hint="eastAsia" w:ascii="方正小标宋简体" w:hAnsi="Arial" w:eastAsia="方正小标宋简体" w:cs="Arial"/>
                <w:sz w:val="40"/>
                <w:szCs w:val="40"/>
              </w:rPr>
              <w:t>11.呈贡区公共资源交易中心</w:t>
            </w:r>
          </w:p>
        </w:tc>
      </w:tr>
      <w:tr w14:paraId="0FBD14C1">
        <w:tblPrEx>
          <w:tblCellMar>
            <w:top w:w="0" w:type="dxa"/>
            <w:left w:w="108" w:type="dxa"/>
            <w:bottom w:w="0" w:type="dxa"/>
            <w:right w:w="108" w:type="dxa"/>
          </w:tblCellMar>
        </w:tblPrEx>
        <w:trPr>
          <w:trHeight w:val="510" w:hRule="atLeast"/>
        </w:trPr>
        <w:tc>
          <w:tcPr>
            <w:tcW w:w="0" w:type="auto"/>
            <w:gridSpan w:val="9"/>
            <w:tcBorders>
              <w:top w:val="nil"/>
              <w:left w:val="nil"/>
              <w:bottom w:val="nil"/>
              <w:right w:val="nil"/>
            </w:tcBorders>
            <w:shd w:val="clear" w:color="auto" w:fill="auto"/>
            <w:vAlign w:val="center"/>
          </w:tcPr>
          <w:p w14:paraId="08D8F072">
            <w:pPr>
              <w:adjustRightInd/>
              <w:snapToGrid/>
              <w:spacing w:after="0"/>
              <w:jc w:val="center"/>
              <w:rPr>
                <w:rFonts w:ascii="方正小标宋简体" w:hAnsi="Arial" w:eastAsia="方正小标宋简体" w:cs="Arial"/>
                <w:sz w:val="40"/>
                <w:szCs w:val="40"/>
              </w:rPr>
            </w:pPr>
            <w:r>
              <w:rPr>
                <w:rFonts w:hint="eastAsia" w:ascii="方正小标宋简体" w:hAnsi="Arial" w:eastAsia="方正小标宋简体" w:cs="Arial"/>
                <w:sz w:val="40"/>
                <w:szCs w:val="40"/>
              </w:rPr>
              <w:t>项目支出绩效目标申报表</w:t>
            </w:r>
          </w:p>
        </w:tc>
      </w:tr>
      <w:tr w14:paraId="3C63198F">
        <w:tblPrEx>
          <w:tblCellMar>
            <w:top w:w="0" w:type="dxa"/>
            <w:left w:w="108" w:type="dxa"/>
            <w:bottom w:w="0" w:type="dxa"/>
            <w:right w:w="108" w:type="dxa"/>
          </w:tblCellMar>
        </w:tblPrEx>
        <w:trPr>
          <w:trHeight w:val="30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1370">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（2020年度）</w:t>
            </w:r>
          </w:p>
        </w:tc>
      </w:tr>
      <w:tr w14:paraId="7893F4DC">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57FA">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项目名称</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4AD7AE46">
            <w:pPr>
              <w:adjustRightInd/>
              <w:snapToGrid/>
              <w:spacing w:after="0"/>
              <w:rPr>
                <w:rFonts w:ascii="宋体" w:hAnsi="宋体" w:eastAsia="宋体" w:cs="Arial"/>
                <w:sz w:val="24"/>
                <w:szCs w:val="24"/>
              </w:rPr>
            </w:pPr>
            <w:r>
              <w:rPr>
                <w:rFonts w:hint="eastAsia" w:ascii="宋体" w:hAnsi="宋体" w:eastAsia="宋体" w:cs="Arial"/>
                <w:sz w:val="24"/>
                <w:szCs w:val="24"/>
              </w:rPr>
              <w:t>聘请法律顾问</w:t>
            </w:r>
          </w:p>
        </w:tc>
      </w:tr>
      <w:tr w14:paraId="7F69A4B4">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E6B6">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主管部门及代码</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10A38FB">
            <w:pPr>
              <w:adjustRightInd/>
              <w:snapToGrid/>
              <w:spacing w:after="0"/>
              <w:rPr>
                <w:rFonts w:ascii="宋体" w:hAnsi="宋体" w:eastAsia="宋体" w:cs="Arial"/>
                <w:color w:val="000000"/>
                <w:sz w:val="24"/>
                <w:szCs w:val="24"/>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6F2A853D">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实施单位</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04E905A">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昆明市呈贡区公共资源交易中心</w:t>
            </w:r>
          </w:p>
        </w:tc>
      </w:tr>
      <w:tr w14:paraId="6B2A7304">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328C">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项目期</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3B59D4F9">
            <w:pPr>
              <w:adjustRightInd/>
              <w:snapToGrid/>
              <w:spacing w:after="0"/>
              <w:rPr>
                <w:rFonts w:ascii="Arial" w:hAnsi="Arial" w:eastAsia="宋体" w:cs="Arial"/>
                <w:sz w:val="24"/>
                <w:szCs w:val="24"/>
              </w:rPr>
            </w:pPr>
            <w:r>
              <w:rPr>
                <w:rFonts w:ascii="Arial" w:hAnsi="Arial" w:eastAsia="宋体" w:cs="Arial"/>
                <w:sz w:val="24"/>
                <w:szCs w:val="24"/>
              </w:rPr>
              <w:t>　</w:t>
            </w:r>
          </w:p>
        </w:tc>
      </w:tr>
      <w:tr w14:paraId="16CB3DD2">
        <w:tblPrEx>
          <w:tblCellMar>
            <w:top w:w="0" w:type="dxa"/>
            <w:left w:w="108" w:type="dxa"/>
            <w:bottom w:w="0" w:type="dxa"/>
            <w:right w:w="108" w:type="dxa"/>
          </w:tblCellMar>
        </w:tblPrEx>
        <w:trPr>
          <w:trHeight w:val="6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F7F3">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项目概况</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11A94E2A">
            <w:pPr>
              <w:adjustRightInd/>
              <w:snapToGrid/>
              <w:spacing w:after="0"/>
              <w:rPr>
                <w:rFonts w:ascii="宋体" w:hAnsi="宋体" w:eastAsia="宋体" w:cs="Arial"/>
                <w:sz w:val="24"/>
                <w:szCs w:val="24"/>
              </w:rPr>
            </w:pPr>
            <w:r>
              <w:rPr>
                <w:rFonts w:hint="eastAsia" w:ascii="宋体" w:hAnsi="宋体" w:eastAsia="宋体" w:cs="Arial"/>
                <w:sz w:val="24"/>
                <w:szCs w:val="24"/>
              </w:rPr>
              <w:t>负责监督辖区内公共资源经营活动、各行业主管部门职责履行及区属公共资源交易活动的投诉处理。</w:t>
            </w:r>
          </w:p>
        </w:tc>
      </w:tr>
      <w:tr w14:paraId="07AC3B38">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85EE">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项目立项依据</w:t>
            </w: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0DAD361D">
            <w:pPr>
              <w:adjustRightInd/>
              <w:snapToGrid/>
              <w:spacing w:after="0"/>
              <w:rPr>
                <w:rFonts w:ascii="宋体" w:hAnsi="宋体" w:eastAsia="宋体" w:cs="Arial"/>
                <w:sz w:val="24"/>
                <w:szCs w:val="24"/>
              </w:rPr>
            </w:pPr>
            <w:r>
              <w:rPr>
                <w:rFonts w:hint="eastAsia" w:ascii="宋体" w:hAnsi="宋体" w:eastAsia="宋体" w:cs="Arial"/>
                <w:sz w:val="24"/>
                <w:szCs w:val="24"/>
              </w:rPr>
              <w:t>其他证明文件</w:t>
            </w:r>
          </w:p>
        </w:tc>
      </w:tr>
      <w:tr w14:paraId="57D9AB2C">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EDF1">
            <w:pPr>
              <w:adjustRightInd/>
              <w:snapToGrid/>
              <w:spacing w:after="0"/>
              <w:jc w:val="center"/>
              <w:rPr>
                <w:rFonts w:ascii="Arial" w:hAnsi="Arial" w:eastAsia="宋体" w:cs="Arial"/>
                <w:sz w:val="24"/>
                <w:szCs w:val="24"/>
              </w:rPr>
            </w:pPr>
            <w:r>
              <w:rPr>
                <w:rFonts w:ascii="Arial" w:hAnsi="Arial" w:eastAsia="宋体" w:cs="Arial"/>
                <w:sz w:val="24"/>
                <w:szCs w:val="24"/>
              </w:rPr>
              <w:t>　</w:t>
            </w:r>
          </w:p>
        </w:tc>
        <w:tc>
          <w:tcPr>
            <w:tcW w:w="0" w:type="auto"/>
            <w:tcBorders>
              <w:top w:val="nil"/>
              <w:left w:val="nil"/>
              <w:bottom w:val="single" w:color="000000" w:sz="4" w:space="0"/>
              <w:right w:val="single" w:color="000000" w:sz="4" w:space="0"/>
            </w:tcBorders>
            <w:shd w:val="clear" w:color="auto" w:fill="auto"/>
            <w:noWrap/>
            <w:vAlign w:val="bottom"/>
          </w:tcPr>
          <w:p w14:paraId="6FE353A8">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总投入</w:t>
            </w:r>
          </w:p>
        </w:tc>
        <w:tc>
          <w:tcPr>
            <w:tcW w:w="0" w:type="auto"/>
            <w:tcBorders>
              <w:top w:val="nil"/>
              <w:left w:val="nil"/>
              <w:bottom w:val="single" w:color="000000" w:sz="4" w:space="0"/>
              <w:right w:val="single" w:color="000000" w:sz="4" w:space="0"/>
            </w:tcBorders>
            <w:shd w:val="clear" w:color="auto" w:fill="auto"/>
            <w:noWrap/>
            <w:vAlign w:val="bottom"/>
          </w:tcPr>
          <w:p w14:paraId="75BAF5AC">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中央财政</w:t>
            </w:r>
          </w:p>
        </w:tc>
        <w:tc>
          <w:tcPr>
            <w:tcW w:w="0" w:type="auto"/>
            <w:tcBorders>
              <w:top w:val="nil"/>
              <w:left w:val="nil"/>
              <w:bottom w:val="single" w:color="000000" w:sz="4" w:space="0"/>
              <w:right w:val="single" w:color="000000" w:sz="4" w:space="0"/>
            </w:tcBorders>
            <w:shd w:val="clear" w:color="auto" w:fill="auto"/>
            <w:noWrap/>
            <w:vAlign w:val="bottom"/>
          </w:tcPr>
          <w:p w14:paraId="75AD4F51">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省级财政</w:t>
            </w:r>
          </w:p>
        </w:tc>
        <w:tc>
          <w:tcPr>
            <w:tcW w:w="0" w:type="auto"/>
            <w:tcBorders>
              <w:top w:val="nil"/>
              <w:left w:val="nil"/>
              <w:bottom w:val="single" w:color="000000" w:sz="4" w:space="0"/>
              <w:right w:val="single" w:color="000000" w:sz="4" w:space="0"/>
            </w:tcBorders>
            <w:shd w:val="clear" w:color="auto" w:fill="auto"/>
            <w:noWrap/>
            <w:vAlign w:val="bottom"/>
          </w:tcPr>
          <w:p w14:paraId="0348BAE6">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市级财政</w:t>
            </w:r>
          </w:p>
        </w:tc>
        <w:tc>
          <w:tcPr>
            <w:tcW w:w="0" w:type="auto"/>
            <w:tcBorders>
              <w:top w:val="nil"/>
              <w:left w:val="nil"/>
              <w:bottom w:val="single" w:color="000000" w:sz="4" w:space="0"/>
              <w:right w:val="single" w:color="000000" w:sz="4" w:space="0"/>
            </w:tcBorders>
            <w:shd w:val="clear" w:color="auto" w:fill="auto"/>
            <w:noWrap/>
            <w:vAlign w:val="bottom"/>
          </w:tcPr>
          <w:p w14:paraId="406347B9">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县（市）区级财政</w:t>
            </w:r>
          </w:p>
        </w:tc>
        <w:tc>
          <w:tcPr>
            <w:tcW w:w="0" w:type="auto"/>
            <w:tcBorders>
              <w:top w:val="nil"/>
              <w:left w:val="nil"/>
              <w:bottom w:val="single" w:color="000000" w:sz="4" w:space="0"/>
              <w:right w:val="single" w:color="000000" w:sz="4" w:space="0"/>
            </w:tcBorders>
            <w:shd w:val="clear" w:color="auto" w:fill="auto"/>
            <w:noWrap/>
            <w:vAlign w:val="bottom"/>
          </w:tcPr>
          <w:p w14:paraId="63071C66">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其他</w:t>
            </w:r>
          </w:p>
        </w:tc>
      </w:tr>
      <w:tr w14:paraId="27B2A5DE">
        <w:tblPrEx>
          <w:tblCellMar>
            <w:top w:w="0" w:type="dxa"/>
            <w:left w:w="108" w:type="dxa"/>
            <w:bottom w:w="0" w:type="dxa"/>
            <w:right w:w="108" w:type="dxa"/>
          </w:tblCellMar>
        </w:tblPrEx>
        <w:trPr>
          <w:trHeight w:val="28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FDDC7">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中期资金来源（元）</w:t>
            </w:r>
          </w:p>
        </w:tc>
        <w:tc>
          <w:tcPr>
            <w:tcW w:w="0" w:type="auto"/>
            <w:tcBorders>
              <w:top w:val="nil"/>
              <w:left w:val="nil"/>
              <w:bottom w:val="single" w:color="000000" w:sz="4" w:space="0"/>
              <w:right w:val="single" w:color="000000" w:sz="4" w:space="0"/>
            </w:tcBorders>
            <w:shd w:val="clear" w:color="auto" w:fill="auto"/>
            <w:vAlign w:val="center"/>
          </w:tcPr>
          <w:p w14:paraId="2C256A37">
            <w:pPr>
              <w:adjustRightInd/>
              <w:snapToGrid/>
              <w:spacing w:after="0"/>
              <w:jc w:val="right"/>
              <w:rPr>
                <w:rFonts w:ascii="Arial" w:hAnsi="Arial" w:eastAsia="宋体" w:cs="Arial"/>
                <w:sz w:val="24"/>
                <w:szCs w:val="24"/>
              </w:rPr>
            </w:pPr>
            <w:r>
              <w:rPr>
                <w:rFonts w:ascii="Arial" w:hAnsi="Arial" w:eastAsia="宋体" w:cs="Arial"/>
                <w:sz w:val="24"/>
                <w:szCs w:val="24"/>
              </w:rPr>
              <w:t xml:space="preserve">120,000.00 </w:t>
            </w:r>
          </w:p>
        </w:tc>
        <w:tc>
          <w:tcPr>
            <w:tcW w:w="0" w:type="auto"/>
            <w:tcBorders>
              <w:top w:val="nil"/>
              <w:left w:val="nil"/>
              <w:bottom w:val="single" w:color="000000" w:sz="4" w:space="0"/>
              <w:right w:val="single" w:color="000000" w:sz="4" w:space="0"/>
            </w:tcBorders>
            <w:shd w:val="clear" w:color="auto" w:fill="auto"/>
            <w:vAlign w:val="center"/>
          </w:tcPr>
          <w:p w14:paraId="4919CBAE">
            <w:pPr>
              <w:adjustRightInd/>
              <w:snapToGrid/>
              <w:spacing w:after="0"/>
              <w:jc w:val="right"/>
              <w:rPr>
                <w:rFonts w:ascii="Arial" w:hAnsi="Arial" w:eastAsia="宋体" w:cs="Arial"/>
                <w:sz w:val="24"/>
                <w:szCs w:val="24"/>
              </w:rPr>
            </w:pPr>
            <w:r>
              <w:rPr>
                <w:rFonts w:ascii="Arial" w:hAnsi="Arial" w:eastAsia="宋体" w:cs="Arial"/>
                <w:sz w:val="24"/>
                <w:szCs w:val="24"/>
              </w:rPr>
              <w:t>　</w:t>
            </w:r>
          </w:p>
        </w:tc>
        <w:tc>
          <w:tcPr>
            <w:tcW w:w="0" w:type="auto"/>
            <w:tcBorders>
              <w:top w:val="nil"/>
              <w:left w:val="nil"/>
              <w:bottom w:val="single" w:color="000000" w:sz="4" w:space="0"/>
              <w:right w:val="single" w:color="000000" w:sz="4" w:space="0"/>
            </w:tcBorders>
            <w:shd w:val="clear" w:color="auto" w:fill="auto"/>
            <w:vAlign w:val="center"/>
          </w:tcPr>
          <w:p w14:paraId="175836B6">
            <w:pPr>
              <w:adjustRightInd/>
              <w:snapToGrid/>
              <w:spacing w:after="0"/>
              <w:jc w:val="right"/>
              <w:rPr>
                <w:rFonts w:ascii="Arial" w:hAnsi="Arial" w:eastAsia="宋体" w:cs="Arial"/>
                <w:sz w:val="24"/>
                <w:szCs w:val="24"/>
              </w:rPr>
            </w:pPr>
            <w:r>
              <w:rPr>
                <w:rFonts w:ascii="Arial" w:hAnsi="Arial" w:eastAsia="宋体" w:cs="Arial"/>
                <w:sz w:val="24"/>
                <w:szCs w:val="24"/>
              </w:rPr>
              <w:t>　</w:t>
            </w:r>
          </w:p>
        </w:tc>
        <w:tc>
          <w:tcPr>
            <w:tcW w:w="0" w:type="auto"/>
            <w:tcBorders>
              <w:top w:val="nil"/>
              <w:left w:val="nil"/>
              <w:bottom w:val="single" w:color="000000" w:sz="4" w:space="0"/>
              <w:right w:val="single" w:color="000000" w:sz="4" w:space="0"/>
            </w:tcBorders>
            <w:shd w:val="clear" w:color="auto" w:fill="auto"/>
            <w:vAlign w:val="center"/>
          </w:tcPr>
          <w:p w14:paraId="00231305">
            <w:pPr>
              <w:adjustRightInd/>
              <w:snapToGrid/>
              <w:spacing w:after="0"/>
              <w:jc w:val="right"/>
              <w:rPr>
                <w:rFonts w:ascii="Arial" w:hAnsi="Arial" w:eastAsia="宋体" w:cs="Arial"/>
                <w:sz w:val="24"/>
                <w:szCs w:val="24"/>
              </w:rPr>
            </w:pPr>
            <w:r>
              <w:rPr>
                <w:rFonts w:ascii="Arial" w:hAnsi="Arial" w:eastAsia="宋体" w:cs="Arial"/>
                <w:sz w:val="24"/>
                <w:szCs w:val="24"/>
              </w:rPr>
              <w:t>　</w:t>
            </w:r>
          </w:p>
        </w:tc>
        <w:tc>
          <w:tcPr>
            <w:tcW w:w="0" w:type="auto"/>
            <w:tcBorders>
              <w:top w:val="nil"/>
              <w:left w:val="nil"/>
              <w:bottom w:val="single" w:color="000000" w:sz="4" w:space="0"/>
              <w:right w:val="single" w:color="000000" w:sz="4" w:space="0"/>
            </w:tcBorders>
            <w:shd w:val="clear" w:color="auto" w:fill="auto"/>
            <w:vAlign w:val="center"/>
          </w:tcPr>
          <w:p w14:paraId="3C9454AF">
            <w:pPr>
              <w:adjustRightInd/>
              <w:snapToGrid/>
              <w:spacing w:after="0"/>
              <w:jc w:val="right"/>
              <w:rPr>
                <w:rFonts w:ascii="Arial" w:hAnsi="Arial" w:eastAsia="宋体" w:cs="Arial"/>
                <w:sz w:val="24"/>
                <w:szCs w:val="24"/>
              </w:rPr>
            </w:pPr>
            <w:r>
              <w:rPr>
                <w:rFonts w:ascii="Arial" w:hAnsi="Arial" w:eastAsia="宋体" w:cs="Arial"/>
                <w:sz w:val="24"/>
                <w:szCs w:val="24"/>
              </w:rPr>
              <w:t xml:space="preserve">120,000.00 </w:t>
            </w:r>
          </w:p>
        </w:tc>
        <w:tc>
          <w:tcPr>
            <w:tcW w:w="0" w:type="auto"/>
            <w:tcBorders>
              <w:top w:val="nil"/>
              <w:left w:val="nil"/>
              <w:bottom w:val="single" w:color="000000" w:sz="4" w:space="0"/>
              <w:right w:val="single" w:color="000000" w:sz="4" w:space="0"/>
            </w:tcBorders>
            <w:shd w:val="clear" w:color="auto" w:fill="auto"/>
            <w:vAlign w:val="center"/>
          </w:tcPr>
          <w:p w14:paraId="1DD0F2F3">
            <w:pPr>
              <w:adjustRightInd/>
              <w:snapToGrid/>
              <w:spacing w:after="0"/>
              <w:jc w:val="right"/>
              <w:rPr>
                <w:rFonts w:ascii="Arial" w:hAnsi="Arial" w:eastAsia="宋体" w:cs="Arial"/>
                <w:sz w:val="24"/>
                <w:szCs w:val="24"/>
              </w:rPr>
            </w:pPr>
            <w:r>
              <w:rPr>
                <w:rFonts w:ascii="Arial" w:hAnsi="Arial" w:eastAsia="宋体" w:cs="Arial"/>
                <w:sz w:val="24"/>
                <w:szCs w:val="24"/>
              </w:rPr>
              <w:t>　</w:t>
            </w:r>
          </w:p>
        </w:tc>
      </w:tr>
      <w:tr w14:paraId="2D64E65C">
        <w:tblPrEx>
          <w:tblCellMar>
            <w:top w:w="0" w:type="dxa"/>
            <w:left w:w="108" w:type="dxa"/>
            <w:bottom w:w="0" w:type="dxa"/>
            <w:right w:w="108" w:type="dxa"/>
          </w:tblCellMar>
        </w:tblPrEx>
        <w:trPr>
          <w:trHeight w:val="3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7E39">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年度资金来源（元）</w:t>
            </w:r>
          </w:p>
        </w:tc>
        <w:tc>
          <w:tcPr>
            <w:tcW w:w="0" w:type="auto"/>
            <w:tcBorders>
              <w:top w:val="nil"/>
              <w:left w:val="nil"/>
              <w:bottom w:val="single" w:color="000000" w:sz="4" w:space="0"/>
              <w:right w:val="single" w:color="000000" w:sz="4" w:space="0"/>
            </w:tcBorders>
            <w:shd w:val="clear" w:color="auto" w:fill="auto"/>
            <w:vAlign w:val="center"/>
          </w:tcPr>
          <w:p w14:paraId="6ECBC0F5">
            <w:pPr>
              <w:adjustRightInd/>
              <w:snapToGrid/>
              <w:spacing w:after="0"/>
              <w:jc w:val="right"/>
              <w:rPr>
                <w:rFonts w:ascii="Arial" w:hAnsi="Arial" w:eastAsia="宋体" w:cs="Arial"/>
                <w:sz w:val="24"/>
                <w:szCs w:val="24"/>
              </w:rPr>
            </w:pPr>
            <w:r>
              <w:rPr>
                <w:rFonts w:ascii="Arial" w:hAnsi="Arial" w:eastAsia="宋体" w:cs="Arial"/>
                <w:sz w:val="24"/>
                <w:szCs w:val="24"/>
              </w:rPr>
              <w:t xml:space="preserve">40,000.00 </w:t>
            </w:r>
          </w:p>
        </w:tc>
        <w:tc>
          <w:tcPr>
            <w:tcW w:w="0" w:type="auto"/>
            <w:tcBorders>
              <w:top w:val="nil"/>
              <w:left w:val="nil"/>
              <w:bottom w:val="single" w:color="000000" w:sz="4" w:space="0"/>
              <w:right w:val="single" w:color="000000" w:sz="4" w:space="0"/>
            </w:tcBorders>
            <w:shd w:val="clear" w:color="auto" w:fill="auto"/>
            <w:vAlign w:val="center"/>
          </w:tcPr>
          <w:p w14:paraId="1F8D87FB">
            <w:pPr>
              <w:adjustRightInd/>
              <w:snapToGrid/>
              <w:spacing w:after="0"/>
              <w:jc w:val="right"/>
              <w:rPr>
                <w:rFonts w:ascii="Arial" w:hAnsi="Arial" w:eastAsia="宋体" w:cs="Arial"/>
                <w:sz w:val="24"/>
                <w:szCs w:val="24"/>
              </w:rPr>
            </w:pPr>
            <w:r>
              <w:rPr>
                <w:rFonts w:ascii="Arial" w:hAnsi="Arial" w:eastAsia="宋体" w:cs="Arial"/>
                <w:sz w:val="24"/>
                <w:szCs w:val="24"/>
              </w:rPr>
              <w:t>　</w:t>
            </w:r>
          </w:p>
        </w:tc>
        <w:tc>
          <w:tcPr>
            <w:tcW w:w="0" w:type="auto"/>
            <w:tcBorders>
              <w:top w:val="nil"/>
              <w:left w:val="nil"/>
              <w:bottom w:val="single" w:color="000000" w:sz="4" w:space="0"/>
              <w:right w:val="single" w:color="000000" w:sz="4" w:space="0"/>
            </w:tcBorders>
            <w:shd w:val="clear" w:color="auto" w:fill="auto"/>
            <w:vAlign w:val="center"/>
          </w:tcPr>
          <w:p w14:paraId="302F4ACB">
            <w:pPr>
              <w:adjustRightInd/>
              <w:snapToGrid/>
              <w:spacing w:after="0"/>
              <w:jc w:val="right"/>
              <w:rPr>
                <w:rFonts w:ascii="Arial" w:hAnsi="Arial" w:eastAsia="宋体" w:cs="Arial"/>
                <w:sz w:val="24"/>
                <w:szCs w:val="24"/>
              </w:rPr>
            </w:pPr>
            <w:r>
              <w:rPr>
                <w:rFonts w:ascii="Arial" w:hAnsi="Arial" w:eastAsia="宋体" w:cs="Arial"/>
                <w:sz w:val="24"/>
                <w:szCs w:val="24"/>
              </w:rPr>
              <w:t>　</w:t>
            </w:r>
          </w:p>
        </w:tc>
        <w:tc>
          <w:tcPr>
            <w:tcW w:w="0" w:type="auto"/>
            <w:tcBorders>
              <w:top w:val="nil"/>
              <w:left w:val="nil"/>
              <w:bottom w:val="single" w:color="000000" w:sz="4" w:space="0"/>
              <w:right w:val="single" w:color="000000" w:sz="4" w:space="0"/>
            </w:tcBorders>
            <w:shd w:val="clear" w:color="auto" w:fill="auto"/>
            <w:vAlign w:val="center"/>
          </w:tcPr>
          <w:p w14:paraId="05E5ECF6">
            <w:pPr>
              <w:adjustRightInd/>
              <w:snapToGrid/>
              <w:spacing w:after="0"/>
              <w:jc w:val="right"/>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000000" w:sz="4" w:space="0"/>
              <w:right w:val="single" w:color="000000" w:sz="4" w:space="0"/>
            </w:tcBorders>
            <w:shd w:val="clear" w:color="auto" w:fill="auto"/>
            <w:vAlign w:val="center"/>
          </w:tcPr>
          <w:p w14:paraId="3BF36762">
            <w:pPr>
              <w:adjustRightInd/>
              <w:snapToGrid/>
              <w:spacing w:after="0"/>
              <w:jc w:val="right"/>
              <w:rPr>
                <w:rFonts w:ascii="Arial" w:hAnsi="Arial" w:eastAsia="宋体" w:cs="Arial"/>
                <w:sz w:val="24"/>
                <w:szCs w:val="24"/>
              </w:rPr>
            </w:pPr>
            <w:r>
              <w:rPr>
                <w:rFonts w:ascii="Arial" w:hAnsi="Arial" w:eastAsia="宋体" w:cs="Arial"/>
                <w:sz w:val="24"/>
                <w:szCs w:val="24"/>
              </w:rPr>
              <w:t xml:space="preserve">40,000.00 </w:t>
            </w:r>
          </w:p>
        </w:tc>
        <w:tc>
          <w:tcPr>
            <w:tcW w:w="0" w:type="auto"/>
            <w:tcBorders>
              <w:top w:val="nil"/>
              <w:left w:val="nil"/>
              <w:bottom w:val="single" w:color="000000" w:sz="4" w:space="0"/>
              <w:right w:val="single" w:color="000000" w:sz="4" w:space="0"/>
            </w:tcBorders>
            <w:shd w:val="clear" w:color="auto" w:fill="auto"/>
            <w:vAlign w:val="center"/>
          </w:tcPr>
          <w:p w14:paraId="46FCDEAA">
            <w:pPr>
              <w:adjustRightInd/>
              <w:snapToGrid/>
              <w:spacing w:after="0"/>
              <w:jc w:val="right"/>
              <w:rPr>
                <w:rFonts w:ascii="Arial" w:hAnsi="Arial" w:eastAsia="宋体" w:cs="Arial"/>
                <w:sz w:val="24"/>
                <w:szCs w:val="24"/>
              </w:rPr>
            </w:pPr>
            <w:r>
              <w:rPr>
                <w:rFonts w:ascii="Arial" w:hAnsi="Arial" w:eastAsia="宋体" w:cs="Arial"/>
                <w:sz w:val="24"/>
                <w:szCs w:val="24"/>
              </w:rPr>
              <w:t>　</w:t>
            </w:r>
          </w:p>
        </w:tc>
      </w:tr>
      <w:tr w14:paraId="098958D1">
        <w:tblPrEx>
          <w:tblCellMar>
            <w:top w:w="0" w:type="dxa"/>
            <w:left w:w="108" w:type="dxa"/>
            <w:bottom w:w="0" w:type="dxa"/>
            <w:right w:w="108" w:type="dxa"/>
          </w:tblCellMar>
        </w:tblPrEx>
        <w:trPr>
          <w:trHeight w:val="402"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2A8F241B">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总  体   目  标</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13735EE7">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中期目标</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4802EEE5">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年度目标</w:t>
            </w:r>
          </w:p>
        </w:tc>
      </w:tr>
      <w:tr w14:paraId="20B31AC4">
        <w:tblPrEx>
          <w:tblCellMar>
            <w:top w:w="0" w:type="dxa"/>
            <w:left w:w="108" w:type="dxa"/>
            <w:bottom w:w="0" w:type="dxa"/>
            <w:right w:w="108" w:type="dxa"/>
          </w:tblCellMar>
        </w:tblPrEx>
        <w:trPr>
          <w:trHeight w:val="885" w:hRule="atLeast"/>
        </w:trPr>
        <w:tc>
          <w:tcPr>
            <w:tcW w:w="0" w:type="auto"/>
            <w:vMerge w:val="continue"/>
            <w:tcBorders>
              <w:top w:val="nil"/>
              <w:left w:val="single" w:color="000000" w:sz="4" w:space="0"/>
              <w:bottom w:val="single" w:color="000000" w:sz="4" w:space="0"/>
              <w:right w:val="single" w:color="000000" w:sz="4" w:space="0"/>
            </w:tcBorders>
            <w:vAlign w:val="center"/>
          </w:tcPr>
          <w:p w14:paraId="1582CECD">
            <w:pPr>
              <w:adjustRightInd/>
              <w:snapToGrid/>
              <w:spacing w:after="0"/>
              <w:rPr>
                <w:rFonts w:ascii="宋体" w:hAnsi="宋体" w:eastAsia="宋体" w:cs="Arial"/>
                <w:color w:val="000000"/>
                <w:sz w:val="24"/>
                <w:szCs w:val="24"/>
              </w:rPr>
            </w:pP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09AE9F92">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2020年-2022年负责监督辖区内公共资源经营活动、各行业主管部门职责履行及区属公共资源交易活动的投诉处理。</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6D08AF7E">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负责监督辖区内公共资源经营活动、各行业主管部门职责履行及区属公共资源交易活动的投诉处理。</w:t>
            </w:r>
          </w:p>
        </w:tc>
      </w:tr>
      <w:tr w14:paraId="553BE7F6">
        <w:tblPrEx>
          <w:tblCellMar>
            <w:top w:w="0" w:type="dxa"/>
            <w:left w:w="108" w:type="dxa"/>
            <w:bottom w:w="0" w:type="dxa"/>
            <w:right w:w="108" w:type="dxa"/>
          </w:tblCellMar>
        </w:tblPrEx>
        <w:trPr>
          <w:trHeight w:val="420" w:hRule="atLeast"/>
        </w:trPr>
        <w:tc>
          <w:tcPr>
            <w:tcW w:w="0" w:type="auto"/>
            <w:vMerge w:val="continue"/>
            <w:tcBorders>
              <w:top w:val="nil"/>
              <w:left w:val="single" w:color="000000" w:sz="4" w:space="0"/>
              <w:bottom w:val="single" w:color="000000" w:sz="4" w:space="0"/>
              <w:right w:val="single" w:color="000000" w:sz="4" w:space="0"/>
            </w:tcBorders>
            <w:vAlign w:val="center"/>
          </w:tcPr>
          <w:p w14:paraId="04321050">
            <w:pPr>
              <w:adjustRightInd/>
              <w:snapToGrid/>
              <w:spacing w:after="0"/>
              <w:rPr>
                <w:rFonts w:ascii="宋体" w:hAnsi="宋体" w:eastAsia="宋体" w:cs="Arial"/>
                <w:color w:val="000000"/>
                <w:sz w:val="24"/>
                <w:szCs w:val="24"/>
              </w:rPr>
            </w:pP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17007906">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0D0D4C59">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r>
      <w:tr w14:paraId="4BB45D03">
        <w:tblPrEx>
          <w:tblCellMar>
            <w:top w:w="0" w:type="dxa"/>
            <w:left w:w="108" w:type="dxa"/>
            <w:bottom w:w="0" w:type="dxa"/>
            <w:right w:w="108" w:type="dxa"/>
          </w:tblCellMar>
        </w:tblPrEx>
        <w:trPr>
          <w:trHeight w:val="57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26DEB571">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绩  效  指  标</w:t>
            </w:r>
          </w:p>
        </w:tc>
        <w:tc>
          <w:tcPr>
            <w:tcW w:w="0" w:type="auto"/>
            <w:tcBorders>
              <w:top w:val="nil"/>
              <w:left w:val="nil"/>
              <w:bottom w:val="nil"/>
              <w:right w:val="nil"/>
            </w:tcBorders>
            <w:shd w:val="clear" w:color="auto" w:fill="auto"/>
            <w:vAlign w:val="center"/>
          </w:tcPr>
          <w:p w14:paraId="10ABCA85">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一级指标</w:t>
            </w:r>
          </w:p>
        </w:tc>
        <w:tc>
          <w:tcPr>
            <w:tcW w:w="0" w:type="auto"/>
            <w:tcBorders>
              <w:top w:val="nil"/>
              <w:left w:val="single" w:color="auto" w:sz="4" w:space="0"/>
              <w:bottom w:val="single" w:color="auto" w:sz="4" w:space="0"/>
              <w:right w:val="single" w:color="auto" w:sz="4" w:space="0"/>
            </w:tcBorders>
            <w:shd w:val="clear" w:color="auto" w:fill="auto"/>
            <w:vAlign w:val="center"/>
          </w:tcPr>
          <w:p w14:paraId="3C5CE9DD">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二级指标</w:t>
            </w:r>
          </w:p>
        </w:tc>
        <w:tc>
          <w:tcPr>
            <w:tcW w:w="0" w:type="auto"/>
            <w:tcBorders>
              <w:top w:val="nil"/>
              <w:left w:val="nil"/>
              <w:bottom w:val="single" w:color="auto" w:sz="4" w:space="0"/>
              <w:right w:val="single" w:color="auto" w:sz="4" w:space="0"/>
            </w:tcBorders>
            <w:shd w:val="clear" w:color="auto" w:fill="auto"/>
            <w:vAlign w:val="center"/>
          </w:tcPr>
          <w:p w14:paraId="43513859">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三级指标</w:t>
            </w:r>
          </w:p>
        </w:tc>
        <w:tc>
          <w:tcPr>
            <w:tcW w:w="0" w:type="auto"/>
            <w:tcBorders>
              <w:top w:val="nil"/>
              <w:left w:val="nil"/>
              <w:bottom w:val="nil"/>
              <w:right w:val="nil"/>
            </w:tcBorders>
            <w:shd w:val="clear" w:color="auto" w:fill="auto"/>
            <w:vAlign w:val="center"/>
          </w:tcPr>
          <w:p w14:paraId="109E22A7">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指标值</w:t>
            </w:r>
          </w:p>
        </w:tc>
        <w:tc>
          <w:tcPr>
            <w:tcW w:w="0" w:type="auto"/>
            <w:tcBorders>
              <w:top w:val="nil"/>
              <w:left w:val="single" w:color="auto" w:sz="4" w:space="0"/>
              <w:bottom w:val="single" w:color="auto" w:sz="4" w:space="0"/>
              <w:right w:val="single" w:color="auto" w:sz="4" w:space="0"/>
            </w:tcBorders>
            <w:shd w:val="clear" w:color="auto" w:fill="auto"/>
            <w:vAlign w:val="center"/>
          </w:tcPr>
          <w:p w14:paraId="10345785">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二级指标</w:t>
            </w:r>
          </w:p>
        </w:tc>
        <w:tc>
          <w:tcPr>
            <w:tcW w:w="0" w:type="auto"/>
            <w:gridSpan w:val="2"/>
            <w:tcBorders>
              <w:top w:val="single" w:color="000000" w:sz="4" w:space="0"/>
              <w:left w:val="nil"/>
              <w:bottom w:val="nil"/>
              <w:right w:val="single" w:color="000000" w:sz="4" w:space="0"/>
            </w:tcBorders>
            <w:shd w:val="clear" w:color="auto" w:fill="auto"/>
            <w:vAlign w:val="center"/>
          </w:tcPr>
          <w:p w14:paraId="3325E47B">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三级指标</w:t>
            </w:r>
          </w:p>
        </w:tc>
        <w:tc>
          <w:tcPr>
            <w:tcW w:w="0" w:type="auto"/>
            <w:tcBorders>
              <w:top w:val="nil"/>
              <w:left w:val="nil"/>
              <w:bottom w:val="single" w:color="000000" w:sz="4" w:space="0"/>
              <w:right w:val="single" w:color="000000" w:sz="4" w:space="0"/>
            </w:tcBorders>
            <w:shd w:val="clear" w:color="auto" w:fill="auto"/>
            <w:vAlign w:val="center"/>
          </w:tcPr>
          <w:p w14:paraId="7C17BFE1">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指标值</w:t>
            </w:r>
          </w:p>
        </w:tc>
      </w:tr>
      <w:tr w14:paraId="597EFAEF">
        <w:tblPrEx>
          <w:tblCellMar>
            <w:top w:w="0" w:type="dxa"/>
            <w:left w:w="108" w:type="dxa"/>
            <w:bottom w:w="0" w:type="dxa"/>
            <w:right w:w="108" w:type="dxa"/>
          </w:tblCellMar>
        </w:tblPrEx>
        <w:trPr>
          <w:trHeight w:val="855" w:hRule="atLeast"/>
        </w:trPr>
        <w:tc>
          <w:tcPr>
            <w:tcW w:w="0" w:type="auto"/>
            <w:vMerge w:val="continue"/>
            <w:tcBorders>
              <w:top w:val="nil"/>
              <w:left w:val="single" w:color="000000" w:sz="4" w:space="0"/>
              <w:bottom w:val="single" w:color="000000" w:sz="4" w:space="0"/>
              <w:right w:val="single" w:color="000000" w:sz="4" w:space="0"/>
            </w:tcBorders>
            <w:vAlign w:val="center"/>
          </w:tcPr>
          <w:p w14:paraId="46C82B9E">
            <w:pPr>
              <w:adjustRightInd/>
              <w:snapToGrid/>
              <w:spacing w:after="0"/>
              <w:rPr>
                <w:rFonts w:ascii="宋体" w:hAnsi="宋体" w:eastAsia="宋体" w:cs="Arial"/>
                <w:color w:val="000000"/>
                <w:sz w:val="24"/>
                <w:szCs w:val="24"/>
              </w:rPr>
            </w:pPr>
          </w:p>
        </w:tc>
        <w:tc>
          <w:tcPr>
            <w:tcW w:w="0" w:type="auto"/>
            <w:vMerge w:val="restart"/>
            <w:tcBorders>
              <w:top w:val="single" w:color="auto" w:sz="4" w:space="0"/>
              <w:left w:val="single" w:color="auto" w:sz="4" w:space="0"/>
              <w:bottom w:val="single" w:color="auto" w:sz="4" w:space="0"/>
              <w:right w:val="nil"/>
            </w:tcBorders>
            <w:shd w:val="clear" w:color="auto" w:fill="auto"/>
            <w:vAlign w:val="center"/>
          </w:tcPr>
          <w:p w14:paraId="2813A8E8">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产   出   指   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1A750A68">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数量指标</w:t>
            </w:r>
          </w:p>
        </w:tc>
        <w:tc>
          <w:tcPr>
            <w:tcW w:w="0" w:type="auto"/>
            <w:tcBorders>
              <w:top w:val="nil"/>
              <w:left w:val="nil"/>
              <w:bottom w:val="single" w:color="auto" w:sz="4" w:space="0"/>
              <w:right w:val="single" w:color="auto" w:sz="4" w:space="0"/>
            </w:tcBorders>
            <w:shd w:val="clear" w:color="auto" w:fill="auto"/>
            <w:noWrap/>
            <w:vAlign w:val="bottom"/>
          </w:tcPr>
          <w:p w14:paraId="2F0193CF">
            <w:pPr>
              <w:adjustRightInd/>
              <w:snapToGrid/>
              <w:spacing w:after="0"/>
              <w:rPr>
                <w:rFonts w:ascii="宋体" w:hAnsi="宋体" w:eastAsia="宋体" w:cs="Arial"/>
                <w:sz w:val="24"/>
                <w:szCs w:val="24"/>
              </w:rPr>
            </w:pPr>
            <w:r>
              <w:rPr>
                <w:rFonts w:hint="eastAsia" w:ascii="宋体" w:hAnsi="宋体" w:eastAsia="宋体" w:cs="Arial"/>
                <w:sz w:val="24"/>
                <w:szCs w:val="24"/>
              </w:rPr>
              <w:t>全区公共资源交易监督</w:t>
            </w:r>
            <w:r>
              <w:rPr>
                <w:rFonts w:ascii="Arial" w:hAnsi="Arial" w:eastAsia="宋体" w:cs="Arial"/>
                <w:sz w:val="24"/>
                <w:szCs w:val="24"/>
              </w:rPr>
              <w:t>100%</w:t>
            </w:r>
            <w:r>
              <w:rPr>
                <w:rFonts w:hint="eastAsia" w:ascii="宋体" w:hAnsi="宋体" w:eastAsia="宋体" w:cs="Arial"/>
                <w:sz w:val="24"/>
                <w:szCs w:val="24"/>
              </w:rPr>
              <w:t>覆盖</w:t>
            </w:r>
          </w:p>
        </w:tc>
        <w:tc>
          <w:tcPr>
            <w:tcW w:w="0" w:type="auto"/>
            <w:tcBorders>
              <w:top w:val="single" w:color="auto" w:sz="4" w:space="0"/>
              <w:left w:val="nil"/>
              <w:bottom w:val="single" w:color="auto" w:sz="4" w:space="0"/>
              <w:right w:val="nil"/>
            </w:tcBorders>
            <w:shd w:val="clear" w:color="auto" w:fill="auto"/>
            <w:vAlign w:val="center"/>
          </w:tcPr>
          <w:p w14:paraId="22DEAA9E">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全区公共资源交易监督100%</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2CCBCAFF">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数量指标</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21202389">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全区公共资源交易监督100%覆盖</w:t>
            </w:r>
          </w:p>
        </w:tc>
        <w:tc>
          <w:tcPr>
            <w:tcW w:w="0" w:type="auto"/>
            <w:tcBorders>
              <w:top w:val="nil"/>
              <w:left w:val="nil"/>
              <w:bottom w:val="single" w:color="000000" w:sz="4" w:space="0"/>
              <w:right w:val="single" w:color="000000" w:sz="4" w:space="0"/>
            </w:tcBorders>
            <w:shd w:val="clear" w:color="auto" w:fill="auto"/>
            <w:vAlign w:val="center"/>
          </w:tcPr>
          <w:p w14:paraId="2EB51F55">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全区公共资源交易监督100%</w:t>
            </w:r>
          </w:p>
        </w:tc>
      </w:tr>
      <w:tr w14:paraId="74DAD85F">
        <w:tblPrEx>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vAlign w:val="center"/>
          </w:tcPr>
          <w:p w14:paraId="0BCFB7C9">
            <w:pPr>
              <w:adjustRightInd/>
              <w:snapToGrid/>
              <w:spacing w:after="0"/>
              <w:rPr>
                <w:rFonts w:ascii="宋体" w:hAnsi="宋体" w:eastAsia="宋体" w:cs="Arial"/>
                <w:color w:val="000000"/>
                <w:sz w:val="24"/>
                <w:szCs w:val="24"/>
              </w:rPr>
            </w:pPr>
          </w:p>
        </w:tc>
        <w:tc>
          <w:tcPr>
            <w:tcW w:w="0" w:type="auto"/>
            <w:vMerge w:val="continue"/>
            <w:tcBorders>
              <w:top w:val="single" w:color="auto" w:sz="4" w:space="0"/>
              <w:left w:val="single" w:color="auto" w:sz="4" w:space="0"/>
              <w:bottom w:val="single" w:color="auto" w:sz="4" w:space="0"/>
              <w:right w:val="nil"/>
            </w:tcBorders>
            <w:vAlign w:val="center"/>
          </w:tcPr>
          <w:p w14:paraId="09F13AFC">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13BAC2D8">
            <w:pPr>
              <w:adjustRightInd/>
              <w:snapToGrid/>
              <w:spacing w:after="0"/>
              <w:rPr>
                <w:rFonts w:ascii="宋体" w:hAnsi="宋体" w:eastAsia="宋体" w:cs="Arial"/>
                <w:color w:val="000000"/>
                <w:sz w:val="24"/>
                <w:szCs w:val="24"/>
              </w:rPr>
            </w:pPr>
          </w:p>
        </w:tc>
        <w:tc>
          <w:tcPr>
            <w:tcW w:w="0" w:type="auto"/>
            <w:tcBorders>
              <w:top w:val="nil"/>
              <w:left w:val="nil"/>
              <w:bottom w:val="nil"/>
              <w:right w:val="nil"/>
            </w:tcBorders>
            <w:shd w:val="clear" w:color="auto" w:fill="auto"/>
            <w:noWrap/>
            <w:vAlign w:val="bottom"/>
          </w:tcPr>
          <w:p w14:paraId="6956E11C">
            <w:pPr>
              <w:adjustRightInd/>
              <w:snapToGrid/>
              <w:spacing w:after="0"/>
              <w:rPr>
                <w:rFonts w:ascii="Arial" w:hAnsi="Arial" w:eastAsia="宋体" w:cs="Arial"/>
                <w:sz w:val="24"/>
                <w:szCs w:val="24"/>
              </w:rPr>
            </w:pPr>
          </w:p>
        </w:tc>
        <w:tc>
          <w:tcPr>
            <w:tcW w:w="0" w:type="auto"/>
            <w:tcBorders>
              <w:top w:val="nil"/>
              <w:left w:val="single" w:color="auto" w:sz="4" w:space="0"/>
              <w:bottom w:val="single" w:color="auto" w:sz="4" w:space="0"/>
              <w:right w:val="nil"/>
            </w:tcBorders>
            <w:shd w:val="clear" w:color="auto" w:fill="auto"/>
            <w:vAlign w:val="center"/>
          </w:tcPr>
          <w:p w14:paraId="68ED7F2C">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vMerge w:val="continue"/>
            <w:tcBorders>
              <w:top w:val="nil"/>
              <w:left w:val="single" w:color="auto" w:sz="4" w:space="0"/>
              <w:bottom w:val="single" w:color="000000" w:sz="4" w:space="0"/>
              <w:right w:val="single" w:color="auto" w:sz="4" w:space="0"/>
            </w:tcBorders>
            <w:vAlign w:val="center"/>
          </w:tcPr>
          <w:p w14:paraId="557257BC">
            <w:pPr>
              <w:adjustRightInd/>
              <w:snapToGrid/>
              <w:spacing w:after="0"/>
              <w:rPr>
                <w:rFonts w:ascii="宋体" w:hAnsi="宋体" w:eastAsia="宋体" w:cs="Arial"/>
                <w:color w:val="000000"/>
                <w:sz w:val="24"/>
                <w:szCs w:val="24"/>
              </w:rPr>
            </w:pP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13E504F8">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000000" w:sz="4" w:space="0"/>
              <w:right w:val="single" w:color="000000" w:sz="4" w:space="0"/>
            </w:tcBorders>
            <w:shd w:val="clear" w:color="auto" w:fill="auto"/>
            <w:vAlign w:val="center"/>
          </w:tcPr>
          <w:p w14:paraId="5F1EE036">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r>
      <w:tr w14:paraId="5347EA13">
        <w:tblPrEx>
          <w:tblCellMar>
            <w:top w:w="0" w:type="dxa"/>
            <w:left w:w="108" w:type="dxa"/>
            <w:bottom w:w="0" w:type="dxa"/>
            <w:right w:w="108" w:type="dxa"/>
          </w:tblCellMar>
        </w:tblPrEx>
        <w:trPr>
          <w:trHeight w:val="285" w:hRule="atLeast"/>
        </w:trPr>
        <w:tc>
          <w:tcPr>
            <w:tcW w:w="0" w:type="auto"/>
            <w:vMerge w:val="continue"/>
            <w:tcBorders>
              <w:top w:val="nil"/>
              <w:left w:val="single" w:color="000000" w:sz="4" w:space="0"/>
              <w:bottom w:val="single" w:color="000000" w:sz="4" w:space="0"/>
              <w:right w:val="single" w:color="000000" w:sz="4" w:space="0"/>
            </w:tcBorders>
            <w:vAlign w:val="center"/>
          </w:tcPr>
          <w:p w14:paraId="6CE002BB">
            <w:pPr>
              <w:adjustRightInd/>
              <w:snapToGrid/>
              <w:spacing w:after="0"/>
              <w:rPr>
                <w:rFonts w:ascii="宋体" w:hAnsi="宋体" w:eastAsia="宋体" w:cs="Arial"/>
                <w:color w:val="000000"/>
                <w:sz w:val="24"/>
                <w:szCs w:val="24"/>
              </w:rPr>
            </w:pPr>
          </w:p>
        </w:tc>
        <w:tc>
          <w:tcPr>
            <w:tcW w:w="0" w:type="auto"/>
            <w:vMerge w:val="continue"/>
            <w:tcBorders>
              <w:top w:val="single" w:color="auto" w:sz="4" w:space="0"/>
              <w:left w:val="single" w:color="auto" w:sz="4" w:space="0"/>
              <w:bottom w:val="single" w:color="auto" w:sz="4" w:space="0"/>
              <w:right w:val="nil"/>
            </w:tcBorders>
            <w:vAlign w:val="center"/>
          </w:tcPr>
          <w:p w14:paraId="773E9CB7">
            <w:pPr>
              <w:adjustRightInd/>
              <w:snapToGrid/>
              <w:spacing w:after="0"/>
              <w:rPr>
                <w:rFonts w:ascii="宋体" w:hAnsi="宋体" w:eastAsia="宋体" w:cs="Arial"/>
                <w:color w:val="000000"/>
                <w:sz w:val="24"/>
                <w:szCs w:val="24"/>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097AEC0C">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质量指标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4C683206">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监管备案无差错</w:t>
            </w:r>
          </w:p>
        </w:tc>
        <w:tc>
          <w:tcPr>
            <w:tcW w:w="0" w:type="auto"/>
            <w:tcBorders>
              <w:top w:val="nil"/>
              <w:left w:val="nil"/>
              <w:bottom w:val="single" w:color="auto" w:sz="4" w:space="0"/>
              <w:right w:val="nil"/>
            </w:tcBorders>
            <w:shd w:val="clear" w:color="auto" w:fill="auto"/>
            <w:vAlign w:val="center"/>
          </w:tcPr>
          <w:p w14:paraId="0A68AAA2">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100%</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349D3416">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质量指标</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1364D6F9">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监管备案无差错</w:t>
            </w:r>
          </w:p>
        </w:tc>
        <w:tc>
          <w:tcPr>
            <w:tcW w:w="0" w:type="auto"/>
            <w:tcBorders>
              <w:top w:val="nil"/>
              <w:left w:val="nil"/>
              <w:bottom w:val="single" w:color="000000" w:sz="4" w:space="0"/>
              <w:right w:val="single" w:color="000000" w:sz="4" w:space="0"/>
            </w:tcBorders>
            <w:shd w:val="clear" w:color="auto" w:fill="auto"/>
            <w:vAlign w:val="center"/>
          </w:tcPr>
          <w:p w14:paraId="69AFB488">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100%</w:t>
            </w:r>
          </w:p>
        </w:tc>
      </w:tr>
      <w:tr w14:paraId="12F4C3B8">
        <w:tblPrEx>
          <w:tblCellMar>
            <w:top w:w="0" w:type="dxa"/>
            <w:left w:w="108" w:type="dxa"/>
            <w:bottom w:w="0" w:type="dxa"/>
            <w:right w:w="108" w:type="dxa"/>
          </w:tblCellMar>
        </w:tblPrEx>
        <w:trPr>
          <w:trHeight w:val="285" w:hRule="atLeast"/>
        </w:trPr>
        <w:tc>
          <w:tcPr>
            <w:tcW w:w="0" w:type="auto"/>
            <w:vMerge w:val="continue"/>
            <w:tcBorders>
              <w:top w:val="nil"/>
              <w:left w:val="single" w:color="000000" w:sz="4" w:space="0"/>
              <w:bottom w:val="single" w:color="000000" w:sz="4" w:space="0"/>
              <w:right w:val="single" w:color="000000" w:sz="4" w:space="0"/>
            </w:tcBorders>
            <w:vAlign w:val="center"/>
          </w:tcPr>
          <w:p w14:paraId="060FC94D">
            <w:pPr>
              <w:adjustRightInd/>
              <w:snapToGrid/>
              <w:spacing w:after="0"/>
              <w:rPr>
                <w:rFonts w:ascii="宋体" w:hAnsi="宋体" w:eastAsia="宋体" w:cs="Arial"/>
                <w:color w:val="000000"/>
                <w:sz w:val="24"/>
                <w:szCs w:val="24"/>
              </w:rPr>
            </w:pPr>
          </w:p>
        </w:tc>
        <w:tc>
          <w:tcPr>
            <w:tcW w:w="0" w:type="auto"/>
            <w:vMerge w:val="continue"/>
            <w:tcBorders>
              <w:top w:val="single" w:color="auto" w:sz="4" w:space="0"/>
              <w:left w:val="single" w:color="auto" w:sz="4" w:space="0"/>
              <w:bottom w:val="single" w:color="auto" w:sz="4" w:space="0"/>
              <w:right w:val="nil"/>
            </w:tcBorders>
            <w:vAlign w:val="center"/>
          </w:tcPr>
          <w:p w14:paraId="13741A74">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389429C0">
            <w:pPr>
              <w:adjustRightInd/>
              <w:snapToGrid/>
              <w:spacing w:after="0"/>
              <w:rPr>
                <w:rFonts w:ascii="宋体" w:hAnsi="宋体" w:eastAsia="宋体" w:cs="Arial"/>
                <w:color w:val="000000"/>
                <w:sz w:val="24"/>
                <w:szCs w:val="24"/>
              </w:rPr>
            </w:pPr>
          </w:p>
        </w:tc>
        <w:tc>
          <w:tcPr>
            <w:tcW w:w="0" w:type="auto"/>
            <w:tcBorders>
              <w:top w:val="nil"/>
              <w:left w:val="nil"/>
              <w:bottom w:val="single" w:color="auto" w:sz="4" w:space="0"/>
              <w:right w:val="single" w:color="auto" w:sz="4" w:space="0"/>
            </w:tcBorders>
            <w:shd w:val="clear" w:color="auto" w:fill="auto"/>
            <w:vAlign w:val="center"/>
          </w:tcPr>
          <w:p w14:paraId="0EB6F4A3">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auto" w:sz="4" w:space="0"/>
              <w:right w:val="nil"/>
            </w:tcBorders>
            <w:shd w:val="clear" w:color="auto" w:fill="auto"/>
            <w:vAlign w:val="center"/>
          </w:tcPr>
          <w:p w14:paraId="188D9F06">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vMerge w:val="continue"/>
            <w:tcBorders>
              <w:top w:val="nil"/>
              <w:left w:val="single" w:color="auto" w:sz="4" w:space="0"/>
              <w:bottom w:val="single" w:color="000000" w:sz="4" w:space="0"/>
              <w:right w:val="single" w:color="auto" w:sz="4" w:space="0"/>
            </w:tcBorders>
            <w:vAlign w:val="center"/>
          </w:tcPr>
          <w:p w14:paraId="374AD41B">
            <w:pPr>
              <w:adjustRightInd/>
              <w:snapToGrid/>
              <w:spacing w:after="0"/>
              <w:rPr>
                <w:rFonts w:ascii="宋体" w:hAnsi="宋体" w:eastAsia="宋体" w:cs="Arial"/>
                <w:color w:val="000000"/>
                <w:sz w:val="24"/>
                <w:szCs w:val="24"/>
              </w:rPr>
            </w:pP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4D605373">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000000" w:sz="4" w:space="0"/>
              <w:right w:val="single" w:color="000000" w:sz="4" w:space="0"/>
            </w:tcBorders>
            <w:shd w:val="clear" w:color="auto" w:fill="auto"/>
            <w:vAlign w:val="center"/>
          </w:tcPr>
          <w:p w14:paraId="4D39D7D1">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r>
      <w:tr w14:paraId="0EF77EF0">
        <w:tblPrEx>
          <w:tblCellMar>
            <w:top w:w="0" w:type="dxa"/>
            <w:left w:w="108" w:type="dxa"/>
            <w:bottom w:w="0" w:type="dxa"/>
            <w:right w:w="108" w:type="dxa"/>
          </w:tblCellMar>
        </w:tblPrEx>
        <w:trPr>
          <w:trHeight w:val="570" w:hRule="atLeast"/>
        </w:trPr>
        <w:tc>
          <w:tcPr>
            <w:tcW w:w="0" w:type="auto"/>
            <w:vMerge w:val="continue"/>
            <w:tcBorders>
              <w:top w:val="nil"/>
              <w:left w:val="single" w:color="000000" w:sz="4" w:space="0"/>
              <w:bottom w:val="single" w:color="000000" w:sz="4" w:space="0"/>
              <w:right w:val="single" w:color="000000" w:sz="4" w:space="0"/>
            </w:tcBorders>
            <w:vAlign w:val="center"/>
          </w:tcPr>
          <w:p w14:paraId="38B42859">
            <w:pPr>
              <w:adjustRightInd/>
              <w:snapToGrid/>
              <w:spacing w:after="0"/>
              <w:rPr>
                <w:rFonts w:ascii="宋体" w:hAnsi="宋体" w:eastAsia="宋体" w:cs="Arial"/>
                <w:color w:val="000000"/>
                <w:sz w:val="24"/>
                <w:szCs w:val="24"/>
              </w:rPr>
            </w:pPr>
          </w:p>
        </w:tc>
        <w:tc>
          <w:tcPr>
            <w:tcW w:w="0" w:type="auto"/>
            <w:vMerge w:val="continue"/>
            <w:tcBorders>
              <w:top w:val="single" w:color="auto" w:sz="4" w:space="0"/>
              <w:left w:val="single" w:color="auto" w:sz="4" w:space="0"/>
              <w:bottom w:val="single" w:color="auto" w:sz="4" w:space="0"/>
              <w:right w:val="nil"/>
            </w:tcBorders>
            <w:vAlign w:val="center"/>
          </w:tcPr>
          <w:p w14:paraId="10D00461">
            <w:pPr>
              <w:adjustRightInd/>
              <w:snapToGrid/>
              <w:spacing w:after="0"/>
              <w:rPr>
                <w:rFonts w:ascii="宋体" w:hAnsi="宋体" w:eastAsia="宋体" w:cs="Arial"/>
                <w:color w:val="000000"/>
                <w:sz w:val="24"/>
                <w:szCs w:val="24"/>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2EBCCB5D">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时效指标</w:t>
            </w:r>
          </w:p>
        </w:tc>
        <w:tc>
          <w:tcPr>
            <w:tcW w:w="0" w:type="auto"/>
            <w:tcBorders>
              <w:top w:val="nil"/>
              <w:left w:val="nil"/>
              <w:bottom w:val="single" w:color="auto" w:sz="4" w:space="0"/>
              <w:right w:val="single" w:color="auto" w:sz="4" w:space="0"/>
            </w:tcBorders>
            <w:shd w:val="clear" w:color="auto" w:fill="auto"/>
            <w:vAlign w:val="center"/>
          </w:tcPr>
          <w:p w14:paraId="7A7F09A6">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按照年初工作进度完成</w:t>
            </w:r>
          </w:p>
        </w:tc>
        <w:tc>
          <w:tcPr>
            <w:tcW w:w="0" w:type="auto"/>
            <w:tcBorders>
              <w:top w:val="nil"/>
              <w:left w:val="nil"/>
              <w:bottom w:val="single" w:color="auto" w:sz="4" w:space="0"/>
              <w:right w:val="nil"/>
            </w:tcBorders>
            <w:shd w:val="clear" w:color="auto" w:fill="auto"/>
            <w:vAlign w:val="center"/>
          </w:tcPr>
          <w:p w14:paraId="76F6831D">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按时完成100%</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31DA034A">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时效指标</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5A5E846C">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按照年初工作进度完成</w:t>
            </w:r>
          </w:p>
        </w:tc>
        <w:tc>
          <w:tcPr>
            <w:tcW w:w="0" w:type="auto"/>
            <w:tcBorders>
              <w:top w:val="nil"/>
              <w:left w:val="nil"/>
              <w:bottom w:val="single" w:color="000000" w:sz="4" w:space="0"/>
              <w:right w:val="single" w:color="000000" w:sz="4" w:space="0"/>
            </w:tcBorders>
            <w:shd w:val="clear" w:color="auto" w:fill="auto"/>
            <w:vAlign w:val="center"/>
          </w:tcPr>
          <w:p w14:paraId="050FAB18">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按时完成100%</w:t>
            </w:r>
          </w:p>
        </w:tc>
      </w:tr>
      <w:tr w14:paraId="64E5C926">
        <w:tblPrEx>
          <w:tblCellMar>
            <w:top w:w="0" w:type="dxa"/>
            <w:left w:w="108" w:type="dxa"/>
            <w:bottom w:w="0" w:type="dxa"/>
            <w:right w:w="108" w:type="dxa"/>
          </w:tblCellMar>
        </w:tblPrEx>
        <w:trPr>
          <w:trHeight w:val="285" w:hRule="atLeast"/>
        </w:trPr>
        <w:tc>
          <w:tcPr>
            <w:tcW w:w="0" w:type="auto"/>
            <w:vMerge w:val="continue"/>
            <w:tcBorders>
              <w:top w:val="nil"/>
              <w:left w:val="single" w:color="000000" w:sz="4" w:space="0"/>
              <w:bottom w:val="single" w:color="000000" w:sz="4" w:space="0"/>
              <w:right w:val="single" w:color="000000" w:sz="4" w:space="0"/>
            </w:tcBorders>
            <w:vAlign w:val="center"/>
          </w:tcPr>
          <w:p w14:paraId="129016CF">
            <w:pPr>
              <w:adjustRightInd/>
              <w:snapToGrid/>
              <w:spacing w:after="0"/>
              <w:rPr>
                <w:rFonts w:ascii="宋体" w:hAnsi="宋体" w:eastAsia="宋体" w:cs="Arial"/>
                <w:color w:val="000000"/>
                <w:sz w:val="24"/>
                <w:szCs w:val="24"/>
              </w:rPr>
            </w:pPr>
          </w:p>
        </w:tc>
        <w:tc>
          <w:tcPr>
            <w:tcW w:w="0" w:type="auto"/>
            <w:vMerge w:val="continue"/>
            <w:tcBorders>
              <w:top w:val="single" w:color="auto" w:sz="4" w:space="0"/>
              <w:left w:val="single" w:color="auto" w:sz="4" w:space="0"/>
              <w:bottom w:val="single" w:color="auto" w:sz="4" w:space="0"/>
              <w:right w:val="nil"/>
            </w:tcBorders>
            <w:vAlign w:val="center"/>
          </w:tcPr>
          <w:p w14:paraId="7FFFA63A">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7BFAED47">
            <w:pPr>
              <w:adjustRightInd/>
              <w:snapToGrid/>
              <w:spacing w:after="0"/>
              <w:rPr>
                <w:rFonts w:ascii="宋体" w:hAnsi="宋体" w:eastAsia="宋体" w:cs="Arial"/>
                <w:color w:val="000000"/>
                <w:sz w:val="24"/>
                <w:szCs w:val="24"/>
              </w:rPr>
            </w:pPr>
          </w:p>
        </w:tc>
        <w:tc>
          <w:tcPr>
            <w:tcW w:w="0" w:type="auto"/>
            <w:tcBorders>
              <w:top w:val="nil"/>
              <w:left w:val="nil"/>
              <w:bottom w:val="single" w:color="auto" w:sz="4" w:space="0"/>
              <w:right w:val="single" w:color="auto" w:sz="4" w:space="0"/>
            </w:tcBorders>
            <w:shd w:val="clear" w:color="auto" w:fill="auto"/>
            <w:vAlign w:val="center"/>
          </w:tcPr>
          <w:p w14:paraId="7B738119">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auto" w:sz="4" w:space="0"/>
              <w:right w:val="nil"/>
            </w:tcBorders>
            <w:shd w:val="clear" w:color="auto" w:fill="auto"/>
            <w:vAlign w:val="center"/>
          </w:tcPr>
          <w:p w14:paraId="5B40826B">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vMerge w:val="continue"/>
            <w:tcBorders>
              <w:top w:val="nil"/>
              <w:left w:val="single" w:color="auto" w:sz="4" w:space="0"/>
              <w:bottom w:val="single" w:color="000000" w:sz="4" w:space="0"/>
              <w:right w:val="single" w:color="auto" w:sz="4" w:space="0"/>
            </w:tcBorders>
            <w:vAlign w:val="center"/>
          </w:tcPr>
          <w:p w14:paraId="5BE07A58">
            <w:pPr>
              <w:adjustRightInd/>
              <w:snapToGrid/>
              <w:spacing w:after="0"/>
              <w:rPr>
                <w:rFonts w:ascii="宋体" w:hAnsi="宋体" w:eastAsia="宋体" w:cs="Arial"/>
                <w:color w:val="000000"/>
                <w:sz w:val="24"/>
                <w:szCs w:val="24"/>
              </w:rPr>
            </w:pP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65B5C2ED">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000000" w:sz="4" w:space="0"/>
              <w:right w:val="single" w:color="000000" w:sz="4" w:space="0"/>
            </w:tcBorders>
            <w:shd w:val="clear" w:color="auto" w:fill="auto"/>
            <w:vAlign w:val="center"/>
          </w:tcPr>
          <w:p w14:paraId="294598D4">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r>
      <w:tr w14:paraId="5B19E527">
        <w:tblPrEx>
          <w:tblCellMar>
            <w:top w:w="0" w:type="dxa"/>
            <w:left w:w="108" w:type="dxa"/>
            <w:bottom w:w="0" w:type="dxa"/>
            <w:right w:w="108" w:type="dxa"/>
          </w:tblCellMar>
        </w:tblPrEx>
        <w:trPr>
          <w:trHeight w:val="285" w:hRule="atLeast"/>
        </w:trPr>
        <w:tc>
          <w:tcPr>
            <w:tcW w:w="0" w:type="auto"/>
            <w:vMerge w:val="continue"/>
            <w:tcBorders>
              <w:top w:val="nil"/>
              <w:left w:val="single" w:color="000000" w:sz="4" w:space="0"/>
              <w:bottom w:val="single" w:color="000000" w:sz="4" w:space="0"/>
              <w:right w:val="single" w:color="000000" w:sz="4" w:space="0"/>
            </w:tcBorders>
            <w:vAlign w:val="center"/>
          </w:tcPr>
          <w:p w14:paraId="36969AF5">
            <w:pPr>
              <w:adjustRightInd/>
              <w:snapToGrid/>
              <w:spacing w:after="0"/>
              <w:rPr>
                <w:rFonts w:ascii="宋体" w:hAnsi="宋体" w:eastAsia="宋体" w:cs="Arial"/>
                <w:color w:val="000000"/>
                <w:sz w:val="24"/>
                <w:szCs w:val="24"/>
              </w:rPr>
            </w:pPr>
          </w:p>
        </w:tc>
        <w:tc>
          <w:tcPr>
            <w:tcW w:w="0" w:type="auto"/>
            <w:vMerge w:val="continue"/>
            <w:tcBorders>
              <w:top w:val="single" w:color="auto" w:sz="4" w:space="0"/>
              <w:left w:val="single" w:color="auto" w:sz="4" w:space="0"/>
              <w:bottom w:val="single" w:color="auto" w:sz="4" w:space="0"/>
              <w:right w:val="nil"/>
            </w:tcBorders>
            <w:vAlign w:val="center"/>
          </w:tcPr>
          <w:p w14:paraId="0DB72A64">
            <w:pPr>
              <w:adjustRightInd/>
              <w:snapToGrid/>
              <w:spacing w:after="0"/>
              <w:rPr>
                <w:rFonts w:ascii="宋体" w:hAnsi="宋体" w:eastAsia="宋体" w:cs="Arial"/>
                <w:color w:val="000000"/>
                <w:sz w:val="24"/>
                <w:szCs w:val="24"/>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1B5637EB">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成本指标</w:t>
            </w:r>
          </w:p>
        </w:tc>
        <w:tc>
          <w:tcPr>
            <w:tcW w:w="0" w:type="auto"/>
            <w:tcBorders>
              <w:top w:val="nil"/>
              <w:left w:val="nil"/>
              <w:bottom w:val="single" w:color="auto" w:sz="4" w:space="0"/>
              <w:right w:val="single" w:color="auto" w:sz="4" w:space="0"/>
            </w:tcBorders>
            <w:shd w:val="clear" w:color="auto" w:fill="auto"/>
            <w:vAlign w:val="center"/>
          </w:tcPr>
          <w:p w14:paraId="118DE44C">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进一步减少成本投资，规避风险</w:t>
            </w:r>
          </w:p>
        </w:tc>
        <w:tc>
          <w:tcPr>
            <w:tcW w:w="0" w:type="auto"/>
            <w:tcBorders>
              <w:top w:val="nil"/>
              <w:left w:val="nil"/>
              <w:bottom w:val="single" w:color="auto" w:sz="4" w:space="0"/>
              <w:right w:val="nil"/>
            </w:tcBorders>
            <w:shd w:val="clear" w:color="auto" w:fill="auto"/>
            <w:vAlign w:val="center"/>
          </w:tcPr>
          <w:p w14:paraId="77F2495F">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4万元</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74267A6E">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成本指标</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774CDE17">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进一步减少成本投资，规避风险</w:t>
            </w:r>
          </w:p>
        </w:tc>
        <w:tc>
          <w:tcPr>
            <w:tcW w:w="0" w:type="auto"/>
            <w:tcBorders>
              <w:top w:val="nil"/>
              <w:left w:val="nil"/>
              <w:bottom w:val="single" w:color="000000" w:sz="4" w:space="0"/>
              <w:right w:val="single" w:color="000000" w:sz="4" w:space="0"/>
            </w:tcBorders>
            <w:shd w:val="clear" w:color="auto" w:fill="auto"/>
            <w:vAlign w:val="center"/>
          </w:tcPr>
          <w:p w14:paraId="4B44B2C2">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4万元</w:t>
            </w:r>
          </w:p>
        </w:tc>
      </w:tr>
      <w:tr w14:paraId="3FA7A26C">
        <w:tblPrEx>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vAlign w:val="center"/>
          </w:tcPr>
          <w:p w14:paraId="4C5FF62D">
            <w:pPr>
              <w:adjustRightInd/>
              <w:snapToGrid/>
              <w:spacing w:after="0"/>
              <w:rPr>
                <w:rFonts w:ascii="宋体" w:hAnsi="宋体" w:eastAsia="宋体" w:cs="Arial"/>
                <w:color w:val="000000"/>
                <w:sz w:val="24"/>
                <w:szCs w:val="24"/>
              </w:rPr>
            </w:pPr>
          </w:p>
        </w:tc>
        <w:tc>
          <w:tcPr>
            <w:tcW w:w="0" w:type="auto"/>
            <w:vMerge w:val="continue"/>
            <w:tcBorders>
              <w:top w:val="single" w:color="auto" w:sz="4" w:space="0"/>
              <w:left w:val="single" w:color="auto" w:sz="4" w:space="0"/>
              <w:bottom w:val="single" w:color="auto" w:sz="4" w:space="0"/>
              <w:right w:val="nil"/>
            </w:tcBorders>
            <w:vAlign w:val="center"/>
          </w:tcPr>
          <w:p w14:paraId="23F26B47">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1C87CC87">
            <w:pPr>
              <w:adjustRightInd/>
              <w:snapToGrid/>
              <w:spacing w:after="0"/>
              <w:rPr>
                <w:rFonts w:ascii="宋体" w:hAnsi="宋体" w:eastAsia="宋体" w:cs="Arial"/>
                <w:color w:val="000000"/>
                <w:sz w:val="24"/>
                <w:szCs w:val="24"/>
              </w:rPr>
            </w:pPr>
          </w:p>
        </w:tc>
        <w:tc>
          <w:tcPr>
            <w:tcW w:w="0" w:type="auto"/>
            <w:tcBorders>
              <w:top w:val="nil"/>
              <w:left w:val="nil"/>
              <w:bottom w:val="nil"/>
              <w:right w:val="nil"/>
            </w:tcBorders>
            <w:shd w:val="clear" w:color="auto" w:fill="auto"/>
            <w:noWrap/>
            <w:vAlign w:val="bottom"/>
          </w:tcPr>
          <w:p w14:paraId="6E9D322F">
            <w:pPr>
              <w:adjustRightInd/>
              <w:snapToGrid/>
              <w:spacing w:after="0"/>
              <w:rPr>
                <w:rFonts w:ascii="Arial" w:hAnsi="Arial" w:eastAsia="宋体" w:cs="Arial"/>
                <w:sz w:val="24"/>
                <w:szCs w:val="24"/>
              </w:rPr>
            </w:pPr>
          </w:p>
        </w:tc>
        <w:tc>
          <w:tcPr>
            <w:tcW w:w="0" w:type="auto"/>
            <w:tcBorders>
              <w:top w:val="nil"/>
              <w:left w:val="single" w:color="auto" w:sz="4" w:space="0"/>
              <w:bottom w:val="single" w:color="auto" w:sz="4" w:space="0"/>
              <w:right w:val="nil"/>
            </w:tcBorders>
            <w:shd w:val="clear" w:color="auto" w:fill="auto"/>
            <w:vAlign w:val="center"/>
          </w:tcPr>
          <w:p w14:paraId="01A15A1F">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vMerge w:val="continue"/>
            <w:tcBorders>
              <w:top w:val="nil"/>
              <w:left w:val="single" w:color="auto" w:sz="4" w:space="0"/>
              <w:bottom w:val="single" w:color="000000" w:sz="4" w:space="0"/>
              <w:right w:val="single" w:color="auto" w:sz="4" w:space="0"/>
            </w:tcBorders>
            <w:vAlign w:val="center"/>
          </w:tcPr>
          <w:p w14:paraId="3DCA3C99">
            <w:pPr>
              <w:adjustRightInd/>
              <w:snapToGrid/>
              <w:spacing w:after="0"/>
              <w:rPr>
                <w:rFonts w:ascii="宋体" w:hAnsi="宋体" w:eastAsia="宋体" w:cs="Arial"/>
                <w:color w:val="000000"/>
                <w:sz w:val="24"/>
                <w:szCs w:val="24"/>
              </w:rPr>
            </w:pPr>
          </w:p>
        </w:tc>
        <w:tc>
          <w:tcPr>
            <w:tcW w:w="0" w:type="auto"/>
            <w:gridSpan w:val="2"/>
            <w:tcBorders>
              <w:top w:val="single" w:color="auto" w:sz="4" w:space="0"/>
              <w:left w:val="nil"/>
              <w:bottom w:val="single" w:color="000000" w:sz="4" w:space="0"/>
              <w:right w:val="single" w:color="000000" w:sz="4" w:space="0"/>
            </w:tcBorders>
            <w:shd w:val="clear" w:color="auto" w:fill="auto"/>
            <w:vAlign w:val="center"/>
          </w:tcPr>
          <w:p w14:paraId="1C7D30B1">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000000" w:sz="4" w:space="0"/>
              <w:right w:val="single" w:color="000000" w:sz="4" w:space="0"/>
            </w:tcBorders>
            <w:shd w:val="clear" w:color="auto" w:fill="auto"/>
            <w:vAlign w:val="center"/>
          </w:tcPr>
          <w:p w14:paraId="52BFEB8A">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r>
      <w:tr w14:paraId="4D731AF8">
        <w:tblPrEx>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vAlign w:val="center"/>
          </w:tcPr>
          <w:p w14:paraId="31A1FD72">
            <w:pPr>
              <w:adjustRightInd/>
              <w:snapToGrid/>
              <w:spacing w:after="0"/>
              <w:rPr>
                <w:rFonts w:ascii="宋体" w:hAnsi="宋体" w:eastAsia="宋体" w:cs="Arial"/>
                <w:color w:val="000000"/>
                <w:sz w:val="24"/>
                <w:szCs w:val="24"/>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1BCAA07D">
            <w:pPr>
              <w:adjustRightInd/>
              <w:snapToGrid/>
              <w:spacing w:after="0"/>
              <w:jc w:val="center"/>
              <w:rPr>
                <w:rFonts w:ascii="Arial" w:hAnsi="Arial" w:eastAsia="宋体" w:cs="Arial"/>
                <w:sz w:val="24"/>
                <w:szCs w:val="24"/>
              </w:rPr>
            </w:pPr>
            <w:r>
              <w:rPr>
                <w:rFonts w:ascii="Arial" w:hAnsi="Arial" w:eastAsia="宋体" w:cs="Arial"/>
                <w:sz w:val="24"/>
                <w:szCs w:val="24"/>
              </w:rPr>
              <w:t>　</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375AFF60">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社会效益指标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A83050E">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维持全区公共资源交易的稳定发展</w:t>
            </w:r>
          </w:p>
        </w:tc>
        <w:tc>
          <w:tcPr>
            <w:tcW w:w="0" w:type="auto"/>
            <w:tcBorders>
              <w:top w:val="nil"/>
              <w:left w:val="nil"/>
              <w:bottom w:val="single" w:color="000000" w:sz="4" w:space="0"/>
              <w:right w:val="single" w:color="000000" w:sz="4" w:space="0"/>
            </w:tcBorders>
            <w:shd w:val="clear" w:color="auto" w:fill="auto"/>
            <w:vAlign w:val="center"/>
          </w:tcPr>
          <w:p w14:paraId="62A2AC8B">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100%</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31298BB6">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社会效益指标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4332CEE">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维持全区公共资源交易的稳定发展</w:t>
            </w:r>
          </w:p>
        </w:tc>
        <w:tc>
          <w:tcPr>
            <w:tcW w:w="0" w:type="auto"/>
            <w:tcBorders>
              <w:top w:val="nil"/>
              <w:left w:val="nil"/>
              <w:bottom w:val="single" w:color="000000" w:sz="4" w:space="0"/>
              <w:right w:val="single" w:color="000000" w:sz="4" w:space="0"/>
            </w:tcBorders>
            <w:shd w:val="clear" w:color="auto" w:fill="auto"/>
            <w:vAlign w:val="center"/>
          </w:tcPr>
          <w:p w14:paraId="5AC7860A">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100%</w:t>
            </w:r>
          </w:p>
        </w:tc>
      </w:tr>
      <w:tr w14:paraId="7B8911EA">
        <w:tblPrEx>
          <w:tblCellMar>
            <w:top w:w="0" w:type="dxa"/>
            <w:left w:w="108" w:type="dxa"/>
            <w:bottom w:w="0" w:type="dxa"/>
            <w:right w:w="108" w:type="dxa"/>
          </w:tblCellMar>
        </w:tblPrEx>
        <w:trPr>
          <w:trHeight w:val="285" w:hRule="atLeast"/>
        </w:trPr>
        <w:tc>
          <w:tcPr>
            <w:tcW w:w="0" w:type="auto"/>
            <w:vMerge w:val="continue"/>
            <w:tcBorders>
              <w:top w:val="nil"/>
              <w:left w:val="single" w:color="000000" w:sz="4" w:space="0"/>
              <w:bottom w:val="single" w:color="000000" w:sz="4" w:space="0"/>
              <w:right w:val="single" w:color="000000" w:sz="4" w:space="0"/>
            </w:tcBorders>
            <w:vAlign w:val="center"/>
          </w:tcPr>
          <w:p w14:paraId="3C2D5262">
            <w:pPr>
              <w:adjustRightInd/>
              <w:snapToGrid/>
              <w:spacing w:after="0"/>
              <w:rPr>
                <w:rFonts w:ascii="宋体" w:hAnsi="宋体" w:eastAsia="宋体" w:cs="Arial"/>
                <w:color w:val="000000"/>
                <w:sz w:val="24"/>
                <w:szCs w:val="24"/>
              </w:rPr>
            </w:pPr>
          </w:p>
        </w:tc>
        <w:tc>
          <w:tcPr>
            <w:tcW w:w="0" w:type="auto"/>
            <w:vMerge w:val="continue"/>
            <w:tcBorders>
              <w:top w:val="nil"/>
              <w:left w:val="single" w:color="000000" w:sz="4" w:space="0"/>
              <w:bottom w:val="single" w:color="000000" w:sz="4" w:space="0"/>
              <w:right w:val="single" w:color="000000" w:sz="4" w:space="0"/>
            </w:tcBorders>
            <w:vAlign w:val="center"/>
          </w:tcPr>
          <w:p w14:paraId="04D8E8F9">
            <w:pPr>
              <w:adjustRightInd/>
              <w:snapToGrid/>
              <w:spacing w:after="0"/>
              <w:rPr>
                <w:rFonts w:ascii="Arial" w:hAnsi="Arial" w:eastAsia="宋体" w:cs="Arial"/>
                <w:sz w:val="24"/>
                <w:szCs w:val="24"/>
              </w:rPr>
            </w:pPr>
          </w:p>
        </w:tc>
        <w:tc>
          <w:tcPr>
            <w:tcW w:w="0" w:type="auto"/>
            <w:vMerge w:val="continue"/>
            <w:tcBorders>
              <w:top w:val="nil"/>
              <w:left w:val="single" w:color="000000" w:sz="4" w:space="0"/>
              <w:bottom w:val="single" w:color="000000" w:sz="4" w:space="0"/>
              <w:right w:val="single" w:color="000000" w:sz="4" w:space="0"/>
            </w:tcBorders>
            <w:vAlign w:val="center"/>
          </w:tcPr>
          <w:p w14:paraId="2745F65C">
            <w:pPr>
              <w:adjustRightInd/>
              <w:snapToGrid/>
              <w:spacing w:after="0"/>
              <w:rPr>
                <w:rFonts w:ascii="宋体" w:hAnsi="宋体" w:eastAsia="宋体" w:cs="Arial"/>
                <w:color w:val="000000"/>
                <w:sz w:val="24"/>
                <w:szCs w:val="24"/>
              </w:rPr>
            </w:pPr>
          </w:p>
        </w:tc>
        <w:tc>
          <w:tcPr>
            <w:tcW w:w="0" w:type="auto"/>
            <w:tcBorders>
              <w:top w:val="nil"/>
              <w:left w:val="nil"/>
              <w:bottom w:val="single" w:color="000000" w:sz="4" w:space="0"/>
              <w:right w:val="single" w:color="000000" w:sz="4" w:space="0"/>
            </w:tcBorders>
            <w:shd w:val="clear" w:color="auto" w:fill="auto"/>
            <w:vAlign w:val="center"/>
          </w:tcPr>
          <w:p w14:paraId="7235CE19">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000000" w:sz="4" w:space="0"/>
              <w:right w:val="single" w:color="000000" w:sz="4" w:space="0"/>
            </w:tcBorders>
            <w:shd w:val="clear" w:color="auto" w:fill="auto"/>
            <w:vAlign w:val="center"/>
          </w:tcPr>
          <w:p w14:paraId="5C60242F">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vMerge w:val="continue"/>
            <w:tcBorders>
              <w:top w:val="nil"/>
              <w:left w:val="single" w:color="000000" w:sz="4" w:space="0"/>
              <w:bottom w:val="single" w:color="000000" w:sz="4" w:space="0"/>
              <w:right w:val="single" w:color="000000" w:sz="4" w:space="0"/>
            </w:tcBorders>
            <w:vAlign w:val="center"/>
          </w:tcPr>
          <w:p w14:paraId="694F08A7">
            <w:pPr>
              <w:adjustRightInd/>
              <w:snapToGrid/>
              <w:spacing w:after="0"/>
              <w:rPr>
                <w:rFonts w:ascii="宋体" w:hAnsi="宋体" w:eastAsia="宋体" w:cs="Arial"/>
                <w:color w:val="000000"/>
                <w:sz w:val="24"/>
                <w:szCs w:val="24"/>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9334E7C">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000000" w:sz="4" w:space="0"/>
              <w:right w:val="single" w:color="000000" w:sz="4" w:space="0"/>
            </w:tcBorders>
            <w:shd w:val="clear" w:color="auto" w:fill="auto"/>
            <w:vAlign w:val="center"/>
          </w:tcPr>
          <w:p w14:paraId="4D9F1531">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r>
      <w:tr w14:paraId="5CCD99B0">
        <w:tblPrEx>
          <w:tblCellMar>
            <w:top w:w="0" w:type="dxa"/>
            <w:left w:w="108" w:type="dxa"/>
            <w:bottom w:w="0" w:type="dxa"/>
            <w:right w:w="108" w:type="dxa"/>
          </w:tblCellMar>
        </w:tblPrEx>
        <w:trPr>
          <w:trHeight w:val="402" w:hRule="atLeast"/>
        </w:trPr>
        <w:tc>
          <w:tcPr>
            <w:tcW w:w="0" w:type="auto"/>
            <w:vMerge w:val="continue"/>
            <w:tcBorders>
              <w:top w:val="nil"/>
              <w:left w:val="single" w:color="000000" w:sz="4" w:space="0"/>
              <w:bottom w:val="single" w:color="000000" w:sz="4" w:space="0"/>
              <w:right w:val="single" w:color="000000" w:sz="4" w:space="0"/>
            </w:tcBorders>
            <w:vAlign w:val="center"/>
          </w:tcPr>
          <w:p w14:paraId="3351A2C5">
            <w:pPr>
              <w:adjustRightInd/>
              <w:snapToGrid/>
              <w:spacing w:after="0"/>
              <w:rPr>
                <w:rFonts w:ascii="宋体" w:hAnsi="宋体" w:eastAsia="宋体" w:cs="Arial"/>
                <w:color w:val="000000"/>
                <w:sz w:val="24"/>
                <w:szCs w:val="24"/>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29DC2A24">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满意度指标</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3483E4F9">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服务对象满意度指标</w:t>
            </w:r>
          </w:p>
        </w:tc>
        <w:tc>
          <w:tcPr>
            <w:tcW w:w="0" w:type="auto"/>
            <w:tcBorders>
              <w:top w:val="nil"/>
              <w:left w:val="nil"/>
              <w:bottom w:val="single" w:color="000000" w:sz="4" w:space="0"/>
              <w:right w:val="single" w:color="000000" w:sz="4" w:space="0"/>
            </w:tcBorders>
            <w:shd w:val="clear" w:color="auto" w:fill="auto"/>
            <w:vAlign w:val="center"/>
          </w:tcPr>
          <w:p w14:paraId="0696A47C">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保障服务对象满意</w:t>
            </w:r>
          </w:p>
        </w:tc>
        <w:tc>
          <w:tcPr>
            <w:tcW w:w="0" w:type="auto"/>
            <w:tcBorders>
              <w:top w:val="nil"/>
              <w:left w:val="nil"/>
              <w:bottom w:val="single" w:color="000000" w:sz="4" w:space="0"/>
              <w:right w:val="single" w:color="000000" w:sz="4" w:space="0"/>
            </w:tcBorders>
            <w:shd w:val="clear" w:color="auto" w:fill="auto"/>
            <w:vAlign w:val="center"/>
          </w:tcPr>
          <w:p w14:paraId="17EEBB5E">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95%</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37B9D0F3">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服务对象满意度指标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17C6E40">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保障服务对象满意</w:t>
            </w:r>
          </w:p>
        </w:tc>
        <w:tc>
          <w:tcPr>
            <w:tcW w:w="0" w:type="auto"/>
            <w:tcBorders>
              <w:top w:val="nil"/>
              <w:left w:val="nil"/>
              <w:bottom w:val="single" w:color="000000" w:sz="4" w:space="0"/>
              <w:right w:val="single" w:color="000000" w:sz="4" w:space="0"/>
            </w:tcBorders>
            <w:shd w:val="clear" w:color="auto" w:fill="auto"/>
            <w:vAlign w:val="center"/>
          </w:tcPr>
          <w:p w14:paraId="6C5F0A61">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95%</w:t>
            </w:r>
          </w:p>
        </w:tc>
      </w:tr>
      <w:tr w14:paraId="4225C36C">
        <w:tblPrEx>
          <w:tblCellMar>
            <w:top w:w="0" w:type="dxa"/>
            <w:left w:w="108" w:type="dxa"/>
            <w:bottom w:w="0" w:type="dxa"/>
            <w:right w:w="108" w:type="dxa"/>
          </w:tblCellMar>
        </w:tblPrEx>
        <w:trPr>
          <w:trHeight w:val="630" w:hRule="atLeast"/>
        </w:trPr>
        <w:tc>
          <w:tcPr>
            <w:tcW w:w="0" w:type="auto"/>
            <w:vMerge w:val="continue"/>
            <w:tcBorders>
              <w:top w:val="nil"/>
              <w:left w:val="single" w:color="000000" w:sz="4" w:space="0"/>
              <w:bottom w:val="single" w:color="000000" w:sz="4" w:space="0"/>
              <w:right w:val="single" w:color="000000" w:sz="4" w:space="0"/>
            </w:tcBorders>
            <w:vAlign w:val="center"/>
          </w:tcPr>
          <w:p w14:paraId="786CBA85">
            <w:pPr>
              <w:adjustRightInd/>
              <w:snapToGrid/>
              <w:spacing w:after="0"/>
              <w:rPr>
                <w:rFonts w:ascii="宋体" w:hAnsi="宋体" w:eastAsia="宋体" w:cs="Arial"/>
                <w:color w:val="000000"/>
                <w:sz w:val="24"/>
                <w:szCs w:val="24"/>
              </w:rPr>
            </w:pPr>
          </w:p>
        </w:tc>
        <w:tc>
          <w:tcPr>
            <w:tcW w:w="0" w:type="auto"/>
            <w:vMerge w:val="continue"/>
            <w:tcBorders>
              <w:top w:val="nil"/>
              <w:left w:val="single" w:color="000000" w:sz="4" w:space="0"/>
              <w:bottom w:val="single" w:color="000000" w:sz="4" w:space="0"/>
              <w:right w:val="single" w:color="000000" w:sz="4" w:space="0"/>
            </w:tcBorders>
            <w:vAlign w:val="center"/>
          </w:tcPr>
          <w:p w14:paraId="798C55B3">
            <w:pPr>
              <w:adjustRightInd/>
              <w:snapToGrid/>
              <w:spacing w:after="0"/>
              <w:rPr>
                <w:rFonts w:ascii="宋体" w:hAnsi="宋体" w:eastAsia="宋体" w:cs="Arial"/>
                <w:color w:val="000000"/>
                <w:sz w:val="24"/>
                <w:szCs w:val="24"/>
              </w:rPr>
            </w:pPr>
          </w:p>
        </w:tc>
        <w:tc>
          <w:tcPr>
            <w:tcW w:w="0" w:type="auto"/>
            <w:vMerge w:val="continue"/>
            <w:tcBorders>
              <w:top w:val="nil"/>
              <w:left w:val="single" w:color="000000" w:sz="4" w:space="0"/>
              <w:bottom w:val="single" w:color="000000" w:sz="4" w:space="0"/>
              <w:right w:val="single" w:color="000000" w:sz="4" w:space="0"/>
            </w:tcBorders>
            <w:vAlign w:val="center"/>
          </w:tcPr>
          <w:p w14:paraId="01F554DC">
            <w:pPr>
              <w:adjustRightInd/>
              <w:snapToGrid/>
              <w:spacing w:after="0"/>
              <w:rPr>
                <w:rFonts w:ascii="宋体" w:hAnsi="宋体" w:eastAsia="宋体" w:cs="Arial"/>
                <w:color w:val="000000"/>
                <w:sz w:val="24"/>
                <w:szCs w:val="24"/>
              </w:rPr>
            </w:pPr>
          </w:p>
        </w:tc>
        <w:tc>
          <w:tcPr>
            <w:tcW w:w="0" w:type="auto"/>
            <w:tcBorders>
              <w:top w:val="nil"/>
              <w:left w:val="nil"/>
              <w:bottom w:val="single" w:color="000000" w:sz="4" w:space="0"/>
              <w:right w:val="single" w:color="000000" w:sz="4" w:space="0"/>
            </w:tcBorders>
            <w:shd w:val="clear" w:color="auto" w:fill="auto"/>
            <w:vAlign w:val="center"/>
          </w:tcPr>
          <w:p w14:paraId="4A7723BB">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000000" w:sz="4" w:space="0"/>
              <w:right w:val="single" w:color="000000" w:sz="4" w:space="0"/>
            </w:tcBorders>
            <w:shd w:val="clear" w:color="auto" w:fill="auto"/>
            <w:vAlign w:val="center"/>
          </w:tcPr>
          <w:p w14:paraId="5E2E14E2">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vMerge w:val="continue"/>
            <w:tcBorders>
              <w:top w:val="nil"/>
              <w:left w:val="single" w:color="000000" w:sz="4" w:space="0"/>
              <w:bottom w:val="single" w:color="000000" w:sz="4" w:space="0"/>
              <w:right w:val="single" w:color="000000" w:sz="4" w:space="0"/>
            </w:tcBorders>
            <w:vAlign w:val="center"/>
          </w:tcPr>
          <w:p w14:paraId="7A240C32">
            <w:pPr>
              <w:adjustRightInd/>
              <w:snapToGrid/>
              <w:spacing w:after="0"/>
              <w:rPr>
                <w:rFonts w:ascii="宋体" w:hAnsi="宋体" w:eastAsia="宋体" w:cs="Arial"/>
                <w:color w:val="000000"/>
                <w:sz w:val="24"/>
                <w:szCs w:val="24"/>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2B63CFD7">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000000" w:sz="4" w:space="0"/>
              <w:right w:val="single" w:color="000000" w:sz="4" w:space="0"/>
            </w:tcBorders>
            <w:shd w:val="clear" w:color="auto" w:fill="auto"/>
            <w:vAlign w:val="center"/>
          </w:tcPr>
          <w:p w14:paraId="640F5CAA">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r>
      <w:tr w14:paraId="52CE6CBC">
        <w:tblPrEx>
          <w:tblCellMar>
            <w:top w:w="0" w:type="dxa"/>
            <w:left w:w="108" w:type="dxa"/>
            <w:bottom w:w="0" w:type="dxa"/>
            <w:right w:w="108" w:type="dxa"/>
          </w:tblCellMar>
        </w:tblPrEx>
        <w:trPr>
          <w:trHeight w:val="11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80198">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单位已有的保障项目实施的制度措施</w:t>
            </w:r>
          </w:p>
        </w:tc>
        <w:tc>
          <w:tcPr>
            <w:tcW w:w="0" w:type="auto"/>
            <w:gridSpan w:val="7"/>
            <w:tcBorders>
              <w:top w:val="single" w:color="000000" w:sz="4" w:space="0"/>
              <w:left w:val="nil"/>
              <w:bottom w:val="single" w:color="000000" w:sz="4" w:space="0"/>
              <w:right w:val="single" w:color="000000" w:sz="4" w:space="0"/>
            </w:tcBorders>
            <w:shd w:val="clear" w:color="auto" w:fill="auto"/>
            <w:vAlign w:val="center"/>
          </w:tcPr>
          <w:p w14:paraId="0A52A4D7">
            <w:pPr>
              <w:adjustRightInd/>
              <w:snapToGrid/>
              <w:spacing w:after="0"/>
              <w:rPr>
                <w:rFonts w:ascii="宋体" w:hAnsi="宋体" w:eastAsia="宋体" w:cs="Arial"/>
                <w:sz w:val="24"/>
                <w:szCs w:val="24"/>
              </w:rPr>
            </w:pPr>
            <w:r>
              <w:rPr>
                <w:rFonts w:hint="eastAsia" w:ascii="宋体" w:hAnsi="宋体" w:eastAsia="宋体" w:cs="Arial"/>
                <w:sz w:val="24"/>
                <w:szCs w:val="24"/>
              </w:rPr>
              <w:t>其他证明文件</w:t>
            </w:r>
          </w:p>
        </w:tc>
      </w:tr>
      <w:tr w14:paraId="53B1CE51">
        <w:tblPrEx>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C3BCE">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预算绩效说明</w:t>
            </w:r>
          </w:p>
        </w:tc>
        <w:tc>
          <w:tcPr>
            <w:tcW w:w="0" w:type="auto"/>
            <w:gridSpan w:val="7"/>
            <w:tcBorders>
              <w:top w:val="single" w:color="000000" w:sz="4" w:space="0"/>
              <w:left w:val="nil"/>
              <w:bottom w:val="single" w:color="000000" w:sz="4" w:space="0"/>
              <w:right w:val="single" w:color="000000" w:sz="4" w:space="0"/>
            </w:tcBorders>
            <w:shd w:val="clear" w:color="auto" w:fill="auto"/>
            <w:vAlign w:val="center"/>
          </w:tcPr>
          <w:p w14:paraId="5D153F06">
            <w:pPr>
              <w:adjustRightInd/>
              <w:snapToGrid/>
              <w:spacing w:after="0"/>
              <w:rPr>
                <w:rFonts w:ascii="宋体" w:hAnsi="宋体" w:eastAsia="宋体" w:cs="Arial"/>
                <w:sz w:val="24"/>
                <w:szCs w:val="24"/>
              </w:rPr>
            </w:pPr>
            <w:r>
              <w:rPr>
                <w:rFonts w:hint="eastAsia" w:ascii="宋体" w:hAnsi="宋体" w:eastAsia="宋体" w:cs="Arial"/>
                <w:sz w:val="24"/>
                <w:szCs w:val="24"/>
              </w:rPr>
              <w:t>负责监督辖区内公共资源经营活动、各行业主管部门职责履行及区属公共资源交易活动的投诉处理。做到有法可依违法必追。</w:t>
            </w:r>
          </w:p>
        </w:tc>
      </w:tr>
      <w:tr w14:paraId="288DCE2F">
        <w:tblPrEx>
          <w:tblCellMar>
            <w:top w:w="0" w:type="dxa"/>
            <w:left w:w="108" w:type="dxa"/>
            <w:bottom w:w="0" w:type="dxa"/>
            <w:right w:w="108" w:type="dxa"/>
          </w:tblCellMar>
        </w:tblPrEx>
        <w:trPr>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DA71A">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单位负责人：</w:t>
            </w:r>
          </w:p>
        </w:tc>
        <w:tc>
          <w:tcPr>
            <w:tcW w:w="0" w:type="auto"/>
            <w:tcBorders>
              <w:top w:val="nil"/>
              <w:left w:val="nil"/>
              <w:bottom w:val="single" w:color="000000" w:sz="4" w:space="0"/>
              <w:right w:val="single" w:color="000000" w:sz="4" w:space="0"/>
            </w:tcBorders>
            <w:shd w:val="clear" w:color="auto" w:fill="auto"/>
            <w:vAlign w:val="center"/>
          </w:tcPr>
          <w:p w14:paraId="0E7B20B3">
            <w:pPr>
              <w:adjustRightInd/>
              <w:snapToGrid/>
              <w:spacing w:after="0"/>
              <w:jc w:val="center"/>
              <w:rPr>
                <w:rFonts w:ascii="宋体" w:hAnsi="宋体" w:eastAsia="宋体" w:cs="Arial"/>
                <w:sz w:val="24"/>
                <w:szCs w:val="24"/>
              </w:rPr>
            </w:pPr>
            <w:r>
              <w:rPr>
                <w:rFonts w:hint="eastAsia" w:ascii="宋体" w:hAnsi="宋体" w:eastAsia="宋体" w:cs="Arial"/>
                <w:sz w:val="24"/>
                <w:szCs w:val="24"/>
              </w:rPr>
              <w:t>李济留</w:t>
            </w:r>
          </w:p>
        </w:tc>
        <w:tc>
          <w:tcPr>
            <w:tcW w:w="0" w:type="auto"/>
            <w:tcBorders>
              <w:top w:val="nil"/>
              <w:left w:val="nil"/>
              <w:bottom w:val="single" w:color="000000" w:sz="4" w:space="0"/>
              <w:right w:val="single" w:color="000000" w:sz="4" w:space="0"/>
            </w:tcBorders>
            <w:shd w:val="clear" w:color="auto" w:fill="auto"/>
            <w:noWrap/>
            <w:vAlign w:val="center"/>
          </w:tcPr>
          <w:p w14:paraId="7BBCA606">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填报人：</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BA581B7">
            <w:pPr>
              <w:adjustRightInd/>
              <w:snapToGrid/>
              <w:spacing w:after="0"/>
              <w:jc w:val="center"/>
              <w:rPr>
                <w:rFonts w:ascii="宋体" w:hAnsi="宋体" w:eastAsia="宋体" w:cs="Arial"/>
                <w:sz w:val="24"/>
                <w:szCs w:val="24"/>
              </w:rPr>
            </w:pPr>
            <w:r>
              <w:rPr>
                <w:rFonts w:hint="eastAsia" w:ascii="宋体" w:hAnsi="宋体" w:eastAsia="宋体" w:cs="Arial"/>
                <w:sz w:val="24"/>
                <w:szCs w:val="24"/>
              </w:rPr>
              <w:t>徐雪飞</w:t>
            </w:r>
          </w:p>
        </w:tc>
        <w:tc>
          <w:tcPr>
            <w:tcW w:w="0" w:type="auto"/>
            <w:tcBorders>
              <w:top w:val="nil"/>
              <w:left w:val="nil"/>
              <w:bottom w:val="single" w:color="000000" w:sz="4" w:space="0"/>
              <w:right w:val="single" w:color="000000" w:sz="4" w:space="0"/>
            </w:tcBorders>
            <w:shd w:val="clear" w:color="auto" w:fill="auto"/>
            <w:noWrap/>
            <w:vAlign w:val="center"/>
          </w:tcPr>
          <w:p w14:paraId="561FBF96">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填报日期：</w:t>
            </w:r>
          </w:p>
        </w:tc>
        <w:tc>
          <w:tcPr>
            <w:tcW w:w="0" w:type="auto"/>
            <w:tcBorders>
              <w:top w:val="nil"/>
              <w:left w:val="nil"/>
              <w:bottom w:val="single" w:color="000000" w:sz="4" w:space="0"/>
              <w:right w:val="single" w:color="000000" w:sz="4" w:space="0"/>
            </w:tcBorders>
            <w:shd w:val="clear" w:color="auto" w:fill="auto"/>
            <w:vAlign w:val="center"/>
          </w:tcPr>
          <w:p w14:paraId="222EF533">
            <w:pPr>
              <w:adjustRightInd/>
              <w:snapToGrid/>
              <w:spacing w:after="0"/>
              <w:jc w:val="center"/>
              <w:rPr>
                <w:rFonts w:ascii="Arial" w:hAnsi="Arial" w:eastAsia="宋体" w:cs="Arial"/>
                <w:sz w:val="24"/>
                <w:szCs w:val="24"/>
              </w:rPr>
            </w:pPr>
            <w:r>
              <w:rPr>
                <w:rFonts w:ascii="Arial" w:hAnsi="Arial" w:eastAsia="宋体" w:cs="Arial"/>
                <w:sz w:val="24"/>
                <w:szCs w:val="24"/>
              </w:rPr>
              <w:t>2020/02/16</w:t>
            </w:r>
          </w:p>
        </w:tc>
      </w:tr>
    </w:tbl>
    <w:p w14:paraId="559A0987">
      <w:pPr>
        <w:adjustRightInd/>
        <w:snapToGrid/>
        <w:spacing w:after="0"/>
        <w:rPr>
          <w:rFonts w:hint="eastAsia" w:ascii="黑体" w:hAnsi="黑体" w:eastAsia="黑体" w:cs="黑体"/>
          <w:sz w:val="30"/>
          <w:szCs w:val="30"/>
        </w:rPr>
      </w:pPr>
    </w:p>
    <w:p w14:paraId="393CB12C">
      <w:pPr>
        <w:ind w:left="600"/>
        <w:rPr>
          <w:rFonts w:hint="eastAsia" w:ascii="黑体" w:hAnsi="黑体" w:eastAsia="黑体" w:cs="黑体"/>
          <w:sz w:val="30"/>
          <w:szCs w:val="30"/>
        </w:rPr>
      </w:pPr>
    </w:p>
    <w:p w14:paraId="45889294">
      <w:pPr>
        <w:spacing w:line="220" w:lineRule="atLeast"/>
      </w:pPr>
    </w:p>
    <w:p w14:paraId="77031AEF">
      <w:pPr>
        <w:spacing w:line="220" w:lineRule="atLeast"/>
      </w:pPr>
    </w:p>
    <w:sectPr>
      <w:headerReference r:id="rId5" w:type="default"/>
      <w:headerReference r:id="rId6" w:type="even"/>
      <w:pgSz w:w="11906" w:h="16838"/>
      <w:pgMar w:top="1247"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49E7">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DEDF">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7443D"/>
    <w:multiLevelType w:val="multilevel"/>
    <w:tmpl w:val="1747443D"/>
    <w:lvl w:ilvl="0" w:tentative="0">
      <w:start w:val="8"/>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4B3C03E8"/>
    <w:multiLevelType w:val="multilevel"/>
    <w:tmpl w:val="4B3C03E8"/>
    <w:lvl w:ilvl="0" w:tentative="0">
      <w:start w:val="7"/>
      <w:numFmt w:val="japaneseCounting"/>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2">
    <w:nsid w:val="650CB686"/>
    <w:multiLevelType w:val="singleLevel"/>
    <w:tmpl w:val="650CB686"/>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9925C9"/>
    <w:rsid w:val="00CF7963"/>
    <w:rsid w:val="00D31D50"/>
    <w:rsid w:val="2BB0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1096</Words>
  <Characters>1215</Characters>
  <Lines>10</Lines>
  <Paragraphs>2</Paragraphs>
  <TotalTime>5</TotalTime>
  <ScaleCrop>false</ScaleCrop>
  <LinksUpToDate>false</LinksUpToDate>
  <CharactersWithSpaces>1276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Administrator.DESKTOP-T0L1PBS</dc:creator>
  <cp:lastModifiedBy>banda</cp:lastModifiedBy>
  <dcterms:modified xsi:type="dcterms:W3CDTF">2025-06-23T08:53:01Z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eyJoZGlkIjoiOGM5OTZjYmM4YzYzZTA5N2MwMjIzNWI5ZWUwNThjMjciLCJ1c2VySWQiOiIyNDQ0NjcxNTUifQ==</vt:lpwstr>
  </property>
  <property fmtid="{D5CDD505-2E9C-101B-9397-08002B2CF9AE}" pid="3" name="KSOProductBuildVer">
    <vt:lpwstr>2052-12.1.0.21541</vt:lpwstr>
  </property>
  <property fmtid="{D5CDD505-2E9C-101B-9397-08002B2CF9AE}" pid="4" name="ICV">
    <vt:lpwstr>F8F41C191EB24C029F4B377E5F1A2645_13</vt:lpwstr>
  </property>
</Properties>
</file>