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63"/>
        <w:pBdr/>
        <w:spacing/>
        <w:ind/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 xml:space="preserve">监督索引号53011400376200000</w:t>
      </w:r>
      <w:r>
        <w:rPr>
          <w:rFonts w:ascii="Arial" w:hAnsi="Arial" w:eastAsia="Arial" w:cs="Arial"/>
          <w:b/>
          <w:sz w:val="36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0" w:lineRule="atLeast"/>
        <w:ind w:right="0" w:firstLine="0" w:left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2023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0" w:lineRule="atLeast"/>
        <w:ind w:right="0" w:firstLine="0" w:left="0"/>
        <w:jc w:val="center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预算公开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目录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70" w:lineRule="exact"/>
        <w:ind w:right="0" w:firstLine="0" w:left="0"/>
        <w:jc w:val="left"/>
        <w:outlineLvl w:val="9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</w:r>
      <w:r>
        <w:rPr>
          <w:rFonts w:ascii="Times New Roman" w:hAnsi="Times New Roman" w:eastAsia="黑体" w:cs="Times New Roman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60" w:lineRule="exact"/>
        <w:ind w:right="0" w:firstLine="0" w:left="0"/>
        <w:jc w:val="left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第一部分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昆明市呈贡区残疾人联合会2023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年部门预算编制说明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一、基本职能及主要工作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二、预算单位基本情况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60" w:lineRule="exact"/>
        <w:ind w:right="0" w:firstLine="0" w:left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三、预算单位收入情况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预算单位支出情况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对下专项转移支付情况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政府采购预算情况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七、部门“三公”经费增减变化情况及原因说明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八、重点项目预算绩效目标情况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九、其他公开信息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60" w:lineRule="exact"/>
        <w:ind w:right="0" w:firstLine="0" w:left="0"/>
        <w:jc w:val="left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昆明市呈贡区残疾人联合会</w:t>
      </w:r>
      <w:r>
        <w:rPr>
          <w:rFonts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2023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年部门预算表</w:t>
      </w:r>
      <w:r>
        <w:rPr>
          <w:rFonts w:ascii="黑体" w:hAnsi="黑体" w:eastAsia="黑体" w:cs="黑体"/>
          <w:b w:val="0"/>
          <w:bCs w:val="0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财务收支预算总表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二、部门收入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三、部门支出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四、财政拨款收支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（按功能科目分类）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六、一般公共预算“三公”经费支出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（人员类、运转类公用经费项目）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项目支出预算表（其他运转类、特定目标类项目）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、项目支出绩效目标表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十、政府性基金预算支出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、部门政府采购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二、政府购买服务预算表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对下转移支付预算表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、对下转移支付绩效目标表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十五、新增资产配置表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十六、上级补助项目支出预算表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0"/>
        <w:jc w:val="left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十七、部门项目中期规划预算表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/>
        <w:ind w:firstLine="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</w:r>
      <w:r>
        <w:rPr>
          <w:rFonts w:ascii="Times New Roman" w:hAnsi="Times New Roman" w:eastAsia="仿宋_GB2312" w:cs="Times New Roman"/>
          <w:sz w:val="30"/>
          <w:szCs w:val="30"/>
        </w:rPr>
      </w:r>
    </w:p>
    <w:p>
      <w:pPr>
        <w:pStyle w:val="666"/>
        <w:pBdr/>
        <w:spacing/>
        <w:ind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</w:r>
      <w:r>
        <w:rPr>
          <w:rFonts w:ascii="Times New Roman" w:hAnsi="Times New Roman" w:eastAsia="仿宋_GB2312" w:cs="Times New Roman"/>
          <w:sz w:val="30"/>
          <w:szCs w:val="30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 w:firstLine="88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/>
        <w:jc w:val="both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widowControl w:val="true"/>
        <w:pBdr/>
        <w:spacing/>
        <w:ind/>
        <w:jc w:val="both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0" w:lineRule="atLeast"/>
        <w:ind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 xml:space="preserve">昆明市呈贡区残疾人联合会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2023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年部门</w:t>
      </w:r>
      <w:r>
        <w:rPr>
          <w:rFonts w:hint="eastAsia" w:ascii="宋体" w:hAnsi="宋体" w:eastAsia="宋体" w:cs="宋体"/>
          <w:b/>
          <w:bCs/>
          <w:sz w:val="44"/>
          <w:szCs w:val="44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0" w:lineRule="atLeast"/>
        <w:ind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预算编制说明</w:t>
      </w:r>
      <w:r>
        <w:rPr>
          <w:rFonts w:hint="eastAsia" w:ascii="宋体" w:hAnsi="宋体" w:eastAsia="宋体" w:cs="宋体"/>
          <w:b/>
          <w:bCs/>
          <w:sz w:val="44"/>
          <w:szCs w:val="44"/>
        </w:rPr>
      </w:r>
    </w:p>
    <w:p>
      <w:pPr>
        <w:pStyle w:val="663"/>
        <w:widowControl w:val="true"/>
        <w:pBdr/>
        <w:spacing/>
        <w:ind w:firstLine="72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</w:r>
      <w:r>
        <w:rPr>
          <w:rFonts w:ascii="Times New Roman" w:hAnsi="Times New Roman" w:eastAsia="方正小标宋简体" w:cs="Times New Roman"/>
          <w:sz w:val="36"/>
          <w:szCs w:val="36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一、基本职能及主要工作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（一）部门主要职责</w:t>
      </w:r>
      <w:r>
        <w:rPr>
          <w:rFonts w:ascii="Times New Roman" w:hAnsi="Times New Roman" w:eastAsia="楷体_GB2312" w:cs="Times New Roman"/>
          <w:b/>
          <w:sz w:val="32"/>
          <w:szCs w:val="32"/>
        </w:rPr>
      </w:r>
      <w:r>
        <w:rPr>
          <w:rFonts w:ascii="Times New Roman" w:hAnsi="Times New Roman" w:eastAsia="楷体_GB2312" w:cs="Times New Roman"/>
          <w:b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60" w:lineRule="exact"/>
        <w:ind w:firstLine="64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eastAsia="仿宋_GB2312"/>
          <w:sz w:val="32"/>
          <w:szCs w:val="32"/>
        </w:rPr>
        <w:t xml:space="preserve">作为政府和残疾人的沟通桥梁，履行“代表、服务、管理”职能，即代表残疾人共同利益，维护残疾人的合法权益；团结教育残疾人，为残疾人服务；履行政府赋予的职责，管理和发展残疾人事业。</w:t>
      </w:r>
      <w:r>
        <w:rPr>
          <w:rFonts w:ascii="Times New Roman" w:hAnsi="Times New Roman" w:eastAsia="楷体" w:cs="Times New Roman"/>
          <w:sz w:val="32"/>
          <w:szCs w:val="32"/>
        </w:rPr>
      </w:r>
      <w:r>
        <w:rPr>
          <w:rFonts w:ascii="Times New Roman" w:hAnsi="Times New Roman" w:eastAsia="楷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（二）机构设置情况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我部门共设置3个内设机构，包括：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办公室、事业管理科、残疾人综合服务中心（加挂就业服务所）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（三）重点工作概述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72"/>
        <w:keepNext w:val="false"/>
        <w:keepLines w:val="false"/>
        <w:pageBreakBefore w:val="false"/>
        <w:widowControl w:val="false"/>
        <w:pBdr/>
        <w:spacing w:line="560" w:lineRule="exact"/>
        <w:ind w:firstLine="640"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1.做好残疾人康复工作，实现“人人享有康复”目标。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72"/>
        <w:keepNext w:val="false"/>
        <w:keepLines w:val="false"/>
        <w:pageBreakBefore w:val="false"/>
        <w:widowControl w:val="false"/>
        <w:pBdr/>
        <w:spacing w:line="560" w:lineRule="exact"/>
        <w:ind w:firstLine="640" w:lef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2.做好残疾人社会保障工作，保障残疾人基本生活。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3.抓好残疾人就业创业工作，提高残疾人增收能力。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4.开展扶残助学工作，提高残疾人知识文化水平。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5.做好残疾人宣传文体工作，宣传残疾人事业，切实提高残疾人社会参与度，构建无障碍社会环境。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6.做好残疾人信访维稳及法律援助，维护残疾人稳定。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7.围绕区委区政府中心工作，做好其他相关工作。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二、预算单位基本情况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我部门编制202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年部门预算单位共1个。其中：财政全额供给单位1个；差额供给单位0个；定额补助单位0个；自收自支单位0个。财政全额供给单位中行政单位0个；参公单位1个；事业单位0个。截止202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年12月统计，部门基本情况如下：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在职人员编制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人，其中：参公事业编制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人，工勤人员编制0人，事业编制0人。在职实有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人，其中： 财政全额保障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人，财政差额补助0人，财政专户资金、单位资金保障0人。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离退休人员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人，其中： 离休 0人，退休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车辆编制1辆，实有车辆1辆。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三、预算单位收入情况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（一）部门财务收入情况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年部门财务总收入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773.55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761.05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万元，政府性基金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万元，国有资本经营收益0万元，财政专户管理资金收入0万元，事业收入0万元，事业单位经营收入0万元，上级补助收入0万元，附属单位上缴收入0万元，其他收入0万元。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与上年对比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对比预算收入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48.72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为根据财政状况，在“三保”前提下，削减部门预算。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（二）财政拨款收入情况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773.55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万元，其中:本年收入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773.55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万元，上年结转收入0万元。本年收入中，一般公共预算财政拨款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761.05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万元，政府性基金预算财政拨款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万元，国有资本经营收益财政拨款0万元。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与上年对比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48.72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为根据财政状况，在“三保”前提下，削减部门预算。</w:t>
      </w:r>
      <w:r>
        <w:rPr>
          <w:rFonts w:ascii="Times New Roman" w:hAnsi="Times New Roman" w:eastAsia="仿宋_GB2312" w:cs="Times New Roman"/>
          <w:sz w:val="32"/>
          <w:szCs w:val="32"/>
        </w:rPr>
      </w:r>
      <w:r>
        <w:rPr>
          <w:rFonts w:ascii="Times New Roman" w:hAnsi="Times New Roman" w:eastAsia="仿宋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numPr>
          <w:ilvl w:val="0"/>
          <w:numId w:val="1"/>
        </w:numPr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预算单位支出情况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年部门预算总支出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773.55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万元。财政拨款安排支出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773.55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521.3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上年对比增加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35.53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，主要原因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新转入两名在职在编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导致基本支出经费增加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252.25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上年对比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84.25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在“三保”前提下削减部分“非三保”项目支出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财政拨款安排支出按功能科目分类情况主要用于：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2050803培训支出，主要用于人员培训教育0.36万元；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2080505机关事业单位基本养老保险缴费支出，主要用于人员基本养老保险2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6.04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2081101行政运行，主要用于人员经费及日常公用经费支出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436.81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2081104残疾人康复，主要用于残疾儿童康复及残疾人精准康复工作项目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13.13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2081105残疾人就业和扶贫</w:t>
        <w:tab/>
        <w:t xml:space="preserve">，主要用于残疾人就业扶持、扶残助学、职业技能培训、社会保障及救助等项目支出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120.6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2081199其他残疾人事业支出，主要用于基层组织建设、残疾人维稳、法律顾问、残疾人慰问、残疾人托养、残疾人宣传文体工作等支出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92.72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2101101行政单位医疗，主要用于人员医疗费用14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2210201住房公积金，主要用于人员住房公积金21.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2210203购房补贴，主要用于人员住房补贴支出0.17万元；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2080506机关事业单位职业年金缴费支出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2101103行政公务员医疗统筹，主要用于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公务员医疗补助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8.71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2101199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其他行政事业单位医疗支出，主要用于行政人员重特病保险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0.91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pStyle w:val="666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208050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1行政单位离退休，主要用于退休人员生活补助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2.58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296006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用于残疾人事业的彩票公益金支出，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主要用于残疾人事业的彩票公益金支出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2082001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临时救助支出，主要用于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残疾人临时困难救助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2082002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流浪乞讨人员救助支出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，主要用于流浪乞讨残疾人救助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6"/>
        <w:keepNext w:val="false"/>
        <w:keepLines w:val="false"/>
        <w:pageBreakBefore w:val="false"/>
        <w:pBdr/>
        <w:spacing w:line="560" w:lineRule="exact"/>
        <w:ind w:firstLine="64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1101党建工作经费，主要用于党建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。</w:t>
      </w:r>
      <w:r>
        <w:rPr>
          <w:lang w:val="en-US" w:eastAsia="zh-CN"/>
        </w:rPr>
      </w:r>
      <w:r>
        <w:rPr>
          <w:lang w:val="en-US"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numPr>
          <w:ilvl w:val="0"/>
          <w:numId w:val="2"/>
        </w:numPr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对下专项转移支付情况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我区已实行乡财县管，按照区与乡镇（街道）财政管理体制，乡镇（街道）按照县级部门预算管理，故无对下转移支付。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六、政府采购预算情况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根据《中华人民共和国政府采购法》的有关规定，编制了政府采购预算，共涉及采购项目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个，政府采购预算总额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1个，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政府采购工程预算0万元。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七、部门“三公”经费增减变化情况及原因说明</w:t>
      </w:r>
      <w:r>
        <w:rPr>
          <w:rFonts w:hint="eastAsia" w:ascii="黑体" w:hAnsi="黑体" w:eastAsia="黑体" w:cs="黑体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年一般公共预算财政拨款“三公”经费预算合计2.54万元，较上年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具体情况如下：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（一）</w:t>
      </w:r>
      <w:r>
        <w:rPr>
          <w:rFonts w:ascii="楷体_GB2312" w:eastAsia="楷体_GB2312"/>
          <w:sz w:val="32"/>
          <w:szCs w:val="32"/>
        </w:rPr>
        <w:t xml:space="preserve">因公出国（境）费</w:t>
      </w:r>
      <w:r>
        <w:rPr>
          <w:rFonts w:ascii="楷体_GB2312" w:eastAsia="楷体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年因公出国（境）费预算为0万元，较上年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共计安排因公出国（境）团组0个，因公出国（境）0人次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</w:t>
      </w:r>
      <w:r>
        <w:rPr>
          <w:rFonts w:hint="eastAsia" w:ascii="楷体" w:hAnsi="楷体" w:eastAsia="楷体" w:cs="楷体"/>
          <w:sz w:val="32"/>
          <w:szCs w:val="32"/>
        </w:rPr>
      </w:r>
      <w:r>
        <w:rPr>
          <w:rFonts w:hint="eastAsia" w:ascii="楷体" w:hAnsi="楷体" w:eastAsia="楷体" w:cs="楷体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（二）</w:t>
      </w:r>
      <w:r>
        <w:rPr>
          <w:rFonts w:ascii="楷体_GB2312" w:eastAsia="楷体_GB2312"/>
          <w:sz w:val="32"/>
          <w:szCs w:val="32"/>
        </w:rPr>
        <w:t xml:space="preserve">公务接待费</w:t>
      </w:r>
      <w:r>
        <w:rPr>
          <w:rFonts w:ascii="楷体_GB2312" w:eastAsia="楷体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年公务接待费预算为0万元，较上年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国内公务接待批次为0次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共计接待0人次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无变化。</w:t>
      </w:r>
      <w:r>
        <w:rPr>
          <w:rFonts w:hint="eastAsia" w:eastAsia="仿宋_GB2312"/>
          <w:sz w:val="32"/>
          <w:szCs w:val="32"/>
          <w:lang w:eastAsia="zh-CN"/>
        </w:rPr>
      </w:r>
      <w:r>
        <w:rPr>
          <w:rFonts w:hint="eastAsia" w:eastAsia="仿宋_GB2312"/>
          <w:sz w:val="32"/>
          <w:szCs w:val="32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（三）</w:t>
      </w:r>
      <w:r>
        <w:rPr>
          <w:rFonts w:ascii="楷体_GB2312" w:eastAsia="楷体_GB2312"/>
          <w:sz w:val="32"/>
          <w:szCs w:val="32"/>
        </w:rPr>
        <w:t xml:space="preserve">公务用车购置及运行维护费</w:t>
      </w:r>
      <w:r>
        <w:rPr>
          <w:rFonts w:ascii="楷体_GB2312" w:eastAsia="楷体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年年公务用车购置及运行维护费为2.54万元，较上年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。其中：公务用车购置费0万元，较上年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；公务用车运行维护费2.54万元，较上年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无变化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。共计购置公务用车0辆，年末公务用车保有量为1辆。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原因</w:t>
      </w:r>
      <w:r>
        <w:rPr>
          <w:rFonts w:hint="eastAsia" w:eastAsia="仿宋_GB2312"/>
          <w:sz w:val="32"/>
          <w:szCs w:val="32"/>
        </w:rPr>
        <w:t xml:space="preserve">：</w:t>
      </w:r>
      <w:r>
        <w:rPr>
          <w:rFonts w:hint="eastAsia" w:eastAsia="仿宋_GB2312"/>
          <w:sz w:val="32"/>
          <w:szCs w:val="32"/>
          <w:lang w:eastAsia="zh-CN"/>
        </w:rPr>
        <w:t xml:space="preserve">昆明市呈贡区残疾人联合会“三公”经费与上年相比持平。</w:t>
      </w:r>
      <w:r>
        <w:rPr>
          <w:rFonts w:hint="eastAsia" w:ascii="楷体" w:hAnsi="楷体" w:eastAsia="楷体" w:cs="楷体"/>
          <w:sz w:val="32"/>
          <w:szCs w:val="32"/>
        </w:rPr>
      </w:r>
      <w:r>
        <w:rPr>
          <w:rFonts w:hint="eastAsia" w:ascii="楷体" w:hAnsi="楷体" w:eastAsia="楷体" w:cs="楷体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八、重点项目预算绩效目标情况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残疾人社会保障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116.8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万元，其中：残疾人意外伤害险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2725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21.8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万元；三四级残疾人医疗保险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2625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人，320元/人，经费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84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万元；春雨助学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人，300元/人，经费4万元；残疾人慰问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220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残疾人康复托养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13.13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万元，其中：精神残疾人服药补贴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人，980元/人/年，经费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5.13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万元；残疾人社区康复站运行经费补助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个康复站，7200元/个/年，经费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2.88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万元；残疾人托养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人，1500元/人/年，经费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5.13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残疾人创业就业扶持及职业技能培训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16.9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，其中：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残疾人自主创业扶持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人，6000元/人，经费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残疾人基本服务状况和需求信息数据动态更新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600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人，10元/人，经费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0.6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万元；临时困难救助100人，每人补助标准≤2000元，经费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12.4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万元；外来流浪乞讨残疾人救助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人，50元/人，经费0.1万元。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残疾人宣传文体及其他残疾人事业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13.17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万元。其中：助残日、残疾预防日、残疾人日、爱耳日等残疾人特殊节日宣传1万元；残疾文艺人才培训工作经费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万元；办公楼宇物业管理费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6.29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万元；残疾人事业发展经费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2.38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万元；专门协会主席经费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</w:t>
        <w:tab/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（五）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马金铺街道残疾人经费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56.95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万元。其中：残疾人意外伤害保险经费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5.85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万元；三四级残疾人医疗保险经费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19.26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万元；春雨助学经费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3.86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万元；残疾人慰问经费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万元；精神残疾人服药补贴经费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2.76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万元；精神残疾人住院医疗康复救助经费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12.48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；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残疾人托养经费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万元；残疾人技能培训经费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0.12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万元；残疾人基本服务状况和需求信息数据动态更新经费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0.72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万元；临时困难救助经费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7.5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（六）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大渔街道残疾人经费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万元。其中：残疾人意外伤害保险经费3.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44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万元；三四级残疾人医疗保险经费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12.65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万元；春雨助学经费1万元；残疾人慰问经费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万元；精神残疾人服药补贴经费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0.5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万元；残疾人托养经费0.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万元；残疾人基本服务状况和需求信息数据动态更新经费0.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16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万元；残疾职业技能取证补贴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0.25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万元；临时困难救助经费2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.5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万元。</w:t>
      </w:r>
      <w:r>
        <w:rPr>
          <w:rFonts w:hint="eastAsia" w:ascii="仿宋_GB2312" w:hAnsi="仿宋_GB2312" w:eastAsia="仿宋_GB2312" w:cs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九、其他公开信息</w:t>
      </w:r>
      <w:r>
        <w:rPr>
          <w:rFonts w:ascii="Times New Roman" w:hAnsi="Times New Roman" w:eastAsia="黑体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（一）专业名词解释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1.财政拨款收入：指同级财政当年拨付的资金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“三公”经费包括因公出国（出境）费公务用车购置及运行费和公务接待费。（1）因公出国（境）费，指单位工作人员公务出国（境）的住宿费。旅费、伙食补助费、杂费、培训费等支出。（2）公务用车购置及运行费，指单位公务用车购置费及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（二）机关运行经费安排变化情况及原因说明</w:t>
      </w:r>
      <w:r>
        <w:rPr>
          <w:rFonts w:ascii="Times New Roman" w:hAnsi="Times New Roman" w:eastAsia="楷体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年机关运行经费安排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42.58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万元，与上年对比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2.88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万元，主要原因是预算定额调整。</w:t>
      </w:r>
      <w:r>
        <w:rPr>
          <w:rFonts w:hint="eastAsia" w:ascii="楷体" w:hAnsi="楷体" w:eastAsia="楷体" w:cs="楷体"/>
          <w:sz w:val="32"/>
          <w:szCs w:val="32"/>
        </w:rPr>
      </w:r>
      <w:r>
        <w:rPr>
          <w:rFonts w:hint="eastAsia" w:ascii="楷体" w:hAnsi="楷体" w:eastAsia="楷体" w:cs="楷体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（三）国有资产占</w:t>
      </w:r>
      <w:r>
        <w:rPr>
          <w:rFonts w:ascii="Times New Roman" w:hAnsi="Times New Roman" w:eastAsia="楷体_GB2312" w:cs="Times New Roman"/>
          <w:sz w:val="32"/>
          <w:szCs w:val="32"/>
          <w:lang w:eastAsia="zh-CN"/>
        </w:rPr>
        <w:t xml:space="preserve">有使用</w:t>
      </w:r>
      <w:r>
        <w:rPr>
          <w:rFonts w:ascii="Times New Roman" w:hAnsi="Times New Roman" w:eastAsia="楷体_GB2312" w:cs="Times New Roman"/>
          <w:sz w:val="32"/>
          <w:szCs w:val="32"/>
        </w:rPr>
        <w:t xml:space="preserve">情况</w:t>
      </w:r>
      <w:r>
        <w:rPr>
          <w:rFonts w:ascii="Times New Roman" w:hAnsi="Times New Roman" w:eastAsia="仿宋_GB2312" w:cs="Times New Roman"/>
          <w:sz w:val="32"/>
          <w:szCs w:val="32"/>
        </w:rPr>
      </w:r>
      <w:r>
        <w:rPr>
          <w:rFonts w:ascii="Times New Roman" w:hAnsi="Times New Roman" w:eastAsia="仿宋_GB2312" w:cs="Times New Roman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widowControl w:val="true"/>
        <w:pBdr/>
        <w:spacing w:line="560" w:lineRule="exact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年12月31日，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昆明市呈贡区残疾人联合会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资产总额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134.52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万元，其中，流动资产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1.29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112.47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万元，对外投资及有价证券0万元，在建工程0万元，无形资产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0.76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万元，其他资产0万元。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与上年相比，本年资产总额减少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14.46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万元，其中流动资产减少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8.46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万元；固定资产减少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5.08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；无形资产减少0.92万元。处置房屋建筑物0平方米，账面原值0万元；处置车辆0辆，账面原值0万元；报废报损资产0项，账面原值0万元，实现资产处置收入0万元；资产使用收入0万元，其中出租资产0平方米，资产出租收入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鉴于截至2022年12月31日的国有资产占有使用精准数据，需在完成2022年决算编制后才能汇总，此处公开为2022年12月（2023年1月上报）资产月报数据。</w:t>
      </w:r>
      <w:r>
        <w:rPr>
          <w:rFonts w:hint="eastAsia" w:ascii="仿宋_GB2312" w:hAnsi="仿宋_GB2312" w:eastAsia="仿宋_GB2312" w:cs="仿宋_GB2312"/>
          <w:sz w:val="32"/>
          <w:szCs w:val="32"/>
        </w:rPr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jc w:val="righ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</w:r>
      <w:r>
        <w:rPr>
          <w:rFonts w:hint="eastAsia" w:eastAsia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jc w:val="righ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</w:r>
      <w:r>
        <w:rPr>
          <w:rFonts w:hint="eastAsia" w:eastAsia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00"/>
        <w:jc w:val="righ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</w:r>
      <w:r>
        <w:rPr>
          <w:rFonts w:hint="eastAsia" w:eastAsia="仿宋_GB2312"/>
          <w:sz w:val="30"/>
          <w:szCs w:val="30"/>
        </w:rPr>
      </w:r>
    </w:p>
    <w:p>
      <w:pPr>
        <w:pStyle w:val="663"/>
        <w:keepNext w:val="false"/>
        <w:keepLines w:val="false"/>
        <w:pageBreakBefore w:val="false"/>
        <w:pBdr/>
        <w:spacing w:line="560" w:lineRule="exact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昆明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呈贡区残疾人联合会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6"/>
        <w:keepNext w:val="false"/>
        <w:keepLines w:val="false"/>
        <w:pageBreakBefore w:val="false"/>
        <w:pBdr/>
        <w:spacing w:line="560" w:lineRule="exact"/>
        <w:ind w:firstLine="60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</w:t>
      </w:r>
      <w:r>
        <w:rPr>
          <w:rFonts w:hint="eastAsia" w:ascii="仿宋_GB2312" w:hAnsi="仿宋_GB2312" w:eastAsia="仿宋_GB2312" w:cs="仿宋_GB2312"/>
          <w:sz w:val="32"/>
          <w:szCs w:val="32"/>
        </w:rPr>
      </w:r>
    </w:p>
    <w:p>
      <w:pPr>
        <w:pStyle w:val="663"/>
        <w:pBdr/>
        <w:spacing/>
        <w:ind/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 xml:space="preserve">监督索引号53011400376200111</w:t>
      </w:r>
      <w:r>
        <w:rPr>
          <w:rFonts w:ascii="Arial" w:hAnsi="Arial" w:eastAsia="Arial" w:cs="Arial"/>
          <w:b/>
          <w:sz w:val="36"/>
        </w:rPr>
      </w:r>
    </w:p>
    <w:sectPr>
      <w:footerReference w:type="default" r:id="rId9"/>
      <w:footnotePr/>
      <w:endnotePr/>
      <w:type w:val="nextPage"/>
      <w:pgSz w:h="16838" w:orient="landscape" w:w="11906"/>
      <w:pgMar w:top="2098" w:right="1474" w:bottom="1984" w:left="1474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</w:font>
  <w:font w:name="楷体_GB2312">
    <w:panose1 w:val="02010609030101010101"/>
  </w:font>
  <w:font w:name="黑体">
    <w:panose1 w:val="02010609060101010101"/>
  </w:font>
  <w:font w:name="方正小标宋简体">
    <w:panose1 w:val="02010601030101010101"/>
  </w:font>
  <w:font w:name="仿宋_GB2312">
    <w:panose1 w:val="02010609030101010101"/>
  </w:font>
  <w:font w:name="Symbol">
    <w:panose1 w:val="05050102010706020507"/>
  </w:font>
  <w:font w:name="Wingdings">
    <w:panose1 w:val="05000000000000000000"/>
  </w:font>
  <w:font w:name="Arial">
    <w:panose1 w:val="020B0604020202020204"/>
  </w:font>
  <w:font w:name="等线">
    <w:panose1 w:val="0203060000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pBdr/>
      <w:tabs>
        <w:tab w:val="center" w:leader="none" w:pos="4153"/>
        <w:tab w:val="right" w:leader="none" w:pos="8306"/>
      </w:tabs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67"/>
                            <w:pBdr/>
                            <w:tabs>
                              <w:tab w:val="center" w:leader="none" w:pos="4153"/>
                              <w:tab w:val="right" w:leader="none" w:pos="8306"/>
                            </w:tabs>
                            <w:spacing/>
                            <w:ind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 xml:space="preserve"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r>
                        </w:p>
                        <w:p>
                          <w:pPr>
                            <w:pStyle w:val="663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67"/>
                      <w:pBdr/>
                      <w:tabs>
                        <w:tab w:val="center" w:leader="none" w:pos="4153"/>
                        <w:tab w:val="right" w:leader="none" w:pos="8306"/>
                      </w:tabs>
                      <w:spacing/>
                      <w:ind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 xml:space="preserve">—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r>
                  </w:p>
                  <w:p>
                    <w:pPr>
                      <w:pStyle w:val="663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/>
      <w:start w:val="4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、"/>
      <w:numFmt w:val="chineseCounting"/>
      <w:pPr>
        <w:pBdr/>
        <w:spacing/>
        <w:ind/>
      </w:pPr>
      <w:rPr/>
      <w:start w:val="5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3"/>
    <w:next w:val="66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6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63"/>
    <w:next w:val="66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3"/>
    <w:next w:val="66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3"/>
    <w:next w:val="66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3"/>
    <w:next w:val="66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3"/>
    <w:next w:val="66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3"/>
    <w:next w:val="66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3"/>
    <w:next w:val="66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3"/>
    <w:next w:val="66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3"/>
    <w:next w:val="66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6"/>
    <w:link w:val="663"/>
    <w:qFormat/>
    <w:pPr>
      <w:widowControl w:val="false"/>
      <w:pBdr/>
      <w:spacing/>
      <w:ind/>
      <w:jc w:val="both"/>
    </w:pPr>
    <w:rPr>
      <w:sz w:val="21"/>
      <w:szCs w:val="22"/>
      <w:lang w:val="en-US" w:eastAsia="zh-CN" w:bidi="ar-SA"/>
    </w:rPr>
  </w:style>
  <w:style w:type="character" w:styleId="664">
    <w:name w:val="默认段落字体"/>
    <w:next w:val="664"/>
    <w:link w:val="663"/>
    <w:uiPriority w:val="1"/>
    <w:unhideWhenUsed/>
    <w:pPr>
      <w:pBdr/>
      <w:spacing/>
      <w:ind/>
    </w:pPr>
  </w:style>
  <w:style w:type="table" w:styleId="665">
    <w:name w:val="普通表格"/>
    <w:next w:val="665"/>
    <w:link w:val="663"/>
    <w:uiPriority w:val="99"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6">
    <w:name w:val="正文文本"/>
    <w:basedOn w:val="663"/>
    <w:next w:val="666"/>
    <w:link w:val="663"/>
    <w:unhideWhenUsed/>
    <w:qFormat/>
    <w:pPr>
      <w:pBdr/>
      <w:spacing/>
      <w:ind/>
    </w:pPr>
  </w:style>
  <w:style w:type="paragraph" w:styleId="667">
    <w:name w:val="页脚"/>
    <w:basedOn w:val="663"/>
    <w:next w:val="667"/>
    <w:link w:val="668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8">
    <w:name w:val="页脚 Char"/>
    <w:basedOn w:val="664"/>
    <w:next w:val="668"/>
    <w:link w:val="667"/>
    <w:uiPriority w:val="99"/>
    <w:semiHidden/>
    <w:pPr>
      <w:pBdr/>
      <w:spacing/>
      <w:ind/>
    </w:pPr>
    <w:rPr>
      <w:sz w:val="18"/>
      <w:szCs w:val="18"/>
    </w:rPr>
  </w:style>
  <w:style w:type="paragraph" w:styleId="669">
    <w:name w:val="页眉"/>
    <w:basedOn w:val="663"/>
    <w:next w:val="669"/>
    <w:link w:val="670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70">
    <w:name w:val="页眉 Char"/>
    <w:basedOn w:val="664"/>
    <w:next w:val="670"/>
    <w:link w:val="669"/>
    <w:uiPriority w:val="99"/>
    <w:semiHidden/>
    <w:pPr>
      <w:pBdr/>
      <w:spacing/>
      <w:ind/>
    </w:pPr>
    <w:rPr>
      <w:sz w:val="18"/>
      <w:szCs w:val="18"/>
    </w:rPr>
  </w:style>
  <w:style w:type="paragraph" w:styleId="671">
    <w:name w:val="普通(网站)"/>
    <w:basedOn w:val="663"/>
    <w:next w:val="671"/>
    <w:link w:val="663"/>
    <w:uiPriority w:val="99"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paragraph" w:styleId="672">
    <w:name w:val="0"/>
    <w:basedOn w:val="663"/>
    <w:next w:val="672"/>
    <w:link w:val="663"/>
    <w:qFormat/>
    <w:pPr>
      <w:widowControl w:val="true"/>
      <w:pBdr/>
      <w:spacing w:line="365" w:lineRule="atLeast"/>
      <w:ind w:left="1"/>
    </w:pPr>
    <w:rPr>
      <w:sz w:val="20"/>
      <w:szCs w:val="20"/>
    </w:rPr>
  </w:style>
  <w:style w:type="character" w:styleId="1587" w:default="1">
    <w:name w:val="Default Paragraph Font"/>
    <w:uiPriority w:val="1"/>
    <w:semiHidden/>
    <w:unhideWhenUsed/>
    <w:pPr>
      <w:pBdr/>
      <w:spacing/>
      <w:ind/>
    </w:pPr>
  </w:style>
  <w:style w:type="numbering" w:styleId="1588" w:default="1">
    <w:name w:val="No List"/>
    <w:uiPriority w:val="99"/>
    <w:semiHidden/>
    <w:unhideWhenUsed/>
    <w:pPr>
      <w:pBdr/>
      <w:spacing/>
      <w:ind/>
    </w:pPr>
  </w:style>
  <w:style w:type="table" w:styleId="158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Manager/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NT</dc:creator>
  <cp:lastModifiedBy>匿名</cp:lastModifiedBy>
  <cp:revision>2</cp:revision>
  <dcterms:created xsi:type="dcterms:W3CDTF">2018-01-24T13:51:00Z</dcterms:created>
  <dcterms:modified xsi:type="dcterms:W3CDTF">2025-06-19T09:01:17Z</dcterms:modified>
</cp:coreProperties>
</file>