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3A0F">
      <w:pPr>
        <w:rPr>
          <w:rFonts w:ascii="黑体" w:eastAsia="黑体"/>
          <w:szCs w:val="32"/>
        </w:rPr>
      </w:pPr>
      <w:r>
        <w:rPr>
          <w:rFonts w:hint="eastAsia" w:ascii="黑体" w:eastAsia="黑体"/>
          <w:szCs w:val="32"/>
        </w:rPr>
        <w:t>附件4-2</w:t>
      </w:r>
      <w:r>
        <w:rPr>
          <w:rFonts w:ascii="黑体" w:eastAsia="黑体"/>
          <w:szCs w:val="32"/>
        </w:rPr>
        <w:t>:</w:t>
      </w:r>
    </w:p>
    <w:p w14:paraId="412A697F">
      <w:pPr>
        <w:rPr>
          <w:rFonts w:ascii="黑体" w:eastAsia="黑体"/>
          <w:szCs w:val="32"/>
        </w:rPr>
      </w:pPr>
    </w:p>
    <w:p w14:paraId="16B9920F">
      <w:pPr>
        <w:spacing w:line="560" w:lineRule="exact"/>
        <w:jc w:val="center"/>
        <w:rPr>
          <w:rFonts w:ascii="方正小标宋_GBK" w:eastAsia="方正小标宋_GBK"/>
          <w:kern w:val="0"/>
          <w:sz w:val="36"/>
          <w:szCs w:val="36"/>
        </w:rPr>
      </w:pPr>
      <w:r>
        <w:rPr>
          <w:rFonts w:hint="eastAsia" w:ascii="方正小标宋_GBK" w:eastAsia="方正小标宋_GBK"/>
          <w:kern w:val="0"/>
          <w:sz w:val="36"/>
          <w:szCs w:val="36"/>
        </w:rPr>
        <w:t>昆明市呈贡区残疾人联合会项目支出绩效报告（自评）</w:t>
      </w:r>
    </w:p>
    <w:p w14:paraId="63AA57FD">
      <w:pPr>
        <w:spacing w:line="560" w:lineRule="exact"/>
        <w:ind w:firstLine="594" w:firstLineChars="200"/>
        <w:rPr>
          <w:rFonts w:ascii="仿宋_GB2312"/>
          <w:b/>
          <w:kern w:val="0"/>
          <w:szCs w:val="32"/>
        </w:rPr>
      </w:pPr>
    </w:p>
    <w:p w14:paraId="0788D6BE">
      <w:pPr>
        <w:topLinePunct/>
        <w:spacing w:line="560" w:lineRule="exact"/>
        <w:ind w:firstLine="594" w:firstLineChars="200"/>
        <w:rPr>
          <w:rFonts w:ascii="黑体" w:eastAsia="黑体"/>
          <w:kern w:val="0"/>
          <w:szCs w:val="32"/>
        </w:rPr>
      </w:pPr>
      <w:r>
        <w:rPr>
          <w:rFonts w:hint="eastAsia" w:ascii="黑体" w:eastAsia="黑体"/>
          <w:kern w:val="0"/>
          <w:szCs w:val="32"/>
        </w:rPr>
        <w:t>一、项目基本情况</w:t>
      </w:r>
    </w:p>
    <w:p w14:paraId="021A6D8C">
      <w:pPr>
        <w:topLinePunct/>
        <w:spacing w:line="560" w:lineRule="exact"/>
        <w:ind w:firstLine="594" w:firstLineChars="200"/>
        <w:rPr>
          <w:rFonts w:ascii="仿宋_GB2312"/>
          <w:kern w:val="0"/>
          <w:szCs w:val="32"/>
        </w:rPr>
      </w:pPr>
      <w:r>
        <w:rPr>
          <w:rFonts w:hint="eastAsia" w:ascii="楷体_GB2312" w:hAnsi="楷体_GB2312" w:eastAsia="楷体_GB2312" w:cs="楷体_GB2312"/>
          <w:kern w:val="0"/>
          <w:szCs w:val="32"/>
        </w:rPr>
        <w:t>（一）项目基本情况简介。</w:t>
      </w:r>
    </w:p>
    <w:p w14:paraId="4116F739">
      <w:pPr>
        <w:snapToGrid w:val="0"/>
        <w:spacing w:line="560" w:lineRule="exact"/>
        <w:ind w:firstLine="660"/>
        <w:rPr>
          <w:kern w:val="0"/>
        </w:rPr>
      </w:pPr>
      <w:r>
        <w:rPr>
          <w:rFonts w:hint="eastAsia" w:ascii="仿宋_GB2312" w:hAnsi="仿宋_GB2312" w:cs="仿宋_GB2312"/>
          <w:kern w:val="0"/>
          <w:szCs w:val="32"/>
        </w:rPr>
        <w:t>1.完成全区享受困难残疾人生活补贴和重度残疾人护理补贴共1549人，补贴资金136.055万元。</w:t>
      </w:r>
    </w:p>
    <w:p w14:paraId="39A291D4">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2.完成残疾人特殊困难临时救助240人，发放救助资金49.751万元。</w:t>
      </w:r>
    </w:p>
    <w:p w14:paraId="39BFE3FA">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3.春节、中秋节期间走访慰问困难残疾人756人次，发放慰问金36.92万元。</w:t>
      </w:r>
    </w:p>
    <w:p w14:paraId="4707F50B">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4.向全区223名困难精神残疾人发放服药补贴26.76万元，给予47名重度精神残疾人康复医疗救助52.8万元，维护全区精神残疾人稳定。</w:t>
      </w:r>
    </w:p>
    <w:p w14:paraId="7FA5E6BB">
      <w:pPr>
        <w:snapToGrid w:val="0"/>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5.为221名处于九年义务教育阶段的残疾学生及残疾人子女提供“春雨行动”助学补助，补助资金6.63万元，确保残疾学生及残疾人子女入学率。完成残疾学生及残疾人子女高中助学补助30人，补助资金3.4万元；大中专补助32人，补助资金17.43万元。</w:t>
      </w:r>
    </w:p>
    <w:p w14:paraId="6598E94B">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6.</w:t>
      </w:r>
      <w:bookmarkStart w:id="0" w:name="OLE_LINK1"/>
      <w:r>
        <w:rPr>
          <w:rFonts w:hint="eastAsia" w:ascii="仿宋_GB2312" w:hAnsi="仿宋_GB2312" w:cs="仿宋_GB2312"/>
          <w:kern w:val="0"/>
          <w:szCs w:val="32"/>
        </w:rPr>
        <w:t>全年完成1810名残疾人证第三代智能卡换发工作。</w:t>
      </w:r>
    </w:p>
    <w:bookmarkEnd w:id="0"/>
    <w:p w14:paraId="4E7F465B">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7.为全区3450名残疾人购买意外伤害保险，保险金额27.6万元。</w:t>
      </w:r>
    </w:p>
    <w:p w14:paraId="6868BD2D">
      <w:pPr>
        <w:snapToGrid w:val="0"/>
        <w:spacing w:line="560" w:lineRule="exact"/>
        <w:ind w:firstLine="660"/>
        <w:rPr>
          <w:rFonts w:ascii="仿宋_GB2312" w:hAnsi="仿宋_GB2312" w:cs="仿宋_GB2312"/>
          <w:kern w:val="0"/>
          <w:szCs w:val="32"/>
        </w:rPr>
      </w:pPr>
      <w:bookmarkStart w:id="1" w:name="OLE_LINK11"/>
      <w:r>
        <w:rPr>
          <w:rFonts w:hint="eastAsia" w:ascii="仿宋_GB2312" w:hAnsi="仿宋_GB2312" w:cs="仿宋_GB2312"/>
          <w:kern w:val="0"/>
          <w:szCs w:val="32"/>
        </w:rPr>
        <w:t>8.</w:t>
      </w:r>
      <w:bookmarkStart w:id="2" w:name="OLE_LINK4"/>
      <w:r>
        <w:rPr>
          <w:rFonts w:hint="eastAsia" w:ascii="仿宋_GB2312" w:hAnsi="仿宋_GB2312" w:cs="仿宋_GB2312"/>
          <w:kern w:val="0"/>
          <w:szCs w:val="32"/>
        </w:rPr>
        <w:t>为有康复辅具需求的残疾人发放康复床、轮椅、助行器等残疾人辅助器具230件。</w:t>
      </w:r>
    </w:p>
    <w:bookmarkEnd w:id="1"/>
    <w:bookmarkEnd w:id="2"/>
    <w:p w14:paraId="4D9D1D48">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9.对157名符合条件的重度肢体及智力、精神残疾人开展托养服务工作，补助资金68.85万元。</w:t>
      </w:r>
    </w:p>
    <w:p w14:paraId="711B6006">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10. 认真落实《昆明市呈贡区人民政府关于建立残疾儿童康复救助制度的实施意见》，完成康复救助34名符合条件残疾儿童，救助资金33.98万元。</w:t>
      </w:r>
    </w:p>
    <w:p w14:paraId="76B1BE68">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11.全年开展残疾人生产实用技术培训10期，培训残疾人297人次，投入培训经费10.8万元。</w:t>
      </w:r>
    </w:p>
    <w:p w14:paraId="5907918C">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12. 认真开展用人单位按比例安排残疾人就业情况年审工作，共审核50家用人单位，核定残疾人用工92人，</w:t>
      </w:r>
      <w:r>
        <w:rPr>
          <w:rFonts w:hint="eastAsia" w:ascii="仿宋_GB2312" w:hAnsi="方正楷体简体" w:cs="方正楷体简体"/>
          <w:color w:val="0D0D0D"/>
          <w:szCs w:val="32"/>
        </w:rPr>
        <w:t>对按比例、超比例用工的10家单位按规定给予9.4万元的奖励，鼓励用人单位残疾人用工。</w:t>
      </w:r>
    </w:p>
    <w:p w14:paraId="0B0F2443">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13. 完成3606名残疾人基本服务状况和需求信息调查工作，调查完成率100%。</w:t>
      </w:r>
    </w:p>
    <w:p w14:paraId="54CA4C63">
      <w:pPr>
        <w:snapToGrid w:val="0"/>
        <w:spacing w:line="560" w:lineRule="exact"/>
        <w:ind w:firstLine="660"/>
        <w:rPr>
          <w:rFonts w:ascii="仿宋_GB2312" w:hAnsi="仿宋_GB2312" w:cs="仿宋_GB2312"/>
          <w:kern w:val="0"/>
          <w:szCs w:val="32"/>
        </w:rPr>
      </w:pPr>
      <w:r>
        <w:rPr>
          <w:rFonts w:hint="eastAsia" w:ascii="仿宋_GB2312" w:hAnsi="仿宋_GB2312" w:cs="仿宋_GB2312"/>
          <w:kern w:val="0"/>
          <w:szCs w:val="32"/>
        </w:rPr>
        <w:t>14.充分发挥残疾人艺术团文化阵地作用，开展残疾人文艺培训及文艺演出活动，全年组织开展小合唱、花灯舞蹈和花灯戏培训排练110天，开展进社区演出、文艺汇报演出、全市国际残疾人日文艺演出等9场次。</w:t>
      </w:r>
      <w:r>
        <w:rPr>
          <w:rFonts w:hint="eastAsia" w:ascii="仿宋_GB2312" w:hAnsi="仿宋_GB2312" w:cs="仿宋_GB2312"/>
          <w:szCs w:val="32"/>
        </w:rPr>
        <w:t>开展残疾人文艺进社区文艺演出7次，丰富残疾人精神文化生活。2021年，区残联深入开展体育苗子选拔工作，共选拔4名残疾儿童参加云南省残疾人体育苗子训练活动，为2022年全省残疾人运动会提供后备力量。</w:t>
      </w:r>
    </w:p>
    <w:p w14:paraId="7E5DE94E">
      <w:pPr>
        <w:topLinePunct/>
        <w:spacing w:line="560" w:lineRule="exact"/>
        <w:ind w:firstLine="594"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（二）绩效目标设定及指标完成情况。</w:t>
      </w:r>
    </w:p>
    <w:p w14:paraId="1892958B">
      <w:pPr>
        <w:topLinePunct/>
        <w:spacing w:line="560" w:lineRule="exact"/>
        <w:ind w:firstLine="594" w:firstLineChars="200"/>
        <w:rPr>
          <w:rFonts w:ascii="仿宋_GB2312"/>
          <w:kern w:val="0"/>
          <w:szCs w:val="32"/>
        </w:rPr>
      </w:pPr>
      <w:r>
        <w:rPr>
          <w:rFonts w:hint="eastAsia" w:ascii="仿宋_GB2312"/>
          <w:kern w:val="0"/>
          <w:szCs w:val="32"/>
        </w:rPr>
        <w:t>2021年呈贡区残联项目支出</w:t>
      </w:r>
      <w:r>
        <w:rPr>
          <w:rFonts w:hint="eastAsia" w:ascii="仿宋_GB2312" w:hAnsi="仿宋_GB2312" w:cs="仿宋_GB2312"/>
          <w:kern w:val="0"/>
          <w:szCs w:val="32"/>
        </w:rPr>
        <w:t>4,144,685.65</w:t>
      </w:r>
      <w:r>
        <w:rPr>
          <w:rFonts w:hint="eastAsia" w:ascii="仿宋_GB2312"/>
          <w:kern w:val="0"/>
          <w:szCs w:val="32"/>
        </w:rPr>
        <w:t>元，年末无结转结余。与2020年项目支出4704874.33元相比，2021年项目支出减少11.91%，其主要原因是上级补助收入减少560,188.68元,按上级补助各项资金要求列支.按照区财政工作要求，直接补助至残疾人的资金，通过与财政联发文直接划转用款额度到各街道，不再计入残联收支，因此略有降低。2021年各项项目工作均按照上级文件要求开展工作，现各项工作已经全面完成。</w:t>
      </w:r>
    </w:p>
    <w:p w14:paraId="77BFF475">
      <w:pPr>
        <w:topLinePunct/>
        <w:spacing w:line="560" w:lineRule="exact"/>
        <w:ind w:firstLine="594" w:firstLineChars="200"/>
        <w:rPr>
          <w:rFonts w:ascii="黑体" w:eastAsia="黑体"/>
          <w:kern w:val="0"/>
          <w:szCs w:val="32"/>
        </w:rPr>
      </w:pPr>
      <w:r>
        <w:rPr>
          <w:rFonts w:hint="eastAsia" w:ascii="黑体" w:eastAsia="黑体"/>
          <w:kern w:val="0"/>
          <w:szCs w:val="32"/>
        </w:rPr>
        <w:t>二、项目资金使用及管理情况</w:t>
      </w:r>
    </w:p>
    <w:p w14:paraId="6590DF6D">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14:paraId="5F265879">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2021年呈贡区残联收入项目资金4,144,685.65元，其中一般公共预算财政拨款项目资金7,806,777.6元，政府性基金项目资金567,185.69元。具体使用情况如下：</w:t>
      </w:r>
    </w:p>
    <w:p w14:paraId="3F950D51">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残疾人康复866,400.00元，主要用于开展精神残疾人服药补助、长期、短期残疾人住院补助、残疾人辅助器具配发、残疾儿童住院康复补助、社区残疾人康复站管理员补助等工作。</w:t>
      </w:r>
    </w:p>
    <w:p w14:paraId="58EB080B">
      <w:pPr>
        <w:spacing w:line="560" w:lineRule="exact"/>
        <w:ind w:firstLine="594" w:firstLineChars="200"/>
        <w:jc w:val="left"/>
        <w:rPr>
          <w:rFonts w:ascii="仿宋_GB2312" w:hAnsi="仿宋_GB2312" w:cs="仿宋_GB2312"/>
          <w:kern w:val="0"/>
          <w:szCs w:val="32"/>
        </w:rPr>
      </w:pPr>
      <w:r>
        <w:rPr>
          <w:rFonts w:hint="eastAsia" w:ascii="仿宋_GB2312" w:hAnsi="仿宋_GB2312" w:cs="仿宋_GB2312"/>
          <w:kern w:val="0"/>
          <w:szCs w:val="32"/>
        </w:rPr>
        <w:t>残疾人就业和扶贫1,191,002.00元，主要用于开展残疾人培训、带领残疾人参加专场残疾人招聘会、残疾人自主创业补助、残疾人大中专助学补助等工作。</w:t>
      </w:r>
    </w:p>
    <w:p w14:paraId="7C1CE016">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其他残疾人事业支出1,520,097.96元，主要用于开展残疾人慰问、保险、就业创业扶持、五个专门协会活动、残疾人专项调查、残疾人宣传文体等活动。</w:t>
      </w:r>
    </w:p>
    <w:p w14:paraId="3E6455BF">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用于残疾人事业的彩票公益金支出567,185.69元。为市级下拨残疾人助学补助及康复补助资金。</w:t>
      </w:r>
    </w:p>
    <w:p w14:paraId="6DF70E9E">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2021年项目资金均按照有关项目要求及上级工作要求开展，属于补助残疾人的资金支出均根据财政要求，与区财政联合会发文，直接将区残联有关项目资金额度划转街道，由各街道根据自身工作要求及工作安排发放至残疾人，发放完毕后，街道社区提交残疾人签领复印件作为备查档案。属于与相关机构直接结算的，区残联根据相关文件要求，机构出具相应发票提供相应材料进行资金拨付。同时，呈贡区残联严格按照《呈贡区残联下拨资金和实物管理办法》、《呈贡区残联资金及设备使用情况监督检查制度》要求，将资金和实物检查形成常态工作，2021年呈贡区残联采取随机抽取的形式，采用电话抽查、实地抽查等方式抽查下拨残疾人资金和实物发放情况1次，抽查中未发现相关问题，未接到残疾人反应相关问题。</w:t>
      </w:r>
    </w:p>
    <w:p w14:paraId="56AFA7C4">
      <w:pPr>
        <w:topLinePunct/>
        <w:spacing w:line="560" w:lineRule="exact"/>
        <w:ind w:firstLine="594" w:firstLineChars="200"/>
        <w:rPr>
          <w:rFonts w:ascii="黑体" w:eastAsia="黑体"/>
          <w:kern w:val="0"/>
          <w:szCs w:val="32"/>
        </w:rPr>
      </w:pPr>
      <w:r>
        <w:rPr>
          <w:rFonts w:hint="eastAsia" w:ascii="黑体" w:eastAsia="黑体"/>
          <w:kern w:val="0"/>
          <w:szCs w:val="32"/>
        </w:rPr>
        <w:t>三、项目组织实施情况</w:t>
      </w:r>
    </w:p>
    <w:p w14:paraId="74649009">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项目组织情况分析，主要包括项目前期准备、招投标、调整、竣工验收等情况。项目管理情况分析，主要包括项目管理制度、办法的制订、日常检查监督管理等情况。</w:t>
      </w:r>
    </w:p>
    <w:p w14:paraId="60121BBF">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2021年残疾人事业各项项目工作，从保障残疾人合法权益，帮助残疾人恢复身体、社会功能，推进社会和谐发展的目标出发，按照残疾人需求筛查、项目计划申报开展、残疾人申请、社区初审公示、街道复审、区残联审核、组织实施落实、后期检查的步骤开展项目工作。项目工作充分尊重残疾人意愿，接受社会各界监督、社区街道层层把关，确保资金落实到位。严格按照《呈贡区残联“三重一大”集体决策制度》、《呈贡区残联办公会议制度》、《呈贡区残联理事会议议事规则》、《呈贡区残联财务管理制度》、《呈贡区残联下拨资金和实物管理办法》、《呈贡区残联资金及设备使用情况监督检查制度》、《呈贡区残联固定资产管理制度》等相关制度实施，从资金使用前、使用中、使用后都进行有效监管和控制，确保资金使用的安全性、规范性和有效性。经过检查，各项工作均全部按要求实施，没有未完成或者未开展的情况发展。</w:t>
      </w:r>
    </w:p>
    <w:p w14:paraId="297329C1">
      <w:pPr>
        <w:topLinePunct/>
        <w:spacing w:line="560" w:lineRule="exact"/>
        <w:ind w:firstLine="594" w:firstLineChars="200"/>
        <w:rPr>
          <w:rFonts w:ascii="黑体" w:eastAsia="黑体"/>
          <w:kern w:val="0"/>
          <w:szCs w:val="32"/>
        </w:rPr>
      </w:pPr>
      <w:r>
        <w:rPr>
          <w:rFonts w:hint="eastAsia" w:ascii="黑体" w:eastAsia="黑体"/>
          <w:kern w:val="0"/>
          <w:szCs w:val="32"/>
        </w:rPr>
        <w:t>四、项目绩效情况</w:t>
      </w:r>
    </w:p>
    <w:p w14:paraId="19554980">
      <w:pPr>
        <w:topLinePunct/>
        <w:spacing w:line="560" w:lineRule="exact"/>
        <w:ind w:firstLine="594" w:firstLineChars="200"/>
        <w:rPr>
          <w:rFonts w:ascii="仿宋_GB2312"/>
          <w:kern w:val="0"/>
          <w:szCs w:val="32"/>
        </w:rPr>
      </w:pPr>
      <w:r>
        <w:rPr>
          <w:rFonts w:hint="eastAsia" w:ascii="仿宋_GB2312"/>
          <w:kern w:val="0"/>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776F059E">
      <w:pPr>
        <w:topLinePunct/>
        <w:spacing w:line="560" w:lineRule="exact"/>
        <w:ind w:firstLine="594" w:firstLineChars="200"/>
        <w:rPr>
          <w:rFonts w:ascii="仿宋_GB2312"/>
          <w:kern w:val="0"/>
          <w:szCs w:val="32"/>
        </w:rPr>
      </w:pPr>
      <w:r>
        <w:rPr>
          <w:rFonts w:hint="eastAsia" w:ascii="仿宋_GB2312"/>
          <w:kern w:val="0"/>
          <w:szCs w:val="32"/>
        </w:rPr>
        <w:t>2021年呈贡区残联项目工作均按照有关文件实施，在项目工作中严格执行预算控制，所有项目实施均在预算范围内，按照既定目标完成项目工作。个别残疾人事业项目资金支出速度较慢，主要原因是项目期间较长，项目资金投入主要在项目完成结算阶段，另外部分项目具有时效性，主要集中在9-11月开展，导致项目实施看似推迟或进展较慢，但所有项目均按照上级有关文件要求按时按质完成。2021年所有项目均达到项目目标，在康复、助学、托养、救助、就业、文化体育方面对残疾人进行了扶持，工作得到了区委区政府的肯定，受到残疾人的支持和欢迎，将残疾人事业推向了新的高度。项目结束后，区残联结合内控工作，积极开展绩效管理工作，及时进行资料收集与整理、信息反馈及评价工作，促进项目绩效管理工作顺利完成。充分运用项目绩效自评结果，区残联根据2021年项目实施情况，调整申报2022年预算，减少上级补助资金较多的项目预算，统筹中央、省、市、区项目资金使用，达到了项目绩效结果运用指导工作开展的目的，促进残疾人事业更好的发展。</w:t>
      </w:r>
    </w:p>
    <w:p w14:paraId="2643695B">
      <w:pPr>
        <w:topLinePunct/>
        <w:spacing w:line="560" w:lineRule="exact"/>
        <w:ind w:firstLine="594" w:firstLineChars="200"/>
        <w:rPr>
          <w:rFonts w:ascii="黑体" w:eastAsia="黑体"/>
          <w:kern w:val="0"/>
          <w:szCs w:val="32"/>
        </w:rPr>
      </w:pPr>
      <w:r>
        <w:rPr>
          <w:rFonts w:hint="eastAsia" w:ascii="黑体" w:eastAsia="黑体"/>
          <w:kern w:val="0"/>
          <w:szCs w:val="32"/>
        </w:rPr>
        <w:t>五、存在的问题</w:t>
      </w:r>
    </w:p>
    <w:p w14:paraId="60EAC774">
      <w:pPr>
        <w:topLinePunct/>
        <w:spacing w:line="560" w:lineRule="exact"/>
        <w:ind w:firstLine="594" w:firstLineChars="200"/>
        <w:rPr>
          <w:rFonts w:ascii="仿宋_GB2312"/>
          <w:kern w:val="0"/>
          <w:szCs w:val="32"/>
        </w:rPr>
      </w:pPr>
      <w:r>
        <w:rPr>
          <w:rFonts w:hint="eastAsia" w:ascii="仿宋_GB2312"/>
          <w:kern w:val="0"/>
          <w:szCs w:val="32"/>
        </w:rPr>
        <w:t>（一）专项管理方面的问题。专项立项依据是否充分；是否有资金管理办法，资金管理办法是否规范等。</w:t>
      </w:r>
    </w:p>
    <w:p w14:paraId="1F9A7104">
      <w:pPr>
        <w:spacing w:line="560" w:lineRule="exact"/>
        <w:ind w:firstLine="594" w:firstLineChars="200"/>
        <w:jc w:val="left"/>
        <w:rPr>
          <w:rFonts w:ascii="仿宋_GB2312" w:hAnsi="仿宋_GB2312" w:cs="仿宋_GB2312"/>
          <w:kern w:val="0"/>
          <w:szCs w:val="32"/>
        </w:rPr>
      </w:pPr>
      <w:r>
        <w:rPr>
          <w:rFonts w:hint="eastAsia" w:ascii="仿宋_GB2312" w:hAnsi="仿宋_GB2312" w:cs="仿宋_GB2312"/>
          <w:kern w:val="0"/>
          <w:szCs w:val="32"/>
        </w:rPr>
        <w:t>2021年各项项目工作</w:t>
      </w:r>
      <w:r>
        <w:rPr>
          <w:rFonts w:hint="eastAsia" w:ascii="仿宋_GB2312"/>
          <w:kern w:val="0"/>
          <w:szCs w:val="32"/>
        </w:rPr>
        <w:t>均根据上级文件立项开展，针对残疾人康复、教育、托养、救助等需求立项。各项</w:t>
      </w:r>
      <w:r>
        <w:rPr>
          <w:rFonts w:hint="eastAsia" w:ascii="仿宋_GB2312" w:hAnsi="仿宋_GB2312" w:cs="仿宋_GB2312"/>
          <w:kern w:val="0"/>
          <w:szCs w:val="32"/>
        </w:rPr>
        <w:t>直接拨付街道的相项目资金，均根据财政资金管理使用要求，与区财政联合会发文，直接将区残联有关项目资金额度划转街道，由各街道根据自身财务资金管理要求及工作安排管理使用项目资金，对直接发放残疾人补贴的资金，由街道社区提交残疾人资金签领表复印件作为备查档案。属于与相关机构直接结算的，区残联根据相关文件要求，机构出具相应发票提供相应工作材料后进行资金拨付。</w:t>
      </w:r>
    </w:p>
    <w:p w14:paraId="17E90C00">
      <w:pPr>
        <w:topLinePunct/>
        <w:spacing w:line="560" w:lineRule="exact"/>
        <w:ind w:firstLine="594" w:firstLineChars="200"/>
        <w:rPr>
          <w:rFonts w:ascii="仿宋_GB2312"/>
          <w:kern w:val="0"/>
          <w:szCs w:val="32"/>
        </w:rPr>
      </w:pPr>
      <w:r>
        <w:rPr>
          <w:rFonts w:hint="eastAsia" w:ascii="仿宋_GB2312" w:hAnsi="仿宋_GB2312" w:cs="仿宋_GB2312"/>
          <w:kern w:val="0"/>
          <w:szCs w:val="32"/>
        </w:rPr>
        <w:t>相关省市资金使用情况均严格按照市残联要求进行材料报送，并接受上级对儿童康复等项目资金延伸审计及资金绩效评价，有效提高残疾人资金使用效益，进一步确保残疾人资金使用合规、合法、合理。</w:t>
      </w:r>
    </w:p>
    <w:p w14:paraId="7729FC75">
      <w:pPr>
        <w:topLinePunct/>
        <w:spacing w:line="560" w:lineRule="exact"/>
        <w:ind w:firstLine="594" w:firstLineChars="200"/>
        <w:rPr>
          <w:rFonts w:ascii="仿宋_GB2312"/>
          <w:kern w:val="0"/>
          <w:szCs w:val="32"/>
        </w:rPr>
      </w:pPr>
      <w:r>
        <w:rPr>
          <w:rFonts w:hint="eastAsia" w:ascii="仿宋_GB2312"/>
          <w:kern w:val="0"/>
          <w:szCs w:val="32"/>
        </w:rPr>
        <w:t>（二）资金分配方面的问题。资金分配是否合理，突出重点，公平公正；有无散小差现象；资金分配和使用方向是否与资金管理办法相符等。</w:t>
      </w:r>
    </w:p>
    <w:p w14:paraId="38FB84DC">
      <w:pPr>
        <w:topLinePunct/>
        <w:spacing w:line="560" w:lineRule="exact"/>
        <w:ind w:firstLine="594" w:firstLineChars="200"/>
        <w:rPr>
          <w:rFonts w:ascii="仿宋_GB2312"/>
          <w:kern w:val="0"/>
          <w:szCs w:val="32"/>
        </w:rPr>
      </w:pPr>
      <w:r>
        <w:rPr>
          <w:rFonts w:hint="eastAsia" w:ascii="仿宋_GB2312"/>
          <w:kern w:val="0"/>
          <w:szCs w:val="32"/>
        </w:rPr>
        <w:t>2021年项目工作均按照残疾人自主申请意愿及各街道持证残疾人比例、社区数进行分配划拨至街道，不存在资金偏向不公正、有偏差的问题，所有资金管理使用均按照上级有关项目文件要求进行实施。</w:t>
      </w:r>
    </w:p>
    <w:p w14:paraId="558B4CA4">
      <w:pPr>
        <w:topLinePunct/>
        <w:spacing w:line="560" w:lineRule="exact"/>
        <w:ind w:firstLine="594" w:firstLineChars="200"/>
        <w:rPr>
          <w:rFonts w:ascii="仿宋_GB2312"/>
          <w:kern w:val="0"/>
          <w:szCs w:val="32"/>
        </w:rPr>
      </w:pPr>
      <w:r>
        <w:rPr>
          <w:rFonts w:hint="eastAsia" w:ascii="仿宋_GB2312"/>
          <w:kern w:val="0"/>
          <w:szCs w:val="32"/>
        </w:rPr>
        <w:t>（三）资金拨付方面的问题。拨付是否及时，有无滞留、闲置等现象。</w:t>
      </w:r>
    </w:p>
    <w:p w14:paraId="02920283">
      <w:pPr>
        <w:topLinePunct/>
        <w:spacing w:line="560" w:lineRule="exact"/>
        <w:ind w:firstLine="594" w:firstLineChars="200"/>
        <w:rPr>
          <w:rFonts w:ascii="仿宋_GB2312"/>
          <w:kern w:val="0"/>
          <w:szCs w:val="32"/>
        </w:rPr>
      </w:pPr>
      <w:r>
        <w:rPr>
          <w:rFonts w:hint="eastAsia" w:ascii="仿宋_GB2312"/>
          <w:kern w:val="0"/>
          <w:szCs w:val="32"/>
        </w:rPr>
        <w:t>2021年各个项目资金均按照项目工作计划按期开展并按时拨付项目资金至有关街道，个别项目支出进度不高，主要是项目支付方式及项目本身具有时效性影响，无滞留、闲置情况发生。</w:t>
      </w:r>
    </w:p>
    <w:p w14:paraId="1CC15D57">
      <w:pPr>
        <w:topLinePunct/>
        <w:spacing w:line="560" w:lineRule="exact"/>
        <w:ind w:firstLine="594" w:firstLineChars="200"/>
        <w:rPr>
          <w:rFonts w:ascii="仿宋_GB2312"/>
          <w:kern w:val="0"/>
          <w:szCs w:val="32"/>
        </w:rPr>
      </w:pPr>
      <w:r>
        <w:rPr>
          <w:rFonts w:hint="eastAsia" w:ascii="仿宋_GB2312"/>
          <w:kern w:val="0"/>
          <w:szCs w:val="32"/>
        </w:rPr>
        <w:t>（四）资金使用方面的问题。资金使用是否合规，有无截留、挪用等现象，资金使用是否产生效益等。</w:t>
      </w:r>
    </w:p>
    <w:p w14:paraId="2F13E5C6">
      <w:pPr>
        <w:spacing w:line="560" w:lineRule="exact"/>
        <w:ind w:firstLine="594" w:firstLineChars="200"/>
        <w:jc w:val="left"/>
        <w:rPr>
          <w:rFonts w:ascii="仿宋_GB2312"/>
          <w:kern w:val="0"/>
          <w:szCs w:val="32"/>
        </w:rPr>
      </w:pPr>
      <w:r>
        <w:rPr>
          <w:rFonts w:hint="eastAsia" w:ascii="仿宋_GB2312" w:hAnsi="仿宋_GB2312" w:cs="仿宋_GB2312"/>
          <w:kern w:val="0"/>
          <w:szCs w:val="32"/>
        </w:rPr>
        <w:t>呈贡区残联严格按照《呈贡区残联下拨资金和实物管理办法》、《呈贡区残联资金及设备使用情况监督检查制度》要求，将资金和实物检查形成常态工作，2021年各业务科室积极开展资金和物资发放抽查工作，未发现截留挪用项目资金情况，各个项目工作均顺利实施完成，2021年残疾人</w:t>
      </w:r>
      <w:bookmarkStart w:id="3" w:name="_GoBack"/>
      <w:bookmarkEnd w:id="3"/>
      <w:r>
        <w:rPr>
          <w:rFonts w:hint="eastAsia" w:ascii="仿宋_GB2312" w:hAnsi="仿宋_GB2312" w:cs="仿宋_GB2312"/>
          <w:kern w:val="0"/>
          <w:szCs w:val="32"/>
        </w:rPr>
        <w:t>稳定，无越级上访、群体上访等事件发生。</w:t>
      </w:r>
    </w:p>
    <w:p w14:paraId="6A08E3A9">
      <w:pPr>
        <w:topLinePunct/>
        <w:spacing w:line="560" w:lineRule="exact"/>
        <w:ind w:firstLine="594" w:firstLineChars="200"/>
        <w:rPr>
          <w:rFonts w:ascii="黑体" w:eastAsia="黑体"/>
          <w:kern w:val="0"/>
          <w:szCs w:val="32"/>
        </w:rPr>
      </w:pPr>
      <w:r>
        <w:rPr>
          <w:rFonts w:hint="eastAsia" w:ascii="黑体" w:eastAsia="黑体"/>
          <w:kern w:val="0"/>
          <w:szCs w:val="32"/>
        </w:rPr>
        <w:t>六、其他需要说明的问题</w:t>
      </w:r>
    </w:p>
    <w:p w14:paraId="176DB134">
      <w:pPr>
        <w:topLinePunct/>
        <w:spacing w:line="560" w:lineRule="exact"/>
        <w:ind w:firstLine="594" w:firstLineChars="200"/>
        <w:rPr>
          <w:rFonts w:ascii="仿宋_GB2312"/>
          <w:kern w:val="0"/>
          <w:szCs w:val="32"/>
        </w:rPr>
      </w:pPr>
      <w:r>
        <w:rPr>
          <w:rFonts w:hint="eastAsia" w:ascii="楷体_GB2312" w:hAnsi="楷体_GB2312" w:eastAsia="楷体_GB2312" w:cs="楷体_GB2312"/>
          <w:kern w:val="0"/>
          <w:szCs w:val="32"/>
        </w:rPr>
        <w:t>（一）后续工作计划。</w:t>
      </w:r>
    </w:p>
    <w:p w14:paraId="1422C9C2">
      <w:pPr>
        <w:topLinePunct/>
        <w:spacing w:line="560" w:lineRule="exact"/>
        <w:ind w:firstLine="594" w:firstLineChars="200"/>
        <w:rPr>
          <w:rFonts w:ascii="仿宋_GB2312"/>
          <w:kern w:val="0"/>
          <w:szCs w:val="32"/>
        </w:rPr>
      </w:pPr>
      <w:r>
        <w:rPr>
          <w:rFonts w:hint="eastAsia" w:ascii="仿宋_GB2312" w:hAnsi="仿宋_GB2312" w:cs="仿宋_GB2312"/>
          <w:kern w:val="0"/>
          <w:szCs w:val="32"/>
        </w:rPr>
        <w:t>下步工作中，区残联将加强资金落实监管，加强各业务科室绩效自评知识普及宣传，不断完善绩效评价制度建设，继续严格按照区委、区政府及区财政局的相关要求，做好预算绩效管理工作，整合上级下拨项目资金，全面提高残疾人资金使用效率，为残疾人争取实实在在的利益。</w:t>
      </w:r>
    </w:p>
    <w:p w14:paraId="16C7CFC2">
      <w:pPr>
        <w:topLinePunct/>
        <w:spacing w:line="560" w:lineRule="exact"/>
        <w:ind w:firstLine="594"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（二）主要经验做法、改进措施和有关建议等。</w:t>
      </w:r>
    </w:p>
    <w:p w14:paraId="5412E5AF">
      <w:pPr>
        <w:spacing w:line="560" w:lineRule="exact"/>
        <w:ind w:firstLine="594" w:firstLineChars="200"/>
        <w:rPr>
          <w:kern w:val="0"/>
        </w:rPr>
      </w:pPr>
      <w:r>
        <w:rPr>
          <w:rFonts w:hint="eastAsia"/>
          <w:kern w:val="0"/>
        </w:rPr>
        <w:t>各业务科室要进一步提高项目绩效评价管理工作的认识，掌握本科室涉及项目工作的绩效指标，依照指标推进工作，对项目绩效指标提出好的意见建议，积极运用项目绩效评价结果指导工作，促进项目工作按期按质量全面完成。</w:t>
      </w:r>
    </w:p>
    <w:p w14:paraId="00283AC7">
      <w:pPr>
        <w:spacing w:line="560" w:lineRule="exact"/>
        <w:rPr>
          <w:kern w:val="0"/>
        </w:rPr>
      </w:pPr>
    </w:p>
    <w:p w14:paraId="55AB0D7E">
      <w:pPr>
        <w:topLinePunct/>
        <w:spacing w:line="560" w:lineRule="exact"/>
        <w:ind w:firstLine="594" w:firstLineChars="200"/>
        <w:jc w:val="right"/>
        <w:rPr>
          <w:rFonts w:ascii="仿宋_GB2312" w:hAnsi="仿宋_GB2312" w:cs="仿宋_GB2312"/>
          <w:kern w:val="0"/>
          <w:szCs w:val="32"/>
        </w:rPr>
      </w:pPr>
      <w:r>
        <w:rPr>
          <w:rFonts w:hint="eastAsia" w:ascii="仿宋_GB2312" w:hAnsi="仿宋_GB2312" w:cs="仿宋_GB2312"/>
          <w:kern w:val="0"/>
          <w:szCs w:val="32"/>
        </w:rPr>
        <w:t>昆明市呈贡区残疾人联合会</w:t>
      </w:r>
    </w:p>
    <w:p w14:paraId="52DC4519">
      <w:pPr>
        <w:topLinePunct/>
        <w:ind w:firstLine="594" w:firstLineChars="200"/>
        <w:rPr>
          <w:rFonts w:ascii="仿宋_GB2312"/>
          <w:szCs w:val="32"/>
        </w:rPr>
      </w:pPr>
      <w:r>
        <w:rPr>
          <w:rFonts w:hint="eastAsia" w:ascii="仿宋_GB2312" w:hAnsi="仿宋_GB2312" w:cs="仿宋_GB2312"/>
          <w:kern w:val="0"/>
          <w:szCs w:val="32"/>
        </w:rPr>
        <w:t xml:space="preserve">                              2022年3月21日</w:t>
      </w:r>
    </w:p>
    <w:p w14:paraId="29B82B03"/>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2A1"/>
    <w:rsid w:val="00081479"/>
    <w:rsid w:val="000F520D"/>
    <w:rsid w:val="00176CCC"/>
    <w:rsid w:val="00193B78"/>
    <w:rsid w:val="002D46C6"/>
    <w:rsid w:val="00300E8B"/>
    <w:rsid w:val="003307EC"/>
    <w:rsid w:val="0035331C"/>
    <w:rsid w:val="003E44E3"/>
    <w:rsid w:val="00420BCD"/>
    <w:rsid w:val="004549BF"/>
    <w:rsid w:val="00557D55"/>
    <w:rsid w:val="005E4A8D"/>
    <w:rsid w:val="0064293F"/>
    <w:rsid w:val="00646CE7"/>
    <w:rsid w:val="008F4E3E"/>
    <w:rsid w:val="00905F66"/>
    <w:rsid w:val="009602A1"/>
    <w:rsid w:val="00A24B53"/>
    <w:rsid w:val="00A35706"/>
    <w:rsid w:val="00B45E1E"/>
    <w:rsid w:val="00B541C5"/>
    <w:rsid w:val="00B926CD"/>
    <w:rsid w:val="00C34B73"/>
    <w:rsid w:val="00D40E61"/>
    <w:rsid w:val="00D75C50"/>
    <w:rsid w:val="00F74F77"/>
    <w:rsid w:val="00F95181"/>
    <w:rsid w:val="05AE36CA"/>
    <w:rsid w:val="35461EDF"/>
    <w:rsid w:val="378A5996"/>
    <w:rsid w:val="5A3C6978"/>
    <w:rsid w:val="67600811"/>
    <w:rsid w:val="79391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3912</Words>
  <Characters>4188</Characters>
  <Lines>30</Lines>
  <Paragraphs>8</Paragraphs>
  <TotalTime>254</TotalTime>
  <ScaleCrop>false</ScaleCrop>
  <LinksUpToDate>false</LinksUpToDate>
  <CharactersWithSpaces>4221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llllorn. man</cp:lastModifiedBy>
  <dcterms:modified xsi:type="dcterms:W3CDTF">2025-06-19T08:16:06Z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eyJoZGlkIjoiZjE5MTZhZjllNzU5YmFjNzczZTQ1YWJjMTJjZmE1NDEiLCJ1c2VySWQiOiI1ODY4MTA2NzgifQ==</vt:lpwstr>
  </property>
  <property fmtid="{D5CDD505-2E9C-101B-9397-08002B2CF9AE}" pid="4" name="ICV">
    <vt:lpwstr>41BEB2B8FC754CD3AAA10BDA54E35C24_12</vt:lpwstr>
  </property>
</Properties>
</file>