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6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评分办法</w:t>
      </w:r>
    </w:p>
    <w:p>
      <w:pPr>
        <w:widowControl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after="0"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一、总则</w:t>
      </w:r>
    </w:p>
    <w:p>
      <w:pPr>
        <w:pStyle w:val="1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根据《中华人民共和国政府采购法》《中华人民共和国政府采购法实施条例》《政府采购货物和服务招标投标管理办法》（财政部令第87号）等有关法律、法规和规章的规定，制定本办法。</w:t>
      </w:r>
    </w:p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Toc5787"/>
      <w:bookmarkStart w:id="1" w:name="_Toc24134"/>
      <w:bookmarkStart w:id="2" w:name="_Toc7905"/>
      <w:bookmarkStart w:id="3" w:name="_Toc19995"/>
      <w:r>
        <w:rPr>
          <w:rFonts w:hint="eastAsia" w:ascii="黑体" w:hAnsi="黑体" w:eastAsia="黑体" w:cs="黑体"/>
          <w:sz w:val="32"/>
          <w:szCs w:val="32"/>
        </w:rPr>
        <w:t>二、评审原则</w:t>
      </w:r>
      <w:bookmarkEnd w:id="0"/>
      <w:bookmarkEnd w:id="1"/>
      <w:bookmarkEnd w:id="2"/>
      <w:bookmarkEnd w:id="3"/>
    </w:p>
    <w:p>
      <w:pPr>
        <w:pStyle w:val="12"/>
        <w:widowControl w:val="0"/>
        <w:tabs>
          <w:tab w:val="left" w:pos="567"/>
        </w:tabs>
        <w:spacing w:before="0" w:line="560" w:lineRule="exact"/>
        <w:ind w:left="0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坚持公平、公正、科学、择优的原则，本着实事求是的精神，不带有任何主观意愿和偏见，认真负责地做好评审工作，公平、公正地对待每一个供应商，全面分析，综合评审。</w:t>
      </w:r>
    </w:p>
    <w:p>
      <w:pPr>
        <w:pStyle w:val="12"/>
        <w:widowControl w:val="0"/>
        <w:tabs>
          <w:tab w:val="left" w:pos="426"/>
        </w:tabs>
        <w:spacing w:before="0" w:line="560" w:lineRule="exact"/>
        <w:ind w:left="0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评审只对供应商的响应文件进行评审，响应文件以外的资料、信息不应作为评审的依据。</w:t>
      </w:r>
    </w:p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4" w:name="_Toc29093"/>
      <w:bookmarkStart w:id="5" w:name="_Toc1443"/>
      <w:bookmarkStart w:id="6" w:name="_Toc11916"/>
      <w:bookmarkStart w:id="7" w:name="_Toc8665"/>
      <w:r>
        <w:rPr>
          <w:rFonts w:hint="eastAsia" w:ascii="黑体" w:hAnsi="黑体" w:eastAsia="黑体" w:cs="黑体"/>
          <w:sz w:val="32"/>
          <w:szCs w:val="32"/>
        </w:rPr>
        <w:t>三、综合评分</w:t>
      </w:r>
      <w:bookmarkEnd w:id="4"/>
      <w:bookmarkEnd w:id="5"/>
      <w:bookmarkEnd w:id="6"/>
      <w:bookmarkEnd w:id="7"/>
    </w:p>
    <w:p>
      <w:pPr>
        <w:pStyle w:val="2"/>
        <w:widowControl w:val="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按照承接标准先进行资格审查，对通过资格审查的响应文件按以下方法进行综合评分。</w:t>
      </w:r>
    </w:p>
    <w:p>
      <w:pPr>
        <w:pStyle w:val="1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评审小组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按以下公式计算出各供应商的总得分，推荐中标候选人按评审总得分由高到低顺序排列；评审总得分相同的，按响应报价由低到高顺序排列；评审总得分且响应报价相同的，按技术部分得分高低排列，依次类推。</w:t>
      </w:r>
    </w:p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四、评分办法（综合评分法）</w:t>
      </w:r>
    </w:p>
    <w:p>
      <w:pPr>
        <w:pStyle w:val="10"/>
        <w:spacing w:after="0" w:line="560" w:lineRule="exact"/>
        <w:ind w:firstLine="640" w:firstLineChars="200"/>
        <w:jc w:val="both"/>
        <w:outlineLvl w:val="1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1.分值构成（满分100分）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评审小组仅对通过资格审查的供应商的响应文件进行详细评审，详细评审（满分100分）分为商务评审和技术评审两部分，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F1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报价部分=</w:t>
      </w:r>
      <w:r>
        <w:rPr>
          <w:rFonts w:hint="default" w:ascii="仿宋_GB2312" w:hAnsi="仿宋_GB2312" w:eastAsia="仿宋_GB2312" w:cs="仿宋_GB2312"/>
          <w:kern w:val="1"/>
          <w:sz w:val="32"/>
          <w:szCs w:val="32"/>
          <w:lang w:val="en"/>
        </w:rPr>
        <w:t>25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F2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技术部分=</w:t>
      </w:r>
      <w:r>
        <w:rPr>
          <w:rFonts w:hint="default" w:ascii="仿宋_GB2312" w:hAnsi="仿宋_GB2312" w:eastAsia="仿宋_GB2312" w:cs="仿宋_GB2312"/>
          <w:kern w:val="1"/>
          <w:sz w:val="32"/>
          <w:szCs w:val="32"/>
          <w:lang w:val="en"/>
        </w:rPr>
        <w:t>75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供应商的最后得分=F1+F2，评审小组按供应商的最后得分高低进行排序。</w:t>
      </w:r>
    </w:p>
    <w:p>
      <w:pPr>
        <w:widowControl w:val="0"/>
        <w:spacing w:line="560" w:lineRule="exact"/>
        <w:ind w:firstLine="640" w:firstLineChars="200"/>
        <w:jc w:val="both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2.商务评审：F1价格部分评分办法（满分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参考《云南省建设工程招标代理服务收费指导意见（试行）》文件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计算服务费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报下浮率，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每多下浮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分，加到满分为止。</w:t>
      </w:r>
    </w:p>
    <w:p>
      <w:pPr>
        <w:widowControl w:val="0"/>
        <w:snapToGrid w:val="0"/>
        <w:spacing w:line="560" w:lineRule="exact"/>
        <w:ind w:firstLine="640" w:firstLineChars="200"/>
        <w:jc w:val="both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3.技术评审：F2技术部分评分办法（满分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88"/>
        <w:gridCol w:w="5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条款号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评分项目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工作方案评审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（1）招标代理工作方案内容全面、完整、科学合理，具有较强针对性，能完全满足项目需要的得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（2）招标代理工作方案内容基本全面、完整，有针对性，能满足项目需要的得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（3）招标代理工作方案合理，但针对性不足，基本能满足项目需要的得1～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（4）未作任何说明的不得分。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服务周期承诺及保障措施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评审（满分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（1）服务周期承诺满足要求，保障措施全面具体，具有较强针对性，有具体的违约承诺的得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（2）服务周期承诺满足要求，保障措施基本全面，但针对性一般，有违约承诺但不具体的得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（3）服务周期承诺满足要求，保障措施不全面，缺乏针对性，无违约承诺的得1～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（4）未作任何说明的不得分。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bookmarkStart w:id="8" w:name="OLE_LINK63"/>
            <w:bookmarkStart w:id="9" w:name="OLE_LINK64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服务质量承诺及保障措施</w:t>
            </w:r>
            <w:bookmarkEnd w:id="8"/>
            <w:bookmarkEnd w:id="9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评审（满分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（1）服务质量承诺满足要求，保障措施全面具体，具有较强针对性，有具体的违约承诺的得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（2）服务质量承诺满足要求，保障措施基本全面，但针对性一般，有违约承诺但不具体的得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（3）服务质量承诺满足要求，保障措施不全面，缺乏针对性，无违约承诺的得1～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（4）无服务承诺的不得分。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项目负责人评审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满分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级工程师及以上职称，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满足资格要求得基础分2分。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拟派往本项目的项目负责人在满足资格要求的基础上每增加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一个招标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代理业绩的得2分，分数加满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①附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拟派往本项目的项目负责人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缴纳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社保证明材料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。②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业绩证明材料为合同协议书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bookmarkStart w:id="10" w:name="_Hlk59637273"/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</w:rPr>
              <w:t>服务团队配备</w:t>
            </w:r>
            <w:bookmarkEnd w:id="10"/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7" w:hanging="35" w:hangingChars="1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项目组成员不少于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（含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人），满足资格要求得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基础分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项目组成员之外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每增加1名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具备中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highlight w:val="none"/>
              </w:rPr>
              <w:t>级工程师及以上职称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且具有5年及以上工作经验的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分数加满8分为止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注：附拟派往本项目的项目组成员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highlight w:val="none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highlight w:val="none"/>
              </w:rPr>
              <w:t>缴纳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社保证明材料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业绩（满分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7" w:hanging="35" w:hangingChars="1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至少承担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过一个已完成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招标代理业绩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得基础分2分。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7" w:hanging="35" w:hangingChars="1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每增加一个2022年至今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已完成的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招标代理业绩加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分数加满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为止。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33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注：业绩证明材料为合同协议书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、得分汇总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1.评审小组应首先对各供应商响应文件进行评审，按文件规定分值评分。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2.除价格得分外，其余部分由各评委自主评分并签字确认。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.得分汇总：各项评分因素得分的总和即为供应商最后得分。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kzidenz Grotesk BQ">
    <w:altName w:val="Agency FB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7CAFA"/>
    <w:multiLevelType w:val="singleLevel"/>
    <w:tmpl w:val="FF27CAF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783D3A40"/>
    <w:rsid w:val="001842A9"/>
    <w:rsid w:val="00596F61"/>
    <w:rsid w:val="00ED75B8"/>
    <w:rsid w:val="00FD2E05"/>
    <w:rsid w:val="030B47EA"/>
    <w:rsid w:val="047563BF"/>
    <w:rsid w:val="051A3997"/>
    <w:rsid w:val="055F2BCB"/>
    <w:rsid w:val="058517C8"/>
    <w:rsid w:val="0B6158EF"/>
    <w:rsid w:val="0BE525D4"/>
    <w:rsid w:val="0C056B17"/>
    <w:rsid w:val="0D75168C"/>
    <w:rsid w:val="0DA36D33"/>
    <w:rsid w:val="114D00B1"/>
    <w:rsid w:val="18714C97"/>
    <w:rsid w:val="19102125"/>
    <w:rsid w:val="19364C90"/>
    <w:rsid w:val="19C37774"/>
    <w:rsid w:val="1AB54C3E"/>
    <w:rsid w:val="1B8D003A"/>
    <w:rsid w:val="1D274406"/>
    <w:rsid w:val="1EAE5450"/>
    <w:rsid w:val="1EED5F1F"/>
    <w:rsid w:val="1FBF796F"/>
    <w:rsid w:val="1FEF5FE7"/>
    <w:rsid w:val="1FFF032E"/>
    <w:rsid w:val="21116299"/>
    <w:rsid w:val="22042D52"/>
    <w:rsid w:val="23C105E4"/>
    <w:rsid w:val="24857B00"/>
    <w:rsid w:val="25070E5D"/>
    <w:rsid w:val="2677791D"/>
    <w:rsid w:val="2A9D36CA"/>
    <w:rsid w:val="2EC60179"/>
    <w:rsid w:val="2EF47ADA"/>
    <w:rsid w:val="2FEF0006"/>
    <w:rsid w:val="32751E70"/>
    <w:rsid w:val="32DD268A"/>
    <w:rsid w:val="34767465"/>
    <w:rsid w:val="35B82646"/>
    <w:rsid w:val="36683636"/>
    <w:rsid w:val="391159AF"/>
    <w:rsid w:val="39982257"/>
    <w:rsid w:val="3A6D6CBF"/>
    <w:rsid w:val="3B9A7EDD"/>
    <w:rsid w:val="3F6ADEEF"/>
    <w:rsid w:val="3F7F2BDE"/>
    <w:rsid w:val="3FBB6AA5"/>
    <w:rsid w:val="3FC2701F"/>
    <w:rsid w:val="3FFB3C14"/>
    <w:rsid w:val="40E340D5"/>
    <w:rsid w:val="4383682F"/>
    <w:rsid w:val="44AD3D7F"/>
    <w:rsid w:val="45072272"/>
    <w:rsid w:val="451E1508"/>
    <w:rsid w:val="45B35943"/>
    <w:rsid w:val="45D94923"/>
    <w:rsid w:val="466C5BC1"/>
    <w:rsid w:val="46B5206F"/>
    <w:rsid w:val="47136D96"/>
    <w:rsid w:val="49857D1F"/>
    <w:rsid w:val="49BE8050"/>
    <w:rsid w:val="4A3862E1"/>
    <w:rsid w:val="4C1A4723"/>
    <w:rsid w:val="4EB8094F"/>
    <w:rsid w:val="4F140241"/>
    <w:rsid w:val="4FBF8D61"/>
    <w:rsid w:val="4FBFACE0"/>
    <w:rsid w:val="55B341E5"/>
    <w:rsid w:val="56690780"/>
    <w:rsid w:val="56EFA5B7"/>
    <w:rsid w:val="56FDB4FA"/>
    <w:rsid w:val="576A195A"/>
    <w:rsid w:val="57F70FA3"/>
    <w:rsid w:val="5BFEB3AD"/>
    <w:rsid w:val="5D77A56A"/>
    <w:rsid w:val="5E6ECB83"/>
    <w:rsid w:val="5F2FDBF2"/>
    <w:rsid w:val="5FAB141B"/>
    <w:rsid w:val="5FF7A978"/>
    <w:rsid w:val="5FFC7E6E"/>
    <w:rsid w:val="5FFDFDE4"/>
    <w:rsid w:val="60BB49EA"/>
    <w:rsid w:val="613123F4"/>
    <w:rsid w:val="63A80B5B"/>
    <w:rsid w:val="650C334B"/>
    <w:rsid w:val="65626CE0"/>
    <w:rsid w:val="65962C14"/>
    <w:rsid w:val="66F711AF"/>
    <w:rsid w:val="67A72459"/>
    <w:rsid w:val="67BDCC5E"/>
    <w:rsid w:val="6AFF4165"/>
    <w:rsid w:val="6B6F018F"/>
    <w:rsid w:val="6B712159"/>
    <w:rsid w:val="6BD84824"/>
    <w:rsid w:val="6C6F2A7F"/>
    <w:rsid w:val="6CE4695B"/>
    <w:rsid w:val="6DEF1662"/>
    <w:rsid w:val="6EDF8A4C"/>
    <w:rsid w:val="6F5B7E3A"/>
    <w:rsid w:val="6F7C9883"/>
    <w:rsid w:val="6F7F2A7A"/>
    <w:rsid w:val="6FFF2A0C"/>
    <w:rsid w:val="716171E3"/>
    <w:rsid w:val="71FDB67A"/>
    <w:rsid w:val="732EDEBD"/>
    <w:rsid w:val="735FF8E9"/>
    <w:rsid w:val="73FB0366"/>
    <w:rsid w:val="75B16714"/>
    <w:rsid w:val="76CB6DD5"/>
    <w:rsid w:val="76DEF775"/>
    <w:rsid w:val="77ED5A7E"/>
    <w:rsid w:val="77FFFB48"/>
    <w:rsid w:val="783D3A40"/>
    <w:rsid w:val="797B0C6B"/>
    <w:rsid w:val="799FB984"/>
    <w:rsid w:val="7A636BF5"/>
    <w:rsid w:val="7AF4E536"/>
    <w:rsid w:val="7AF925F8"/>
    <w:rsid w:val="7AFF2CE3"/>
    <w:rsid w:val="7B5829EE"/>
    <w:rsid w:val="7B9E0368"/>
    <w:rsid w:val="7BBBF29E"/>
    <w:rsid w:val="7BD945B1"/>
    <w:rsid w:val="7BDEB312"/>
    <w:rsid w:val="7D7F036F"/>
    <w:rsid w:val="7DCE55FD"/>
    <w:rsid w:val="7E253140"/>
    <w:rsid w:val="7E2B4AB7"/>
    <w:rsid w:val="7EDF09B4"/>
    <w:rsid w:val="7EFF1873"/>
    <w:rsid w:val="7F373E21"/>
    <w:rsid w:val="7F5F2734"/>
    <w:rsid w:val="7FABDCED"/>
    <w:rsid w:val="7FB9A8C2"/>
    <w:rsid w:val="7FD2DF56"/>
    <w:rsid w:val="7FDB52EC"/>
    <w:rsid w:val="7FDF74D8"/>
    <w:rsid w:val="7FED5778"/>
    <w:rsid w:val="7FEF0951"/>
    <w:rsid w:val="7FFB9682"/>
    <w:rsid w:val="8953264D"/>
    <w:rsid w:val="8EBCD2EF"/>
    <w:rsid w:val="9FBD5CBA"/>
    <w:rsid w:val="AF356D71"/>
    <w:rsid w:val="AFFD43FE"/>
    <w:rsid w:val="B5BEA23F"/>
    <w:rsid w:val="BCD6B879"/>
    <w:rsid w:val="BCEDC461"/>
    <w:rsid w:val="BDEB4BA1"/>
    <w:rsid w:val="BE5B594D"/>
    <w:rsid w:val="BFFCC762"/>
    <w:rsid w:val="CF5E1F99"/>
    <w:rsid w:val="CF7C9586"/>
    <w:rsid w:val="CFC7969D"/>
    <w:rsid w:val="D69FFA57"/>
    <w:rsid w:val="D7F767F6"/>
    <w:rsid w:val="DBDF94FA"/>
    <w:rsid w:val="DDBEDB27"/>
    <w:rsid w:val="DF3EDF63"/>
    <w:rsid w:val="E3FDC820"/>
    <w:rsid w:val="E7EBA469"/>
    <w:rsid w:val="E7EEF2C6"/>
    <w:rsid w:val="E7FFF55B"/>
    <w:rsid w:val="EDBCFEB1"/>
    <w:rsid w:val="EDE361B8"/>
    <w:rsid w:val="EE5E0553"/>
    <w:rsid w:val="EFBDAAFB"/>
    <w:rsid w:val="EFFB1507"/>
    <w:rsid w:val="F2DFDD51"/>
    <w:rsid w:val="F6EBCEAC"/>
    <w:rsid w:val="F73DA86C"/>
    <w:rsid w:val="F7FF7A49"/>
    <w:rsid w:val="F9F37D6F"/>
    <w:rsid w:val="F9F6176E"/>
    <w:rsid w:val="FB4F2552"/>
    <w:rsid w:val="FB7C3054"/>
    <w:rsid w:val="FBF1E2C4"/>
    <w:rsid w:val="FCF6FBE1"/>
    <w:rsid w:val="FD6FE1E4"/>
    <w:rsid w:val="FDFF13D4"/>
    <w:rsid w:val="FE978620"/>
    <w:rsid w:val="FEDDB05B"/>
    <w:rsid w:val="FEFE2F9E"/>
    <w:rsid w:val="FFB85FF4"/>
    <w:rsid w:val="FFBF7491"/>
    <w:rsid w:val="FFD65C17"/>
    <w:rsid w:val="FFEA9469"/>
    <w:rsid w:val="FFFF143B"/>
    <w:rsid w:val="FF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line="460" w:lineRule="exact"/>
      <w:ind w:firstLine="510"/>
    </w:pPr>
    <w:rPr>
      <w:rFonts w:ascii="Calibri" w:hAnsi="Calibri"/>
      <w:sz w:val="20"/>
    </w:rPr>
  </w:style>
  <w:style w:type="paragraph" w:styleId="6">
    <w:name w:val="Plain Text"/>
    <w:basedOn w:val="1"/>
    <w:next w:val="1"/>
    <w:unhideWhenUsed/>
    <w:qFormat/>
    <w:uiPriority w:val="0"/>
    <w:pPr>
      <w:widowControl w:val="0"/>
      <w:jc w:val="both"/>
    </w:pPr>
    <w:rPr>
      <w:rFonts w:ascii="宋体"/>
      <w:kern w:val="2"/>
      <w:szCs w:val="20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kzidenz Grotesk BQ" w:hAnsi="Akzidenz Grotesk BQ" w:eastAsia="宋体" w:cs="Akzidenz Grotesk BQ"/>
      <w:color w:val="000000"/>
      <w:sz w:val="24"/>
      <w:szCs w:val="24"/>
      <w:lang w:val="en-US" w:eastAsia="zh-CN" w:bidi="ar-SA"/>
    </w:rPr>
  </w:style>
  <w:style w:type="paragraph" w:customStyle="1" w:styleId="11">
    <w:name w:val="BodyText"/>
    <w:basedOn w:val="1"/>
    <w:qFormat/>
    <w:uiPriority w:val="0"/>
    <w:pPr>
      <w:spacing w:after="120"/>
      <w:textAlignment w:val="baseline"/>
    </w:pPr>
  </w:style>
  <w:style w:type="paragraph" w:customStyle="1" w:styleId="12">
    <w:name w:val="列出段落1"/>
    <w:basedOn w:val="1"/>
    <w:qFormat/>
    <w:uiPriority w:val="0"/>
    <w:pPr>
      <w:spacing w:before="117"/>
      <w:ind w:left="143" w:firstLine="420"/>
    </w:p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861</Characters>
  <Lines>7</Lines>
  <Paragraphs>2</Paragraphs>
  <TotalTime>19</TotalTime>
  <ScaleCrop>false</ScaleCrop>
  <LinksUpToDate>false</LinksUpToDate>
  <CharactersWithSpaces>1009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2024-05-21T01:16:00Z</dcterms:created>
  <dc:creator>江家杰</dc:creator>
  <cp:lastModifiedBy>kmcg</cp:lastModifiedBy>
  <cp:lastPrinted>2025-03-26T18:40:00Z</cp:lastPrinted>
  <dcterms:modified xsi:type="dcterms:W3CDTF">2025-06-17T10:26:09Z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6E7A15451203413991EC63DE01C8601E_11</vt:lpwstr>
  </property>
</Properties>
</file>