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EF3B09">
      <w:pPr>
        <w:spacing w:line="570" w:lineRule="exact"/>
        <w:jc w:val="center"/>
        <w:rPr>
          <w:rFonts w:hint="eastAsia" w:ascii="方正小标宋简体" w:hAnsi="华文中宋" w:eastAsia="方正小标宋简体"/>
          <w:spacing w:val="14"/>
          <w:sz w:val="44"/>
          <w:szCs w:val="44"/>
        </w:rPr>
      </w:pPr>
    </w:p>
    <w:p w14:paraId="63A14021">
      <w:pPr>
        <w:spacing w:line="570" w:lineRule="exact"/>
        <w:jc w:val="center"/>
        <w:rPr>
          <w:rFonts w:hint="eastAsia" w:ascii="黑体" w:hAnsi="黑体" w:eastAsia="黑体" w:cs="黑体"/>
          <w:sz w:val="36"/>
          <w:szCs w:val="36"/>
          <w:lang w:val="en-US" w:eastAsia="zh-CN"/>
        </w:rPr>
      </w:pPr>
      <w:bookmarkStart w:id="0" w:name="_GoBack"/>
      <w:r>
        <w:rPr>
          <w:rFonts w:hint="eastAsia" w:ascii="黑体" w:hAnsi="黑体" w:eastAsia="黑体" w:cs="黑体"/>
          <w:sz w:val="36"/>
          <w:szCs w:val="36"/>
          <w:lang w:val="en-US" w:eastAsia="zh-CN"/>
        </w:rPr>
        <w:t>昆明市呈贡区住房和城乡建设局部门</w:t>
      </w:r>
    </w:p>
    <w:p w14:paraId="00207DA8">
      <w:pPr>
        <w:spacing w:line="570" w:lineRule="exact"/>
        <w:jc w:val="center"/>
        <w:rPr>
          <w:rFonts w:hint="eastAsia" w:ascii="黑体" w:hAnsi="黑体" w:eastAsia="黑体" w:cs="黑体"/>
          <w:spacing w:val="14"/>
          <w:sz w:val="36"/>
          <w:szCs w:val="36"/>
        </w:rPr>
      </w:pPr>
      <w:r>
        <w:rPr>
          <w:rFonts w:hint="eastAsia" w:ascii="黑体" w:hAnsi="黑体" w:eastAsia="黑体" w:cs="黑体"/>
          <w:sz w:val="36"/>
          <w:szCs w:val="36"/>
          <w:lang w:val="en-US" w:eastAsia="zh-CN"/>
        </w:rPr>
        <w:t>2020</w:t>
      </w:r>
      <w:r>
        <w:rPr>
          <w:rFonts w:hint="eastAsia" w:ascii="黑体" w:hAnsi="黑体" w:eastAsia="黑体" w:cs="黑体"/>
          <w:sz w:val="36"/>
          <w:szCs w:val="36"/>
        </w:rPr>
        <w:t>年</w:t>
      </w:r>
      <w:r>
        <w:rPr>
          <w:rFonts w:hint="eastAsia" w:ascii="黑体" w:hAnsi="黑体" w:eastAsia="黑体" w:cs="黑体"/>
          <w:sz w:val="36"/>
          <w:szCs w:val="36"/>
          <w:lang w:val="en-US" w:eastAsia="zh-CN"/>
        </w:rPr>
        <w:t>中央财政城镇保障性安居工程专项资金用于城镇老旧小区改造</w:t>
      </w:r>
      <w:r>
        <w:rPr>
          <w:rFonts w:hint="eastAsia" w:ascii="黑体" w:hAnsi="黑体" w:eastAsia="黑体" w:cs="黑体"/>
          <w:spacing w:val="14"/>
          <w:sz w:val="36"/>
          <w:szCs w:val="36"/>
        </w:rPr>
        <w:t>项目</w:t>
      </w:r>
    </w:p>
    <w:bookmarkEnd w:id="0"/>
    <w:p w14:paraId="1CCAFFBF">
      <w:pPr>
        <w:spacing w:line="570" w:lineRule="exact"/>
        <w:jc w:val="center"/>
        <w:rPr>
          <w:rFonts w:hint="eastAsia" w:ascii="方正小标宋简体" w:hAnsi="华文中宋" w:eastAsia="方正小标宋简体"/>
          <w:spacing w:val="14"/>
          <w:sz w:val="44"/>
          <w:szCs w:val="44"/>
        </w:rPr>
      </w:pPr>
    </w:p>
    <w:p w14:paraId="3DB768FA">
      <w:pPr>
        <w:widowControl/>
        <w:numPr>
          <w:ilvl w:val="0"/>
          <w:numId w:val="1"/>
        </w:numPr>
        <w:ind w:firstLine="600"/>
        <w:jc w:val="left"/>
        <w:rPr>
          <w:rFonts w:hint="eastAsia" w:ascii="黑体" w:hAnsi="黑体" w:eastAsia="黑体"/>
          <w:sz w:val="30"/>
          <w:szCs w:val="30"/>
        </w:rPr>
      </w:pPr>
      <w:r>
        <w:rPr>
          <w:rFonts w:hint="eastAsia" w:ascii="黑体" w:hAnsi="黑体" w:eastAsia="黑体"/>
          <w:sz w:val="30"/>
          <w:szCs w:val="30"/>
        </w:rPr>
        <w:t>项目名称</w:t>
      </w:r>
    </w:p>
    <w:p w14:paraId="76FB0F95">
      <w:pPr>
        <w:widowControl/>
        <w:ind w:firstLine="600"/>
        <w:jc w:val="left"/>
        <w:rPr>
          <w:rFonts w:hint="eastAsia" w:eastAsia="仿宋_GB2312"/>
          <w:sz w:val="30"/>
          <w:szCs w:val="30"/>
          <w:lang w:eastAsia="zh-CN"/>
        </w:rPr>
      </w:pPr>
      <w:r>
        <w:rPr>
          <w:rFonts w:hint="eastAsia" w:eastAsia="仿宋_GB2312"/>
          <w:sz w:val="30"/>
          <w:szCs w:val="30"/>
          <w:lang w:val="en-US" w:eastAsia="zh-CN"/>
        </w:rPr>
        <w:t>中央财政城镇保障性安居工程专项资金用于城镇老旧小区改造</w:t>
      </w:r>
      <w:r>
        <w:rPr>
          <w:rFonts w:hint="eastAsia" w:eastAsia="仿宋_GB2312"/>
          <w:sz w:val="30"/>
          <w:szCs w:val="30"/>
          <w:lang w:eastAsia="zh-CN"/>
        </w:rPr>
        <w:t>项目</w:t>
      </w:r>
    </w:p>
    <w:p w14:paraId="229D564B">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立项依据</w:t>
      </w:r>
    </w:p>
    <w:p w14:paraId="45AC9171">
      <w:pPr>
        <w:widowControl/>
        <w:numPr>
          <w:ilvl w:val="0"/>
          <w:numId w:val="0"/>
        </w:numPr>
        <w:jc w:val="left"/>
        <w:rPr>
          <w:rFonts w:eastAsia="仿宋_GB2312"/>
          <w:sz w:val="30"/>
          <w:szCs w:val="30"/>
          <w:lang w:val="en-US" w:eastAsia="zh-CN"/>
        </w:rPr>
      </w:pPr>
      <w:r>
        <w:rPr>
          <w:rFonts w:hint="eastAsia" w:ascii="黑体" w:hAnsi="黑体" w:eastAsia="黑体" w:cs="黑体"/>
          <w:sz w:val="30"/>
          <w:szCs w:val="30"/>
          <w:lang w:val="en-US" w:eastAsia="zh-CN"/>
        </w:rPr>
        <w:t xml:space="preserve">     《</w:t>
      </w:r>
      <w:r>
        <w:rPr>
          <w:rFonts w:hint="eastAsia" w:eastAsia="仿宋_GB2312"/>
          <w:sz w:val="30"/>
          <w:szCs w:val="30"/>
          <w:lang w:val="en-US" w:eastAsia="zh-CN"/>
        </w:rPr>
        <w:t>昆明市财政局 昆明市住房和城乡建设局关于下达2020年中央财政城镇保障性安居工程补助资金用于城镇老旧小区改造的通知</w:t>
      </w:r>
      <w:r>
        <w:rPr>
          <w:rFonts w:hint="eastAsia" w:ascii="黑体" w:hAnsi="黑体" w:eastAsia="黑体" w:cs="黑体"/>
          <w:sz w:val="30"/>
          <w:szCs w:val="30"/>
          <w:lang w:val="en-US" w:eastAsia="zh-CN"/>
        </w:rPr>
        <w:t>》</w:t>
      </w:r>
      <w:r>
        <w:rPr>
          <w:rFonts w:hint="eastAsia" w:eastAsia="仿宋_GB2312"/>
          <w:sz w:val="30"/>
          <w:szCs w:val="30"/>
          <w:lang w:val="en-US" w:eastAsia="zh-CN"/>
        </w:rPr>
        <w:t>昆财建﹝2020﹞20号</w:t>
      </w:r>
    </w:p>
    <w:p w14:paraId="0E09B252">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项目实施单位</w:t>
      </w:r>
    </w:p>
    <w:p w14:paraId="2E62406F">
      <w:pPr>
        <w:widowControl/>
        <w:ind w:firstLine="600"/>
        <w:jc w:val="left"/>
        <w:rPr>
          <w:rFonts w:hint="eastAsia" w:eastAsia="仿宋_GB2312"/>
          <w:sz w:val="30"/>
          <w:szCs w:val="30"/>
          <w:lang w:val="en-US" w:eastAsia="zh-CN"/>
        </w:rPr>
      </w:pPr>
      <w:r>
        <w:rPr>
          <w:rFonts w:hint="eastAsia" w:eastAsia="仿宋_GB2312"/>
          <w:sz w:val="30"/>
          <w:szCs w:val="30"/>
        </w:rPr>
        <w:t>单位名称：</w:t>
      </w:r>
      <w:r>
        <w:rPr>
          <w:rFonts w:hint="eastAsia" w:eastAsia="仿宋_GB2312"/>
          <w:sz w:val="30"/>
          <w:szCs w:val="30"/>
          <w:lang w:eastAsia="zh-CN"/>
        </w:rPr>
        <w:t>昆明市呈贡区住房和城乡建设局</w:t>
      </w:r>
    </w:p>
    <w:p w14:paraId="4234F776">
      <w:pPr>
        <w:widowControl/>
        <w:ind w:firstLine="600"/>
        <w:jc w:val="left"/>
        <w:rPr>
          <w:rFonts w:eastAsia="仿宋_GB2312"/>
          <w:sz w:val="30"/>
          <w:szCs w:val="30"/>
          <w:lang w:val="en-US" w:eastAsia="zh-CN"/>
        </w:rPr>
      </w:pPr>
      <w:r>
        <w:rPr>
          <w:rFonts w:hint="eastAsia" w:eastAsia="仿宋_GB2312"/>
          <w:sz w:val="30"/>
          <w:szCs w:val="30"/>
        </w:rPr>
        <w:t>组织机构代码：</w:t>
      </w:r>
      <w:r>
        <w:rPr>
          <w:rFonts w:hint="eastAsia" w:eastAsia="仿宋_GB2312"/>
          <w:sz w:val="30"/>
          <w:szCs w:val="30"/>
          <w:lang w:val="en-US" w:eastAsia="zh-CN"/>
        </w:rPr>
        <w:t>11530121015129667E</w:t>
      </w:r>
    </w:p>
    <w:p w14:paraId="3A0D0E9F">
      <w:pPr>
        <w:widowControl/>
        <w:ind w:firstLine="600"/>
        <w:jc w:val="left"/>
        <w:rPr>
          <w:rFonts w:eastAsia="仿宋_GB2312"/>
          <w:sz w:val="30"/>
          <w:szCs w:val="30"/>
          <w:lang w:val="en-US" w:eastAsia="zh-CN"/>
        </w:rPr>
      </w:pPr>
      <w:r>
        <w:rPr>
          <w:rFonts w:hint="eastAsia" w:eastAsia="仿宋_GB2312"/>
          <w:sz w:val="30"/>
          <w:szCs w:val="30"/>
        </w:rPr>
        <w:t>地址：</w:t>
      </w:r>
      <w:r>
        <w:rPr>
          <w:rFonts w:hint="eastAsia" w:eastAsia="仿宋_GB2312"/>
          <w:sz w:val="30"/>
          <w:szCs w:val="30"/>
          <w:lang w:eastAsia="zh-CN"/>
        </w:rPr>
        <w:t>呈贡区呈兴路</w:t>
      </w:r>
      <w:r>
        <w:rPr>
          <w:rFonts w:hint="eastAsia" w:eastAsia="仿宋_GB2312"/>
          <w:sz w:val="30"/>
          <w:szCs w:val="30"/>
          <w:lang w:val="en-US" w:eastAsia="zh-CN"/>
        </w:rPr>
        <w:t>4800号</w:t>
      </w:r>
    </w:p>
    <w:p w14:paraId="568F4B61">
      <w:pPr>
        <w:widowControl/>
        <w:ind w:firstLine="600"/>
        <w:jc w:val="left"/>
        <w:rPr>
          <w:rFonts w:eastAsia="仿宋_GB2312"/>
          <w:sz w:val="30"/>
          <w:szCs w:val="30"/>
          <w:lang w:val="en-US" w:eastAsia="zh-CN"/>
        </w:rPr>
      </w:pPr>
      <w:r>
        <w:rPr>
          <w:rFonts w:hint="eastAsia" w:eastAsia="仿宋_GB2312"/>
          <w:sz w:val="30"/>
          <w:szCs w:val="30"/>
        </w:rPr>
        <w:t>联系电话：</w:t>
      </w:r>
      <w:r>
        <w:rPr>
          <w:rFonts w:hint="eastAsia" w:eastAsia="仿宋_GB2312"/>
          <w:sz w:val="30"/>
          <w:szCs w:val="30"/>
          <w:lang w:val="en-US" w:eastAsia="zh-CN"/>
        </w:rPr>
        <w:t>0871-67479632</w:t>
      </w:r>
    </w:p>
    <w:p w14:paraId="2199F2EB">
      <w:pPr>
        <w:widowControl/>
        <w:ind w:firstLine="600"/>
        <w:jc w:val="left"/>
        <w:rPr>
          <w:rFonts w:hint="eastAsia" w:eastAsia="仿宋_GB2312"/>
          <w:sz w:val="30"/>
          <w:szCs w:val="30"/>
          <w:lang w:eastAsia="zh-CN"/>
        </w:rPr>
      </w:pPr>
      <w:r>
        <w:rPr>
          <w:rFonts w:hint="eastAsia" w:eastAsia="仿宋_GB2312"/>
          <w:sz w:val="30"/>
          <w:szCs w:val="30"/>
        </w:rPr>
        <w:t>法人代表：</w:t>
      </w:r>
      <w:r>
        <w:rPr>
          <w:rFonts w:hint="eastAsia" w:eastAsia="仿宋_GB2312"/>
          <w:sz w:val="30"/>
          <w:szCs w:val="30"/>
          <w:lang w:eastAsia="zh-CN"/>
        </w:rPr>
        <w:t>陈红梅</w:t>
      </w:r>
    </w:p>
    <w:p w14:paraId="15BC14C6">
      <w:pPr>
        <w:widowControl/>
        <w:ind w:firstLine="600"/>
        <w:jc w:val="left"/>
        <w:rPr>
          <w:rFonts w:hint="eastAsia" w:eastAsia="仿宋_GB2312"/>
          <w:sz w:val="30"/>
          <w:szCs w:val="30"/>
          <w:lang w:val="en-US" w:eastAsia="zh-CN"/>
        </w:rPr>
      </w:pPr>
      <w:r>
        <w:rPr>
          <w:rFonts w:hint="eastAsia" w:eastAsia="仿宋_GB2312"/>
          <w:sz w:val="30"/>
          <w:szCs w:val="30"/>
        </w:rPr>
        <w:t>经费来源：</w:t>
      </w:r>
      <w:r>
        <w:rPr>
          <w:rFonts w:hint="eastAsia" w:eastAsia="仿宋_GB2312"/>
          <w:sz w:val="30"/>
          <w:szCs w:val="30"/>
          <w:lang w:val="en-US" w:eastAsia="zh-CN"/>
        </w:rPr>
        <w:t>中央财政城镇保障性安居工程补助资金</w:t>
      </w:r>
    </w:p>
    <w:p w14:paraId="13DD125B">
      <w:pPr>
        <w:spacing w:line="520" w:lineRule="exact"/>
        <w:ind w:firstLine="600"/>
        <w:rPr>
          <w:rFonts w:hint="eastAsia" w:eastAsia="仿宋_GB2312"/>
          <w:sz w:val="30"/>
          <w:szCs w:val="30"/>
          <w:lang w:eastAsia="zh-CN"/>
        </w:rPr>
      </w:pPr>
      <w:r>
        <w:rPr>
          <w:rFonts w:hint="eastAsia" w:eastAsia="仿宋_GB2312"/>
          <w:sz w:val="30"/>
          <w:szCs w:val="30"/>
        </w:rPr>
        <w:t>代为概况：</w:t>
      </w:r>
      <w:r>
        <w:rPr>
          <w:rFonts w:hint="eastAsia" w:eastAsia="仿宋_GB2312"/>
          <w:sz w:val="30"/>
          <w:szCs w:val="30"/>
          <w:lang w:val="en-US" w:eastAsia="zh-CN"/>
        </w:rPr>
        <w:t>昆明市呈贡区人民政府办公室于</w:t>
      </w:r>
      <w:r>
        <w:rPr>
          <w:rFonts w:hint="eastAsia" w:eastAsia="仿宋_GB2312"/>
          <w:sz w:val="30"/>
          <w:szCs w:val="30"/>
        </w:rPr>
        <w:t>2015年10月22日</w:t>
      </w:r>
      <w:r>
        <w:rPr>
          <w:rFonts w:hint="eastAsia" w:eastAsia="仿宋_GB2312"/>
          <w:sz w:val="30"/>
          <w:szCs w:val="30"/>
          <w:lang w:val="en-US" w:eastAsia="zh-CN"/>
        </w:rPr>
        <w:t>以《</w:t>
      </w:r>
      <w:r>
        <w:rPr>
          <w:rFonts w:hint="eastAsia" w:eastAsia="仿宋_GB2312"/>
          <w:sz w:val="30"/>
          <w:szCs w:val="30"/>
        </w:rPr>
        <w:t>昆明市呈贡区人民政府办公室关于印发昆明市呈贡区住房和城乡建设局主要职责内设机构和人员编制规定的通知</w:t>
      </w:r>
      <w:r>
        <w:rPr>
          <w:rFonts w:hint="eastAsia" w:eastAsia="仿宋_GB2312"/>
          <w:sz w:val="30"/>
          <w:szCs w:val="30"/>
          <w:lang w:val="en-US" w:eastAsia="zh-CN"/>
        </w:rPr>
        <w:t>》（</w:t>
      </w:r>
      <w:r>
        <w:rPr>
          <w:rFonts w:hint="eastAsia" w:eastAsia="仿宋_GB2312"/>
          <w:sz w:val="30"/>
          <w:szCs w:val="30"/>
        </w:rPr>
        <w:t>呈政办发〔2015〕72号</w:t>
      </w:r>
      <w:r>
        <w:rPr>
          <w:rFonts w:hint="eastAsia" w:eastAsia="仿宋_GB2312"/>
          <w:sz w:val="30"/>
          <w:szCs w:val="30"/>
          <w:lang w:eastAsia="zh-CN"/>
        </w:rPr>
        <w:t>）</w:t>
      </w:r>
      <w:r>
        <w:rPr>
          <w:rFonts w:hint="eastAsia" w:eastAsia="仿宋_GB2312"/>
          <w:sz w:val="30"/>
          <w:szCs w:val="30"/>
          <w:lang w:val="en-US" w:eastAsia="zh-CN"/>
        </w:rPr>
        <w:t>文件，</w:t>
      </w:r>
      <w:r>
        <w:rPr>
          <w:rFonts w:hint="eastAsia" w:eastAsia="仿宋_GB2312"/>
          <w:sz w:val="30"/>
          <w:szCs w:val="30"/>
        </w:rPr>
        <w:t>设立昆明市呈贡区住房和城乡建设局，为政府工作部门，正科级</w:t>
      </w:r>
      <w:r>
        <w:rPr>
          <w:rFonts w:hint="eastAsia" w:eastAsia="仿宋_GB2312"/>
          <w:sz w:val="30"/>
          <w:szCs w:val="30"/>
          <w:lang w:eastAsia="zh-CN"/>
        </w:rPr>
        <w:t>。</w:t>
      </w:r>
      <w:r>
        <w:rPr>
          <w:rFonts w:eastAsia="仿宋_GB2312"/>
          <w:sz w:val="30"/>
          <w:szCs w:val="30"/>
        </w:rPr>
        <w:t>在职人员编制</w:t>
      </w:r>
      <w:r>
        <w:rPr>
          <w:rFonts w:hint="eastAsia" w:eastAsia="仿宋_GB2312"/>
          <w:sz w:val="30"/>
          <w:szCs w:val="30"/>
          <w:lang w:val="en-US" w:eastAsia="zh-CN"/>
        </w:rPr>
        <w:t>27</w:t>
      </w:r>
      <w:r>
        <w:rPr>
          <w:rFonts w:eastAsia="仿宋_GB2312"/>
          <w:sz w:val="30"/>
          <w:szCs w:val="30"/>
        </w:rPr>
        <w:t xml:space="preserve">人，其中：行政编制 </w:t>
      </w:r>
      <w:r>
        <w:rPr>
          <w:rFonts w:hint="eastAsia" w:eastAsia="仿宋_GB2312"/>
          <w:sz w:val="30"/>
          <w:szCs w:val="30"/>
          <w:lang w:val="en-US" w:eastAsia="zh-CN"/>
        </w:rPr>
        <w:t>21</w:t>
      </w:r>
      <w:r>
        <w:rPr>
          <w:rFonts w:eastAsia="仿宋_GB2312"/>
          <w:sz w:val="30"/>
          <w:szCs w:val="30"/>
        </w:rPr>
        <w:t>人，事业编制</w:t>
      </w:r>
      <w:r>
        <w:rPr>
          <w:rFonts w:hint="eastAsia" w:eastAsia="仿宋_GB2312"/>
          <w:sz w:val="30"/>
          <w:szCs w:val="30"/>
          <w:lang w:val="en-US" w:eastAsia="zh-CN"/>
        </w:rPr>
        <w:t>6</w:t>
      </w:r>
      <w:r>
        <w:rPr>
          <w:rFonts w:eastAsia="仿宋_GB2312"/>
          <w:sz w:val="30"/>
          <w:szCs w:val="30"/>
        </w:rPr>
        <w:t>人。在职实有</w:t>
      </w:r>
      <w:r>
        <w:rPr>
          <w:rFonts w:hint="eastAsia" w:eastAsia="仿宋_GB2312"/>
          <w:sz w:val="30"/>
          <w:szCs w:val="30"/>
          <w:lang w:val="en-US" w:eastAsia="zh-CN"/>
        </w:rPr>
        <w:t>33</w:t>
      </w:r>
      <w:r>
        <w:rPr>
          <w:rFonts w:eastAsia="仿宋_GB2312"/>
          <w:sz w:val="30"/>
          <w:szCs w:val="30"/>
        </w:rPr>
        <w:t xml:space="preserve">人，离退休人员 </w:t>
      </w:r>
      <w:r>
        <w:rPr>
          <w:rFonts w:hint="eastAsia" w:eastAsia="仿宋_GB2312"/>
          <w:sz w:val="30"/>
          <w:szCs w:val="30"/>
          <w:lang w:val="en-US" w:eastAsia="zh-CN"/>
        </w:rPr>
        <w:t>11</w:t>
      </w:r>
      <w:r>
        <w:rPr>
          <w:rFonts w:eastAsia="仿宋_GB2312"/>
          <w:sz w:val="30"/>
          <w:szCs w:val="30"/>
        </w:rPr>
        <w:t>人。</w:t>
      </w:r>
      <w:r>
        <w:rPr>
          <w:rFonts w:hint="eastAsia" w:eastAsia="仿宋_GB2312"/>
          <w:sz w:val="30"/>
          <w:szCs w:val="30"/>
          <w:lang w:eastAsia="zh-CN"/>
        </w:rPr>
        <w:t>主要</w:t>
      </w:r>
      <w:r>
        <w:rPr>
          <w:rFonts w:ascii="宋体" w:hAnsi="宋体" w:eastAsia="仿宋" w:cs="宋体"/>
          <w:sz w:val="30"/>
        </w:rPr>
        <w:t>负责辖区内市政道路等基础设施建设的协调管理与推进工作；公租房、廉租房等保障性住房建设与管理，及在建设指挥部统一安排下推进失地农民安置房建设；</w:t>
      </w:r>
      <w:r>
        <w:rPr>
          <w:rFonts w:ascii="宋体" w:hAnsi="宋体" w:eastAsia="仿宋" w:cs="宋体"/>
          <w:color w:val="000000"/>
          <w:sz w:val="30"/>
        </w:rPr>
        <w:t>权限范围内燃气站点核准许可</w:t>
      </w:r>
      <w:r>
        <w:rPr>
          <w:rFonts w:hint="eastAsia" w:ascii="宋体" w:hAnsi="宋体" w:eastAsia="仿宋" w:cs="宋体"/>
          <w:color w:val="000000"/>
          <w:sz w:val="30"/>
        </w:rPr>
        <w:t>、工</w:t>
      </w:r>
      <w:r>
        <w:rPr>
          <w:rFonts w:ascii="宋体" w:hAnsi="宋体" w:eastAsia="仿宋" w:cs="宋体"/>
          <w:color w:val="000000"/>
          <w:sz w:val="30"/>
        </w:rPr>
        <w:t>程质量注册、建设安全生产备案等</w:t>
      </w:r>
      <w:r>
        <w:rPr>
          <w:rFonts w:hint="eastAsia" w:ascii="宋体" w:hAnsi="宋体" w:eastAsia="仿宋" w:cs="宋体"/>
          <w:color w:val="000000"/>
          <w:sz w:val="30"/>
        </w:rPr>
        <w:t>行政审批服务项目</w:t>
      </w:r>
      <w:r>
        <w:rPr>
          <w:rFonts w:ascii="宋体" w:hAnsi="宋体" w:eastAsia="仿宋" w:cs="宋体"/>
          <w:color w:val="000000"/>
          <w:sz w:val="30"/>
        </w:rPr>
        <w:t>的审批管理工作；</w:t>
      </w:r>
      <w:r>
        <w:rPr>
          <w:rFonts w:ascii="宋体" w:hAnsi="宋体" w:eastAsia="仿宋" w:cs="宋体"/>
          <w:sz w:val="30"/>
        </w:rPr>
        <w:t>建筑质量、建筑安全生、建筑市场、物业企业、绿色建筑推广、城市燃气安全、商品房交易等行业监管，以及防震减灾和人民防空工作；完成区委区政府赋予的具体项目建设任</w:t>
      </w:r>
      <w:r>
        <w:rPr>
          <w:rFonts w:hint="eastAsia" w:ascii="宋体" w:hAnsi="宋体" w:eastAsia="仿宋" w:cs="宋体"/>
          <w:sz w:val="30"/>
        </w:rPr>
        <w:t>务。</w:t>
      </w:r>
    </w:p>
    <w:p w14:paraId="0BB1A7FF">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项目基本概况</w:t>
      </w:r>
    </w:p>
    <w:p w14:paraId="13D7BE86">
      <w:pPr>
        <w:spacing w:line="560" w:lineRule="exact"/>
        <w:ind w:firstLine="960"/>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lang w:val="en-US" w:eastAsia="zh-CN"/>
        </w:rPr>
        <w:t>2019年呈贡区城镇老旧小区改造工作获得的中央财政资金为279万元，涉及微改造小区为晨光小区和呈贡区军队离退休干部休养所。</w:t>
      </w:r>
      <w:r>
        <w:rPr>
          <w:rFonts w:hint="eastAsia" w:ascii="仿宋_GB2312" w:hAnsi="仿宋_GB2312" w:eastAsia="仿宋_GB2312" w:cs="仿宋_GB2312"/>
          <w:sz w:val="32"/>
          <w:szCs w:val="32"/>
          <w:lang w:eastAsia="zh-CN"/>
        </w:rPr>
        <w:t>项目基本情况如下：</w:t>
      </w:r>
    </w:p>
    <w:p w14:paraId="15D92ADB">
      <w:pPr>
        <w:numPr>
          <w:ilvl w:val="0"/>
          <w:numId w:val="2"/>
        </w:numPr>
        <w:spacing w:line="560" w:lineRule="exact"/>
        <w:ind w:firstLine="640"/>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lang w:val="en-US" w:eastAsia="zh-CN"/>
        </w:rPr>
        <w:t>晨</w:t>
      </w:r>
      <w:r>
        <w:rPr>
          <w:rFonts w:hint="eastAsia" w:ascii="Times New Roman" w:hAnsi="Times New Roman" w:eastAsia="仿宋_GB2312"/>
          <w:sz w:val="32"/>
          <w:szCs w:val="32"/>
          <w:lang w:val="en-US" w:eastAsia="zh-CN"/>
        </w:rPr>
        <w:t>光小区改造面积2.097万平方米，</w:t>
      </w:r>
      <w:r>
        <w:rPr>
          <w:rFonts w:hint="eastAsia" w:ascii="仿宋_GB2312" w:hAnsi="仿宋_GB2312" w:eastAsia="仿宋_GB2312" w:cs="仿宋_GB2312"/>
          <w:sz w:val="32"/>
          <w:szCs w:val="32"/>
        </w:rPr>
        <w:t>小区涉及中国农业银行呈贡支行、中国工商银行呈贡支行、龙城信用社、市国土资源局呈贡分局、呈贡区地税局和中国人寿保险公司呈贡分公司等6家公共单位共16栋单元楼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共有住户361户（含小区外围商铺），人口约1100人</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US" w:eastAsia="zh-CN"/>
        </w:rPr>
        <w:t>实施主体为龙城街道办事处。</w:t>
      </w:r>
    </w:p>
    <w:p w14:paraId="64E1EE67">
      <w:pPr>
        <w:numPr>
          <w:ilvl w:val="0"/>
          <w:numId w:val="0"/>
        </w:numPr>
        <w:spacing w:line="560" w:lineRule="exact"/>
        <w:ind w:firstLine="640"/>
        <w:rPr>
          <w:rFonts w:eastAsia="仿宋_GB2312"/>
          <w:sz w:val="30"/>
          <w:szCs w:val="30"/>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sz w:val="32"/>
          <w:szCs w:val="32"/>
          <w:lang w:val="en-US" w:eastAsia="zh-CN"/>
        </w:rPr>
        <w:t>呈贡区军队离退休干部休养所改造面积0.224万平方米、户数28户、楼栋数3栋，实施主体为呈贡区退役军人事务局。</w:t>
      </w:r>
    </w:p>
    <w:p w14:paraId="3FA247FF">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项目实施内容</w:t>
      </w:r>
    </w:p>
    <w:p w14:paraId="3E5AD275">
      <w:pPr>
        <w:spacing w:line="560" w:lineRule="exact"/>
        <w:ind w:firstLine="640"/>
        <w:rPr>
          <w:rFonts w:hint="eastAsia" w:ascii="黑体" w:hAnsi="黑体" w:eastAsia="黑体" w:cs="黑体"/>
          <w:sz w:val="30"/>
          <w:szCs w:val="30"/>
        </w:rPr>
      </w:pPr>
      <w:r>
        <w:rPr>
          <w:rFonts w:hint="eastAsia" w:ascii="仿宋_GB2312" w:hAnsi="仿宋_GB2312" w:eastAsia="仿宋_GB2312" w:cs="仿宋_GB2312"/>
          <w:sz w:val="32"/>
          <w:szCs w:val="32"/>
          <w:lang w:val="en-US" w:eastAsia="zh-CN"/>
        </w:rPr>
        <w:t>根据经评审合格的方案要求，开展对小区拆除全部柴房围墙、开辟消防通道，铺设沥青路面，拆除小区原架空强电废弃电缆、完成小区污水管沟清淤、更换小区老化、锈蚀自来水管、雨水管、太阳能水管，完成小区外墙涂料及小区绿化美化等相关工程。</w:t>
      </w:r>
    </w:p>
    <w:p w14:paraId="2F711B96">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资金安排情况</w:t>
      </w:r>
    </w:p>
    <w:p w14:paraId="6C55219E">
      <w:pPr>
        <w:spacing w:line="560" w:lineRule="exact"/>
        <w:ind w:firstLine="600"/>
        <w:rPr>
          <w:rFonts w:ascii="仿宋_GB2312" w:hAnsi="仿宋_GB2312" w:eastAsia="仿宋_GB2312" w:cs="仿宋_GB2312"/>
          <w:sz w:val="32"/>
          <w:szCs w:val="32"/>
          <w:lang w:val="en-US" w:eastAsia="zh-CN"/>
        </w:rPr>
      </w:pPr>
      <w:r>
        <w:rPr>
          <w:rFonts w:hint="eastAsia" w:ascii="黑体" w:hAnsi="黑体" w:eastAsia="黑体" w:cs="黑体"/>
          <w:sz w:val="30"/>
          <w:szCs w:val="30"/>
          <w:lang w:val="en-US" w:eastAsia="zh-CN"/>
        </w:rPr>
        <w:t xml:space="preserve"> </w:t>
      </w:r>
      <w:r>
        <w:rPr>
          <w:rFonts w:hint="eastAsia" w:ascii="仿宋_GB2312" w:hAnsi="仿宋_GB2312" w:eastAsia="仿宋_GB2312" w:cs="仿宋_GB2312"/>
          <w:sz w:val="32"/>
          <w:szCs w:val="32"/>
          <w:lang w:val="en-US" w:eastAsia="zh-CN"/>
        </w:rPr>
        <w:t>使用上年结转中央</w:t>
      </w:r>
      <w:r>
        <w:rPr>
          <w:rFonts w:hint="eastAsia" w:eastAsia="仿宋_GB2312"/>
          <w:sz w:val="30"/>
          <w:szCs w:val="30"/>
          <w:lang w:val="en-US" w:eastAsia="zh-CN"/>
        </w:rPr>
        <w:t>财政城镇保障性安居工程补助资金279万元</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val="en-US" w:eastAsia="zh-CN"/>
        </w:rPr>
        <w:t>根据财政部、住房城乡建设部《中央财政城镇保障性安居工程专项资金管理办法》，按照户数、面积、小区数、楼栋数四个指标按40%、40%、10%、10%的权重进行分配，应拨付的金额分配如下：龙城街道办事处242万元、呈贡区退役军人事务局37万元。</w:t>
      </w:r>
    </w:p>
    <w:p w14:paraId="0C3041A9">
      <w:pPr>
        <w:widowControl/>
        <w:numPr>
          <w:ilvl w:val="0"/>
          <w:numId w:val="1"/>
        </w:numPr>
        <w:ind w:firstLine="600"/>
        <w:jc w:val="left"/>
        <w:rPr>
          <w:rFonts w:hint="eastAsia" w:ascii="黑体" w:hAnsi="黑体" w:eastAsia="黑体" w:cs="黑体"/>
          <w:sz w:val="30"/>
          <w:szCs w:val="30"/>
        </w:rPr>
      </w:pPr>
      <w:r>
        <w:rPr>
          <w:rFonts w:hint="eastAsia" w:ascii="黑体" w:hAnsi="黑体" w:eastAsia="黑体" w:cs="黑体"/>
          <w:sz w:val="30"/>
          <w:szCs w:val="30"/>
        </w:rPr>
        <w:t>项目实施计划</w:t>
      </w:r>
    </w:p>
    <w:p w14:paraId="7A5496D3">
      <w:pPr>
        <w:widowControl/>
        <w:ind w:firstLine="900"/>
        <w:jc w:val="left"/>
        <w:rPr>
          <w:rFonts w:hint="eastAsia" w:ascii="黑体" w:hAnsi="黑体" w:eastAsia="黑体" w:cs="黑体"/>
          <w:sz w:val="30"/>
          <w:szCs w:val="30"/>
        </w:rPr>
      </w:pPr>
      <w:r>
        <w:rPr>
          <w:rFonts w:hint="eastAsia" w:eastAsia="仿宋_GB2312"/>
          <w:sz w:val="30"/>
          <w:szCs w:val="30"/>
          <w:lang w:eastAsia="zh-CN"/>
        </w:rPr>
        <w:t>晨光小区、</w:t>
      </w:r>
      <w:r>
        <w:rPr>
          <w:rFonts w:hint="eastAsia" w:ascii="Times New Roman" w:hAnsi="Times New Roman" w:eastAsia="仿宋_GB2312"/>
          <w:sz w:val="32"/>
          <w:szCs w:val="32"/>
          <w:lang w:val="en-US" w:eastAsia="zh-CN"/>
        </w:rPr>
        <w:t>呈贡区军队离退休干部休养所</w:t>
      </w:r>
      <w:r>
        <w:rPr>
          <w:rFonts w:hint="eastAsia" w:eastAsia="仿宋_GB2312"/>
          <w:sz w:val="30"/>
          <w:szCs w:val="30"/>
          <w:lang w:eastAsia="zh-CN"/>
        </w:rPr>
        <w:t>微改造列入</w:t>
      </w:r>
      <w:r>
        <w:rPr>
          <w:rFonts w:hint="eastAsia" w:eastAsia="仿宋_GB2312"/>
          <w:sz w:val="30"/>
          <w:szCs w:val="30"/>
          <w:lang w:val="en-US" w:eastAsia="zh-CN"/>
        </w:rPr>
        <w:t>2019年老旧小区改造项目。计划</w:t>
      </w:r>
      <w:r>
        <w:rPr>
          <w:rFonts w:hint="eastAsia" w:eastAsia="仿宋_GB2312"/>
          <w:sz w:val="30"/>
          <w:szCs w:val="30"/>
          <w:lang w:eastAsia="zh-CN"/>
        </w:rPr>
        <w:t>对小区年久失修，消防通道不畅通，设施设备不完善，无规划停车位，无安全设施、无物业管理公司等实施微改造工程。提升小区的居住环境。</w:t>
      </w:r>
    </w:p>
    <w:p w14:paraId="6BB69AB8">
      <w:pPr>
        <w:keepNext w:val="0"/>
        <w:keepLines w:val="0"/>
        <w:pageBreakBefore w:val="0"/>
        <w:widowControl w:val="0"/>
        <w:spacing w:line="560" w:lineRule="exact"/>
        <w:ind w:firstLine="600"/>
        <w:jc w:val="left"/>
        <w:rPr>
          <w:rFonts w:hint="eastAsia" w:eastAsia="仿宋_GB2312"/>
          <w:sz w:val="30"/>
          <w:szCs w:val="30"/>
          <w:lang w:eastAsia="zh-CN"/>
        </w:rPr>
      </w:pPr>
      <w:r>
        <w:rPr>
          <w:rFonts w:hint="eastAsia" w:ascii="黑体" w:hAnsi="黑体" w:eastAsia="黑体" w:cs="黑体"/>
          <w:sz w:val="30"/>
          <w:szCs w:val="30"/>
          <w:lang w:eastAsia="zh-CN"/>
        </w:rPr>
        <w:t>八、</w:t>
      </w:r>
      <w:r>
        <w:rPr>
          <w:rFonts w:hint="eastAsia" w:ascii="黑体" w:hAnsi="黑体" w:eastAsia="黑体" w:cs="黑体"/>
          <w:sz w:val="30"/>
          <w:szCs w:val="30"/>
        </w:rPr>
        <w:t>项目实施成效</w:t>
      </w:r>
    </w:p>
    <w:p w14:paraId="7DA6DC47">
      <w:pPr>
        <w:keepNext w:val="0"/>
        <w:keepLines w:val="0"/>
        <w:pageBreakBefore w:val="0"/>
        <w:widowControl w:val="0"/>
        <w:spacing w:line="560" w:lineRule="exact"/>
        <w:ind w:firstLine="600"/>
        <w:jc w:val="left"/>
        <w:rPr>
          <w:rFonts w:hint="eastAsia" w:eastAsia="仿宋_GB2312"/>
          <w:sz w:val="30"/>
          <w:szCs w:val="30"/>
          <w:lang w:val="en-US" w:eastAsia="zh-CN"/>
        </w:rPr>
      </w:pPr>
      <w:r>
        <w:rPr>
          <w:rFonts w:hint="eastAsia" w:eastAsia="仿宋_GB2312"/>
          <w:sz w:val="30"/>
          <w:szCs w:val="30"/>
          <w:lang w:val="en-US" w:eastAsia="zh-CN"/>
        </w:rPr>
        <w:t>1、</w:t>
      </w:r>
      <w:r>
        <w:rPr>
          <w:rFonts w:hint="eastAsia" w:eastAsia="仿宋_GB2312"/>
          <w:sz w:val="30"/>
          <w:szCs w:val="30"/>
          <w:lang w:eastAsia="zh-CN"/>
        </w:rPr>
        <w:t>通过对晨光小区实施微改造，改善</w:t>
      </w:r>
      <w:r>
        <w:rPr>
          <w:rFonts w:hint="eastAsia" w:eastAsia="仿宋_GB2312"/>
          <w:sz w:val="30"/>
          <w:szCs w:val="30"/>
          <w:lang w:val="en-US" w:eastAsia="zh-CN"/>
        </w:rPr>
        <w:t>小区“脏乱差”，拆除破损的建筑外墙、入口通廊及楼梯墙面已被修复，增加了非机动车停车充电设施，机动车停车位划线，铺设柏油路面，修建小区绿化等。按照</w:t>
      </w:r>
      <w:r>
        <w:rPr>
          <w:rFonts w:hint="eastAsia" w:ascii="Times New Roman" w:hAnsi="Times New Roman" w:eastAsia="仿宋_GB2312"/>
          <w:sz w:val="32"/>
          <w:szCs w:val="32"/>
          <w:lang w:val="en-US" w:eastAsia="zh-CN"/>
        </w:rPr>
        <w:t>中央财政城镇保障性安居工程专项资金管理</w:t>
      </w:r>
      <w:r>
        <w:rPr>
          <w:rFonts w:hint="eastAsia" w:eastAsia="仿宋_GB2312"/>
          <w:sz w:val="30"/>
          <w:szCs w:val="30"/>
          <w:lang w:val="en-US" w:eastAsia="zh-CN"/>
        </w:rPr>
        <w:t>分配规定，补助资金</w:t>
      </w:r>
      <w:r>
        <w:rPr>
          <w:rFonts w:hint="eastAsia" w:ascii="Times New Roman" w:hAnsi="Times New Roman" w:eastAsia="仿宋_GB2312"/>
          <w:sz w:val="32"/>
          <w:szCs w:val="32"/>
          <w:lang w:val="en-US" w:eastAsia="zh-CN"/>
        </w:rPr>
        <w:t>242万元已在收到财政拨款时及时拨付龙城街道办事处。</w:t>
      </w:r>
      <w:r>
        <w:rPr>
          <w:rFonts w:hint="eastAsia" w:eastAsia="仿宋_GB2312"/>
          <w:sz w:val="30"/>
          <w:szCs w:val="30"/>
          <w:lang w:val="en-US" w:eastAsia="zh-CN"/>
        </w:rPr>
        <w:t>目前，项目于</w:t>
      </w:r>
      <w:r>
        <w:rPr>
          <w:rFonts w:hint="eastAsia" w:ascii="Times New Roman" w:hAnsi="Times New Roman" w:eastAsia="仿宋" w:cs="Times New Roman"/>
          <w:sz w:val="32"/>
          <w:szCs w:val="32"/>
          <w:lang w:val="en-US" w:eastAsia="zh-CN"/>
        </w:rPr>
        <w:t>2</w:t>
      </w:r>
      <w:r>
        <w:rPr>
          <w:rFonts w:hint="eastAsia" w:eastAsia="仿宋_GB2312"/>
          <w:sz w:val="30"/>
          <w:szCs w:val="30"/>
          <w:lang w:val="en-US" w:eastAsia="zh-CN"/>
        </w:rPr>
        <w:t>020年1月13日顺利通过验收。</w:t>
      </w:r>
    </w:p>
    <w:p w14:paraId="6DDA7D7A">
      <w:pPr>
        <w:numPr>
          <w:ilvl w:val="0"/>
          <w:numId w:val="0"/>
        </w:numPr>
        <w:spacing w:line="560" w:lineRule="exact"/>
        <w:ind w:firstLine="600"/>
        <w:rPr>
          <w:rFonts w:eastAsia="仿宋_GB2312"/>
          <w:sz w:val="30"/>
          <w:szCs w:val="30"/>
          <w:lang w:val="en-US" w:eastAsia="zh-CN"/>
        </w:rPr>
      </w:pPr>
      <w:r>
        <w:rPr>
          <w:rFonts w:hint="eastAsia" w:eastAsia="仿宋_GB2312"/>
          <w:sz w:val="30"/>
          <w:szCs w:val="30"/>
          <w:lang w:val="en-US" w:eastAsia="zh-CN"/>
        </w:rPr>
        <w:t>2、</w:t>
      </w:r>
      <w:r>
        <w:rPr>
          <w:rFonts w:hint="eastAsia" w:ascii="Times New Roman" w:hAnsi="Times New Roman" w:eastAsia="仿宋_GB2312"/>
          <w:sz w:val="32"/>
          <w:szCs w:val="32"/>
          <w:lang w:val="en-US" w:eastAsia="zh-CN"/>
        </w:rPr>
        <w:t>呈贡区军队离退休干部休养所</w:t>
      </w:r>
      <w:r>
        <w:rPr>
          <w:rFonts w:hint="eastAsia" w:eastAsia="仿宋_GB2312"/>
          <w:sz w:val="30"/>
          <w:szCs w:val="30"/>
          <w:lang w:val="en-US" w:eastAsia="zh-CN"/>
        </w:rPr>
        <w:t xml:space="preserve"> ，按照</w:t>
      </w:r>
      <w:r>
        <w:rPr>
          <w:rFonts w:hint="eastAsia" w:ascii="Times New Roman" w:hAnsi="Times New Roman" w:eastAsia="仿宋_GB2312"/>
          <w:sz w:val="32"/>
          <w:szCs w:val="32"/>
          <w:lang w:val="en-US" w:eastAsia="zh-CN"/>
        </w:rPr>
        <w:t>中央财政城镇保障性安居工程专项资金管理</w:t>
      </w:r>
      <w:r>
        <w:rPr>
          <w:rFonts w:hint="eastAsia" w:eastAsia="仿宋_GB2312"/>
          <w:sz w:val="30"/>
          <w:szCs w:val="30"/>
          <w:lang w:val="en-US" w:eastAsia="zh-CN"/>
        </w:rPr>
        <w:t>分配规定，补助资金37</w:t>
      </w:r>
      <w:r>
        <w:rPr>
          <w:rFonts w:hint="eastAsia" w:ascii="Times New Roman" w:hAnsi="Times New Roman" w:eastAsia="仿宋_GB2312"/>
          <w:sz w:val="32"/>
          <w:szCs w:val="32"/>
          <w:lang w:val="en-US" w:eastAsia="zh-CN"/>
        </w:rPr>
        <w:t>万元已在收到财政拨款时及时拨付呈贡区退役军人事务局建设使用。</w:t>
      </w:r>
      <w:r>
        <w:rPr>
          <w:rFonts w:hint="eastAsia" w:eastAsia="仿宋_GB2312"/>
          <w:sz w:val="30"/>
          <w:szCs w:val="30"/>
          <w:lang w:val="en-US" w:eastAsia="zh-CN"/>
        </w:rPr>
        <w:t xml:space="preserve">        </w:t>
      </w:r>
    </w:p>
    <w:p w14:paraId="524E4304">
      <w:pPr>
        <w:widowControl/>
        <w:numPr>
          <w:ilvl w:val="0"/>
          <w:numId w:val="0"/>
        </w:numPr>
        <w:ind w:firstLine="600"/>
        <w:jc w:val="left"/>
        <w:rPr>
          <w:rFonts w:hint="eastAsia" w:ascii="黑体" w:hAnsi="黑体" w:eastAsia="黑体" w:cs="黑体"/>
          <w:sz w:val="30"/>
          <w:szCs w:val="30"/>
        </w:rPr>
      </w:pPr>
      <w:r>
        <w:rPr>
          <w:rFonts w:hint="eastAsia" w:ascii="黑体" w:hAnsi="黑体" w:eastAsia="黑体" w:cs="黑体"/>
          <w:sz w:val="30"/>
          <w:szCs w:val="30"/>
          <w:lang w:eastAsia="zh-CN"/>
        </w:rPr>
        <w:t>九、</w:t>
      </w:r>
      <w:r>
        <w:rPr>
          <w:rFonts w:hint="eastAsia" w:ascii="黑体" w:hAnsi="黑体" w:eastAsia="黑体" w:cs="黑体"/>
          <w:sz w:val="30"/>
          <w:szCs w:val="30"/>
        </w:rPr>
        <w:t>项目绩效目标表</w:t>
      </w:r>
    </w:p>
    <w:tbl>
      <w:tblPr>
        <w:tblStyle w:val="28"/>
        <w:tblW w:w="9576" w:type="dxa"/>
        <w:tblInd w:w="-12" w:type="dxa"/>
        <w:tblLayout w:type="autofit"/>
        <w:tblCellMar>
          <w:top w:w="12" w:type="dxa"/>
          <w:left w:w="12" w:type="dxa"/>
          <w:bottom w:w="0" w:type="dxa"/>
          <w:right w:w="12" w:type="dxa"/>
        </w:tblCellMar>
      </w:tblPr>
      <w:tblGrid>
        <w:gridCol w:w="607"/>
        <w:gridCol w:w="767"/>
        <w:gridCol w:w="635"/>
        <w:gridCol w:w="1103"/>
        <w:gridCol w:w="1248"/>
        <w:gridCol w:w="1295"/>
        <w:gridCol w:w="1367"/>
        <w:gridCol w:w="959"/>
        <w:gridCol w:w="1595"/>
      </w:tblGrid>
      <w:tr w14:paraId="0697AB1E">
        <w:tblPrEx>
          <w:tblCellMar>
            <w:top w:w="12" w:type="dxa"/>
            <w:left w:w="12" w:type="dxa"/>
            <w:bottom w:w="0" w:type="dxa"/>
            <w:right w:w="12" w:type="dxa"/>
          </w:tblCellMar>
        </w:tblPrEx>
        <w:trPr>
          <w:trHeight w:val="465" w:hRule="atLeast"/>
        </w:trPr>
        <w:tc>
          <w:tcPr>
            <w:tcW w:w="9584" w:type="dxa"/>
            <w:gridSpan w:val="9"/>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C57027D">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项目支出绩效目标申报表</w:t>
            </w:r>
          </w:p>
        </w:tc>
      </w:tr>
      <w:tr w14:paraId="0848AF4A">
        <w:tblPrEx>
          <w:tblCellMar>
            <w:top w:w="12" w:type="dxa"/>
            <w:left w:w="12" w:type="dxa"/>
            <w:bottom w:w="0" w:type="dxa"/>
            <w:right w:w="12" w:type="dxa"/>
          </w:tblCellMar>
        </w:tblPrEx>
        <w:trPr>
          <w:trHeight w:val="465" w:hRule="atLeast"/>
        </w:trPr>
        <w:tc>
          <w:tcPr>
            <w:tcW w:w="9584" w:type="dxa"/>
            <w:gridSpan w:val="9"/>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4C4BDD7">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（2020年度）</w:t>
            </w:r>
          </w:p>
        </w:tc>
      </w:tr>
      <w:tr w14:paraId="0847215C">
        <w:tblPrEx>
          <w:tblCellMar>
            <w:top w:w="12" w:type="dxa"/>
            <w:left w:w="12" w:type="dxa"/>
            <w:bottom w:w="0" w:type="dxa"/>
            <w:right w:w="12" w:type="dxa"/>
          </w:tblCellMar>
        </w:tblPrEx>
        <w:trPr>
          <w:trHeight w:val="48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9736F42">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项目名称</w:t>
            </w:r>
          </w:p>
        </w:tc>
        <w:tc>
          <w:tcPr>
            <w:tcW w:w="757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C0D03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城镇老旧小区改造工程补助资金</w:t>
            </w:r>
          </w:p>
        </w:tc>
      </w:tr>
      <w:tr w14:paraId="5D29B467">
        <w:tblPrEx>
          <w:tblCellMar>
            <w:top w:w="12" w:type="dxa"/>
            <w:left w:w="12" w:type="dxa"/>
            <w:bottom w:w="0" w:type="dxa"/>
            <w:right w:w="12" w:type="dxa"/>
          </w:tblCellMar>
        </w:tblPrEx>
        <w:trPr>
          <w:trHeight w:val="54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044A974">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主管部门及代码</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EB120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昆明市呈贡区住房和城乡建设局</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6F6FB4F3">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实施单位</w:t>
            </w: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D859CE">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昆明市呈贡区住房和城乡建设局</w:t>
            </w:r>
          </w:p>
        </w:tc>
      </w:tr>
      <w:tr w14:paraId="7081D4AF">
        <w:tblPrEx>
          <w:tblCellMar>
            <w:top w:w="12" w:type="dxa"/>
            <w:left w:w="12" w:type="dxa"/>
            <w:bottom w:w="0" w:type="dxa"/>
            <w:right w:w="12" w:type="dxa"/>
          </w:tblCellMar>
        </w:tblPrEx>
        <w:trPr>
          <w:trHeight w:val="48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840C137">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项目属性</w:t>
            </w:r>
          </w:p>
        </w:tc>
        <w:tc>
          <w:tcPr>
            <w:tcW w:w="2352" w:type="dxa"/>
            <w:gridSpan w:val="2"/>
            <w:tcBorders>
              <w:top w:val="nil"/>
              <w:left w:val="nil"/>
              <w:bottom w:val="single" w:color="000000" w:sz="4" w:space="0"/>
              <w:right w:val="single" w:color="000000" w:sz="4" w:space="0"/>
            </w:tcBorders>
            <w:shd w:val="clear" w:color="auto" w:fill="F8F8F8"/>
            <w:noWrap w:val="0"/>
            <w:tcMar>
              <w:top w:w="12" w:type="dxa"/>
              <w:left w:w="12" w:type="dxa"/>
              <w:right w:w="12" w:type="dxa"/>
            </w:tcMar>
            <w:vAlign w:val="bottom"/>
          </w:tcPr>
          <w:p w14:paraId="1A0EE4F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001 新增项目</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682FDAF">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项目期</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D7F4789">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经常性项目</w:t>
            </w:r>
          </w:p>
        </w:tc>
      </w:tr>
      <w:tr w14:paraId="30F4A267">
        <w:tblPrEx>
          <w:tblCellMar>
            <w:top w:w="12" w:type="dxa"/>
            <w:left w:w="12" w:type="dxa"/>
            <w:bottom w:w="0" w:type="dxa"/>
            <w:right w:w="12" w:type="dxa"/>
          </w:tblCellMar>
        </w:tblPrEx>
        <w:trPr>
          <w:trHeight w:val="705"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0DE52B8">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项目负责人</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324A3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王飞飞</w:t>
            </w: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8488840">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联系电话</w:t>
            </w:r>
          </w:p>
        </w:tc>
        <w:tc>
          <w:tcPr>
            <w:tcW w:w="255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AD5DE5">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0871-67479442</w:t>
            </w:r>
          </w:p>
        </w:tc>
      </w:tr>
      <w:tr w14:paraId="73EB224B">
        <w:tblPrEx>
          <w:tblCellMar>
            <w:top w:w="12" w:type="dxa"/>
            <w:left w:w="12" w:type="dxa"/>
            <w:bottom w:w="0" w:type="dxa"/>
            <w:right w:w="12" w:type="dxa"/>
          </w:tblCellMar>
        </w:tblPrEx>
        <w:trPr>
          <w:trHeight w:val="100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BD77F39">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项目概况</w:t>
            </w:r>
          </w:p>
        </w:tc>
        <w:tc>
          <w:tcPr>
            <w:tcW w:w="757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4CB693">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1、晨光小区改造面积2.097万平方米，小区涉及6家公共单位共16栋单元楼，共有住户361户（含小区外围商铺），人口约1100人，实施主体为龙城街道办事处。</w:t>
            </w:r>
            <w:r>
              <w:rPr>
                <w:rFonts w:hint="eastAsia" w:ascii="宋体" w:hAnsi="宋体" w:eastAsia="宋体" w:cs="宋体"/>
                <w:i w:val="0"/>
                <w:color w:val="000000"/>
                <w:sz w:val="16"/>
                <w:szCs w:val="16"/>
                <w:u w:val="none"/>
                <w:lang w:val="en-US" w:eastAsia="zh-CN" w:bidi="ar"/>
              </w:rPr>
              <w:br w:type="textWrapping" w:clear="all"/>
            </w:r>
            <w:r>
              <w:rPr>
                <w:rFonts w:hint="eastAsia" w:ascii="宋体" w:hAnsi="宋体" w:eastAsia="宋体" w:cs="宋体"/>
                <w:i w:val="0"/>
                <w:color w:val="000000"/>
                <w:sz w:val="16"/>
                <w:szCs w:val="16"/>
                <w:u w:val="none"/>
                <w:lang w:val="en-US" w:eastAsia="zh-CN" w:bidi="ar"/>
              </w:rPr>
              <w:t>2、呈贡区军队离退休干部休养所改造面积0.224万平方米、户数28户、楼栋数3栋，实施主体为呈贡区退役军人事务局。</w:t>
            </w:r>
          </w:p>
        </w:tc>
      </w:tr>
      <w:tr w14:paraId="7DB16DBD">
        <w:tblPrEx>
          <w:tblCellMar>
            <w:top w:w="12" w:type="dxa"/>
            <w:left w:w="12" w:type="dxa"/>
            <w:bottom w:w="0" w:type="dxa"/>
            <w:right w:w="12" w:type="dxa"/>
          </w:tblCellMar>
        </w:tblPrEx>
        <w:trPr>
          <w:trHeight w:val="56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02A37AD">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项目立项依据</w:t>
            </w:r>
          </w:p>
        </w:tc>
        <w:tc>
          <w:tcPr>
            <w:tcW w:w="7572"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0239F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《昆明市财政局 昆明市住房和城乡建设局关于下达2020年中央财政城镇保障性安居工程补助资金用于城镇老旧小区改造的通知》昆财建﹝2020﹞20号</w:t>
            </w:r>
          </w:p>
        </w:tc>
      </w:tr>
      <w:tr w14:paraId="2DD4FB75">
        <w:tblPrEx>
          <w:tblCellMar>
            <w:top w:w="12" w:type="dxa"/>
            <w:left w:w="12" w:type="dxa"/>
            <w:bottom w:w="0" w:type="dxa"/>
            <w:right w:w="12" w:type="dxa"/>
          </w:tblCellMar>
        </w:tblPrEx>
        <w:trPr>
          <w:trHeight w:val="42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87B8C5F">
            <w:pPr>
              <w:jc w:val="center"/>
              <w:rPr>
                <w:rFonts w:hint="eastAsia" w:ascii="宋体" w:hAnsi="宋体" w:eastAsia="宋体" w:cs="宋体"/>
                <w:i w:val="0"/>
                <w:color w:val="000000"/>
                <w:sz w:val="16"/>
                <w:szCs w:val="16"/>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3492F930">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总投入</w:t>
            </w:r>
          </w:p>
        </w:tc>
        <w:tc>
          <w:tcPr>
            <w:tcW w:w="124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4BF68801">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中央财政</w:t>
            </w:r>
          </w:p>
        </w:tc>
        <w:tc>
          <w:tcPr>
            <w:tcW w:w="12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7B2EC089">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省级财政</w:t>
            </w:r>
          </w:p>
        </w:tc>
        <w:tc>
          <w:tcPr>
            <w:tcW w:w="136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447E0A3F">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市本级财政</w:t>
            </w:r>
          </w:p>
        </w:tc>
        <w:tc>
          <w:tcPr>
            <w:tcW w:w="960"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47B13CF0">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县（市）区级财政</w:t>
            </w:r>
          </w:p>
        </w:tc>
        <w:tc>
          <w:tcPr>
            <w:tcW w:w="15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bottom"/>
          </w:tcPr>
          <w:p w14:paraId="56BEF565">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其他</w:t>
            </w:r>
          </w:p>
        </w:tc>
      </w:tr>
      <w:tr w14:paraId="5A643010">
        <w:tblPrEx>
          <w:tblCellMar>
            <w:top w:w="12" w:type="dxa"/>
            <w:left w:w="12" w:type="dxa"/>
            <w:bottom w:w="0" w:type="dxa"/>
            <w:right w:w="12" w:type="dxa"/>
          </w:tblCellMar>
        </w:tblPrEx>
        <w:trPr>
          <w:trHeight w:val="39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C083E82">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中期资金来源（元）</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F1320C">
            <w:pPr>
              <w:jc w:val="right"/>
              <w:rPr>
                <w:rFonts w:hint="eastAsia" w:ascii="宋体" w:hAnsi="宋体" w:eastAsia="宋体" w:cs="宋体"/>
                <w:i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FB1B6F">
            <w:pPr>
              <w:keepNext w:val="0"/>
              <w:keepLines w:val="0"/>
              <w:widowControl/>
              <w:suppressLineNumbers w:val="0"/>
              <w:jc w:val="righ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 xml:space="preserve">2,790,000.00 </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997E68">
            <w:pPr>
              <w:jc w:val="right"/>
              <w:rPr>
                <w:rFonts w:hint="eastAsia" w:ascii="宋体" w:hAnsi="宋体" w:eastAsia="宋体" w:cs="宋体"/>
                <w:i w:val="0"/>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6B6C0F">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B81BF2">
            <w:pPr>
              <w:jc w:val="right"/>
              <w:rPr>
                <w:rFonts w:hint="eastAsia" w:ascii="宋体" w:hAnsi="宋体" w:eastAsia="宋体" w:cs="宋体"/>
                <w:i w:val="0"/>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AD6F0C">
            <w:pPr>
              <w:jc w:val="right"/>
              <w:rPr>
                <w:rFonts w:hint="eastAsia" w:ascii="宋体" w:hAnsi="宋体" w:eastAsia="宋体" w:cs="宋体"/>
                <w:i w:val="0"/>
                <w:color w:val="000000"/>
                <w:sz w:val="16"/>
                <w:szCs w:val="16"/>
                <w:u w:val="none"/>
              </w:rPr>
            </w:pPr>
          </w:p>
        </w:tc>
      </w:tr>
      <w:tr w14:paraId="7BD0D329">
        <w:tblPrEx>
          <w:tblCellMar>
            <w:top w:w="12" w:type="dxa"/>
            <w:left w:w="12" w:type="dxa"/>
            <w:bottom w:w="0" w:type="dxa"/>
            <w:right w:w="12" w:type="dxa"/>
          </w:tblCellMar>
        </w:tblPrEx>
        <w:trPr>
          <w:trHeight w:val="39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C6E1572">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年度资金来源（元）</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D3C12B">
            <w:pPr>
              <w:jc w:val="right"/>
              <w:rPr>
                <w:rFonts w:hint="eastAsia" w:ascii="宋体" w:hAnsi="宋体" w:eastAsia="宋体" w:cs="宋体"/>
                <w:i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674514">
            <w:pPr>
              <w:jc w:val="right"/>
              <w:rPr>
                <w:rFonts w:hint="eastAsia" w:ascii="宋体" w:hAnsi="宋体" w:eastAsia="宋体" w:cs="宋体"/>
                <w:i w:val="0"/>
                <w:color w:val="000000"/>
                <w:sz w:val="16"/>
                <w:szCs w:val="16"/>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266907">
            <w:pPr>
              <w:jc w:val="right"/>
              <w:rPr>
                <w:rFonts w:hint="eastAsia" w:ascii="宋体" w:hAnsi="宋体" w:eastAsia="宋体" w:cs="宋体"/>
                <w:i w:val="0"/>
                <w:color w:val="000000"/>
                <w:sz w:val="16"/>
                <w:szCs w:val="16"/>
                <w:u w:val="none"/>
              </w:rPr>
            </w:pPr>
          </w:p>
        </w:tc>
        <w:tc>
          <w:tcPr>
            <w:tcW w:w="13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9F6CCE">
            <w:pPr>
              <w:jc w:val="right"/>
              <w:rPr>
                <w:rFonts w:hint="eastAsia" w:ascii="宋体" w:hAnsi="宋体" w:eastAsia="宋体" w:cs="宋体"/>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3187A5">
            <w:pPr>
              <w:jc w:val="right"/>
              <w:rPr>
                <w:rFonts w:hint="eastAsia" w:ascii="宋体" w:hAnsi="宋体" w:eastAsia="宋体" w:cs="宋体"/>
                <w:i w:val="0"/>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FAADFE">
            <w:pPr>
              <w:jc w:val="right"/>
              <w:rPr>
                <w:rFonts w:hint="eastAsia" w:ascii="宋体" w:hAnsi="宋体" w:eastAsia="宋体" w:cs="宋体"/>
                <w:i w:val="0"/>
                <w:color w:val="000000"/>
                <w:sz w:val="16"/>
                <w:szCs w:val="16"/>
                <w:u w:val="none"/>
              </w:rPr>
            </w:pPr>
          </w:p>
        </w:tc>
      </w:tr>
      <w:tr w14:paraId="1BE1147A">
        <w:tblPrEx>
          <w:tblCellMar>
            <w:top w:w="12" w:type="dxa"/>
            <w:left w:w="12" w:type="dxa"/>
            <w:bottom w:w="0" w:type="dxa"/>
            <w:right w:w="12" w:type="dxa"/>
          </w:tblCellMar>
        </w:tblPrEx>
        <w:trPr>
          <w:trHeight w:val="42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4BDD64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总  体   目  标</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232A95D">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中期目标</w:t>
            </w:r>
          </w:p>
        </w:tc>
        <w:tc>
          <w:tcPr>
            <w:tcW w:w="5220" w:type="dxa"/>
            <w:gridSpan w:val="4"/>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883DFB0">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年度目标</w:t>
            </w:r>
          </w:p>
        </w:tc>
      </w:tr>
      <w:tr w14:paraId="3C72E305">
        <w:tblPrEx>
          <w:tblCellMar>
            <w:top w:w="12" w:type="dxa"/>
            <w:left w:w="12" w:type="dxa"/>
            <w:bottom w:w="0" w:type="dxa"/>
            <w:right w:w="12" w:type="dxa"/>
          </w:tblCellMar>
        </w:tblPrEx>
        <w:trPr>
          <w:trHeight w:val="86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F718ACE">
            <w:pPr>
              <w:jc w:val="left"/>
              <w:rPr>
                <w:rFonts w:hint="eastAsia" w:ascii="宋体" w:hAnsi="宋体" w:eastAsia="宋体" w:cs="宋体"/>
                <w:i w:val="0"/>
                <w:color w:val="000000"/>
                <w:sz w:val="16"/>
                <w:szCs w:val="16"/>
                <w:u w:val="none"/>
              </w:rPr>
            </w:pPr>
          </w:p>
        </w:tc>
        <w:tc>
          <w:tcPr>
            <w:tcW w:w="375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5622E6">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制定工作方案，按方案逐步实施</w:t>
            </w:r>
          </w:p>
        </w:tc>
        <w:tc>
          <w:tcPr>
            <w:tcW w:w="522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99C8AD">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中央财政城镇保障性安居工程专项资金279万元。其中：晨光小区改造工程补助资金242万元、呈贡区军队离退休干部休养所改造工程补助资金37万元。</w:t>
            </w:r>
          </w:p>
        </w:tc>
      </w:tr>
      <w:tr w14:paraId="0D3FAF58">
        <w:tblPrEx>
          <w:tblCellMar>
            <w:top w:w="12" w:type="dxa"/>
            <w:left w:w="12" w:type="dxa"/>
            <w:bottom w:w="0" w:type="dxa"/>
            <w:right w:w="12" w:type="dxa"/>
          </w:tblCellMar>
        </w:tblPrEx>
        <w:trPr>
          <w:trHeight w:val="40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289BF3C">
            <w:pPr>
              <w:jc w:val="left"/>
              <w:rPr>
                <w:rFonts w:hint="eastAsia" w:ascii="宋体" w:hAnsi="宋体" w:eastAsia="宋体" w:cs="宋体"/>
                <w:i w:val="0"/>
                <w:color w:val="000000"/>
                <w:sz w:val="16"/>
                <w:szCs w:val="16"/>
                <w:u w:val="none"/>
              </w:rPr>
            </w:pPr>
          </w:p>
        </w:tc>
        <w:tc>
          <w:tcPr>
            <w:tcW w:w="375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1014A0">
            <w:pPr>
              <w:jc w:val="left"/>
              <w:rPr>
                <w:rFonts w:hint="eastAsia" w:ascii="宋体" w:hAnsi="宋体" w:eastAsia="宋体" w:cs="宋体"/>
                <w:i w:val="0"/>
                <w:color w:val="000000"/>
                <w:sz w:val="16"/>
                <w:szCs w:val="16"/>
                <w:u w:val="none"/>
              </w:rPr>
            </w:pPr>
          </w:p>
        </w:tc>
        <w:tc>
          <w:tcPr>
            <w:tcW w:w="522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565B9C">
            <w:pPr>
              <w:jc w:val="left"/>
              <w:rPr>
                <w:rFonts w:hint="eastAsia" w:ascii="宋体" w:hAnsi="宋体" w:eastAsia="宋体" w:cs="宋体"/>
                <w:i w:val="0"/>
                <w:color w:val="000000"/>
                <w:sz w:val="16"/>
                <w:szCs w:val="16"/>
                <w:u w:val="none"/>
              </w:rPr>
            </w:pPr>
          </w:p>
        </w:tc>
      </w:tr>
      <w:tr w14:paraId="3049371A">
        <w:tblPrEx>
          <w:tblCellMar>
            <w:top w:w="12" w:type="dxa"/>
            <w:left w:w="12" w:type="dxa"/>
            <w:bottom w:w="0" w:type="dxa"/>
            <w:right w:w="12" w:type="dxa"/>
          </w:tblCellMar>
        </w:tblPrEx>
        <w:trPr>
          <w:trHeight w:val="42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E89EE16">
            <w:pPr>
              <w:jc w:val="left"/>
              <w:rPr>
                <w:rFonts w:hint="eastAsia" w:ascii="宋体" w:hAnsi="宋体" w:eastAsia="宋体" w:cs="宋体"/>
                <w:i w:val="0"/>
                <w:color w:val="000000"/>
                <w:sz w:val="16"/>
                <w:szCs w:val="16"/>
                <w:u w:val="none"/>
              </w:rPr>
            </w:pPr>
          </w:p>
        </w:tc>
        <w:tc>
          <w:tcPr>
            <w:tcW w:w="375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765C79">
            <w:pPr>
              <w:jc w:val="left"/>
              <w:rPr>
                <w:rFonts w:hint="eastAsia" w:ascii="宋体" w:hAnsi="宋体" w:eastAsia="宋体" w:cs="宋体"/>
                <w:i w:val="0"/>
                <w:color w:val="000000"/>
                <w:sz w:val="16"/>
                <w:szCs w:val="16"/>
                <w:u w:val="none"/>
              </w:rPr>
            </w:pPr>
          </w:p>
        </w:tc>
        <w:tc>
          <w:tcPr>
            <w:tcW w:w="522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E1DAB0">
            <w:pPr>
              <w:jc w:val="left"/>
              <w:rPr>
                <w:rFonts w:hint="eastAsia" w:ascii="宋体" w:hAnsi="宋体" w:eastAsia="宋体" w:cs="宋体"/>
                <w:i w:val="0"/>
                <w:color w:val="000000"/>
                <w:sz w:val="16"/>
                <w:szCs w:val="16"/>
                <w:u w:val="none"/>
              </w:rPr>
            </w:pPr>
          </w:p>
        </w:tc>
      </w:tr>
      <w:tr w14:paraId="6F74F852">
        <w:tblPrEx>
          <w:tblCellMar>
            <w:top w:w="12" w:type="dxa"/>
            <w:left w:w="12" w:type="dxa"/>
            <w:bottom w:w="0" w:type="dxa"/>
            <w:right w:w="12" w:type="dxa"/>
          </w:tblCellMar>
        </w:tblPrEx>
        <w:trPr>
          <w:trHeight w:val="43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9D50D58">
            <w:pPr>
              <w:jc w:val="left"/>
              <w:rPr>
                <w:rFonts w:hint="eastAsia" w:ascii="宋体" w:hAnsi="宋体" w:eastAsia="宋体" w:cs="宋体"/>
                <w:i w:val="0"/>
                <w:color w:val="000000"/>
                <w:sz w:val="16"/>
                <w:szCs w:val="16"/>
                <w:u w:val="none"/>
              </w:rPr>
            </w:pPr>
          </w:p>
        </w:tc>
        <w:tc>
          <w:tcPr>
            <w:tcW w:w="375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2419D0">
            <w:pPr>
              <w:jc w:val="left"/>
              <w:rPr>
                <w:rFonts w:hint="eastAsia" w:ascii="宋体" w:hAnsi="宋体" w:eastAsia="宋体" w:cs="宋体"/>
                <w:i w:val="0"/>
                <w:color w:val="000000"/>
                <w:sz w:val="16"/>
                <w:szCs w:val="16"/>
                <w:u w:val="none"/>
              </w:rPr>
            </w:pPr>
          </w:p>
        </w:tc>
        <w:tc>
          <w:tcPr>
            <w:tcW w:w="522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517DDA">
            <w:pPr>
              <w:jc w:val="left"/>
              <w:rPr>
                <w:rFonts w:hint="eastAsia" w:ascii="宋体" w:hAnsi="宋体" w:eastAsia="宋体" w:cs="宋体"/>
                <w:i w:val="0"/>
                <w:color w:val="000000"/>
                <w:sz w:val="16"/>
                <w:szCs w:val="16"/>
                <w:u w:val="none"/>
              </w:rPr>
            </w:pPr>
          </w:p>
        </w:tc>
      </w:tr>
      <w:tr w14:paraId="370F8A56">
        <w:tblPrEx>
          <w:tblCellMar>
            <w:top w:w="12" w:type="dxa"/>
            <w:left w:w="12" w:type="dxa"/>
            <w:bottom w:w="0" w:type="dxa"/>
            <w:right w:w="12" w:type="dxa"/>
          </w:tblCellMar>
        </w:tblPrEx>
        <w:trPr>
          <w:trHeight w:val="540"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3E7D8A5">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晨            光         小             区           绩  效  指  标</w:t>
            </w:r>
          </w:p>
        </w:tc>
        <w:tc>
          <w:tcPr>
            <w:tcW w:w="76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6F51DBD3">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一级指标</w:t>
            </w:r>
          </w:p>
        </w:tc>
        <w:tc>
          <w:tcPr>
            <w:tcW w:w="63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FAB0E6A">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二级指标</w:t>
            </w:r>
          </w:p>
        </w:tc>
        <w:tc>
          <w:tcPr>
            <w:tcW w:w="1104"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1A3232A">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三级指标</w:t>
            </w:r>
          </w:p>
        </w:tc>
        <w:tc>
          <w:tcPr>
            <w:tcW w:w="124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742BCBB">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指标值</w:t>
            </w:r>
          </w:p>
        </w:tc>
        <w:tc>
          <w:tcPr>
            <w:tcW w:w="12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53EC3F3">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二级指标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BD95753">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三级指标</w:t>
            </w:r>
          </w:p>
        </w:tc>
        <w:tc>
          <w:tcPr>
            <w:tcW w:w="15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3B3C51F">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指标值</w:t>
            </w:r>
          </w:p>
        </w:tc>
      </w:tr>
      <w:tr w14:paraId="12CB6934">
        <w:tblPrEx>
          <w:tblCellMar>
            <w:top w:w="12" w:type="dxa"/>
            <w:left w:w="12" w:type="dxa"/>
            <w:bottom w:w="0" w:type="dxa"/>
            <w:right w:w="12" w:type="dxa"/>
          </w:tblCellMar>
        </w:tblPrEx>
        <w:trPr>
          <w:trHeight w:val="54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E6EC642">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62D7B404">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产出指标</w:t>
            </w:r>
          </w:p>
        </w:tc>
        <w:tc>
          <w:tcPr>
            <w:tcW w:w="63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5EC9A86">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6C9C15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中央补助资金</w:t>
            </w:r>
          </w:p>
        </w:tc>
        <w:tc>
          <w:tcPr>
            <w:tcW w:w="124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57AC8B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242万元</w:t>
            </w:r>
          </w:p>
        </w:tc>
        <w:tc>
          <w:tcPr>
            <w:tcW w:w="12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6D8ABDE">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368" w:type="dxa"/>
            <w:tcBorders>
              <w:top w:val="single" w:color="000000" w:sz="4" w:space="0"/>
              <w:left w:val="single" w:color="000000" w:sz="4" w:space="0"/>
              <w:bottom w:val="single" w:color="000000" w:sz="4" w:space="0"/>
              <w:right w:val="nil"/>
            </w:tcBorders>
            <w:shd w:val="clear" w:color="auto" w:fill="F8F8F8"/>
            <w:noWrap w:val="0"/>
            <w:tcMar>
              <w:top w:w="12" w:type="dxa"/>
              <w:left w:w="12" w:type="dxa"/>
              <w:right w:w="12" w:type="dxa"/>
            </w:tcMar>
            <w:vAlign w:val="center"/>
          </w:tcPr>
          <w:p w14:paraId="6D2B741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中央补助资金</w:t>
            </w:r>
          </w:p>
        </w:tc>
        <w:tc>
          <w:tcPr>
            <w:tcW w:w="960" w:type="dxa"/>
            <w:tcBorders>
              <w:top w:val="single" w:color="000000" w:sz="4" w:space="0"/>
              <w:left w:val="nil"/>
              <w:bottom w:val="single" w:color="000000" w:sz="4" w:space="0"/>
              <w:right w:val="single" w:color="000000" w:sz="4" w:space="0"/>
            </w:tcBorders>
            <w:shd w:val="clear" w:color="auto" w:fill="F8F8F8"/>
            <w:noWrap w:val="0"/>
            <w:tcMar>
              <w:top w:w="12" w:type="dxa"/>
              <w:left w:w="12" w:type="dxa"/>
              <w:right w:w="12" w:type="dxa"/>
            </w:tcMar>
            <w:vAlign w:val="bottom"/>
          </w:tcPr>
          <w:p w14:paraId="204FA60B">
            <w:pPr>
              <w:rPr>
                <w:rFonts w:hint="eastAsia" w:ascii="宋体" w:hAnsi="宋体" w:eastAsia="宋体" w:cs="宋体"/>
                <w:i w:val="0"/>
                <w:color w:val="000000"/>
                <w:sz w:val="16"/>
                <w:szCs w:val="16"/>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3F38F4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242万元</w:t>
            </w:r>
          </w:p>
        </w:tc>
      </w:tr>
      <w:tr w14:paraId="118674F0">
        <w:tblPrEx>
          <w:tblCellMar>
            <w:top w:w="12" w:type="dxa"/>
            <w:left w:w="12" w:type="dxa"/>
            <w:bottom w:w="0" w:type="dxa"/>
            <w:right w:w="12" w:type="dxa"/>
          </w:tblCellMar>
        </w:tblPrEx>
        <w:trPr>
          <w:trHeight w:val="54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8F135B6">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EA1BAD0">
            <w:pPr>
              <w:jc w:val="center"/>
              <w:rPr>
                <w:rFonts w:hint="eastAsia" w:ascii="宋体" w:hAnsi="宋体" w:eastAsia="宋体" w:cs="宋体"/>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B52963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57F36E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改造面积</w:t>
            </w:r>
          </w:p>
        </w:tc>
        <w:tc>
          <w:tcPr>
            <w:tcW w:w="124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DC8D3A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2.097万平方米</w:t>
            </w:r>
          </w:p>
        </w:tc>
        <w:tc>
          <w:tcPr>
            <w:tcW w:w="12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A55EAF9">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08CDE1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改造面积</w:t>
            </w:r>
          </w:p>
        </w:tc>
        <w:tc>
          <w:tcPr>
            <w:tcW w:w="1596"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EA10C77">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2.097万平方米</w:t>
            </w:r>
          </w:p>
        </w:tc>
      </w:tr>
      <w:tr w14:paraId="4E141F5D">
        <w:tblPrEx>
          <w:tblCellMar>
            <w:top w:w="12" w:type="dxa"/>
            <w:left w:w="12" w:type="dxa"/>
            <w:bottom w:w="0" w:type="dxa"/>
            <w:right w:w="12" w:type="dxa"/>
          </w:tblCellMar>
        </w:tblPrEx>
        <w:trPr>
          <w:trHeight w:val="42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D2634A0">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1E698B2F">
            <w:pPr>
              <w:rPr>
                <w:rFonts w:hint="eastAsia" w:ascii="宋体" w:hAnsi="宋体" w:eastAsia="宋体" w:cs="宋体"/>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68007AD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6671E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改造单位</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88276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6家公共单位</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0D114F3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AC6383">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改造单位</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31AA2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6家公共单位</w:t>
            </w:r>
          </w:p>
        </w:tc>
      </w:tr>
      <w:tr w14:paraId="08E2CB39">
        <w:tblPrEx>
          <w:tblCellMar>
            <w:top w:w="12" w:type="dxa"/>
            <w:left w:w="12" w:type="dxa"/>
            <w:bottom w:w="0" w:type="dxa"/>
            <w:right w:w="12" w:type="dxa"/>
          </w:tblCellMar>
        </w:tblPrEx>
        <w:trPr>
          <w:trHeight w:val="375"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4A254012">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9D23E0">
            <w:pPr>
              <w:jc w:val="left"/>
              <w:rPr>
                <w:rFonts w:hint="eastAsia" w:ascii="宋体" w:hAnsi="宋体" w:eastAsia="宋体" w:cs="宋体"/>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04ED057">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E5427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改造楼栋</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03247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16栋</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299F361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37F32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改造楼栋</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88665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16栋</w:t>
            </w:r>
          </w:p>
        </w:tc>
      </w:tr>
      <w:tr w14:paraId="682CA628">
        <w:tblPrEx>
          <w:tblCellMar>
            <w:top w:w="12" w:type="dxa"/>
            <w:left w:w="12" w:type="dxa"/>
            <w:bottom w:w="0" w:type="dxa"/>
            <w:right w:w="12" w:type="dxa"/>
          </w:tblCellMar>
        </w:tblPrEx>
        <w:trPr>
          <w:trHeight w:val="48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B9079E6">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6CD20A">
            <w:pPr>
              <w:jc w:val="left"/>
              <w:rPr>
                <w:rFonts w:hint="eastAsia" w:ascii="宋体" w:hAnsi="宋体" w:eastAsia="宋体" w:cs="宋体"/>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27B77D8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50E360">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涉及住户</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F9ADB3">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住户361户（含小区外围商铺）</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7065569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EBEA4A">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涉及住户</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FE48A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361住户（含小区外围商铺）</w:t>
            </w:r>
          </w:p>
        </w:tc>
      </w:tr>
      <w:tr w14:paraId="26384BAA">
        <w:tblPrEx>
          <w:tblCellMar>
            <w:top w:w="12" w:type="dxa"/>
            <w:left w:w="12" w:type="dxa"/>
            <w:bottom w:w="0" w:type="dxa"/>
            <w:right w:w="12" w:type="dxa"/>
          </w:tblCellMar>
        </w:tblPrEx>
        <w:trPr>
          <w:trHeight w:val="46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17C44865">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02817C">
            <w:pPr>
              <w:jc w:val="left"/>
              <w:rPr>
                <w:rFonts w:hint="eastAsia" w:ascii="宋体" w:hAnsi="宋体" w:eastAsia="宋体" w:cs="宋体"/>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43F0C4C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E9CB6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涉及人口</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5DAD7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人口约 1100人</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3AAB3F3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质量指标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4B5E4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涉及人口</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4D2D6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人口约 1100人</w:t>
            </w:r>
          </w:p>
        </w:tc>
      </w:tr>
      <w:tr w14:paraId="4D77512A">
        <w:tblPrEx>
          <w:tblCellMar>
            <w:top w:w="12" w:type="dxa"/>
            <w:left w:w="12" w:type="dxa"/>
            <w:bottom w:w="0" w:type="dxa"/>
            <w:right w:w="12" w:type="dxa"/>
          </w:tblCellMar>
        </w:tblPrEx>
        <w:trPr>
          <w:trHeight w:val="46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EC1E96C">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1D5A215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效益指标</w:t>
            </w:r>
          </w:p>
        </w:tc>
        <w:tc>
          <w:tcPr>
            <w:tcW w:w="636" w:type="dxa"/>
            <w:tcBorders>
              <w:top w:val="single" w:color="000000" w:sz="4" w:space="0"/>
              <w:left w:val="single" w:color="000000" w:sz="4" w:space="0"/>
              <w:bottom w:val="nil"/>
              <w:right w:val="single" w:color="000000" w:sz="4" w:space="0"/>
            </w:tcBorders>
            <w:noWrap w:val="0"/>
            <w:tcMar>
              <w:top w:w="12" w:type="dxa"/>
              <w:left w:w="12" w:type="dxa"/>
              <w:right w:w="12" w:type="dxa"/>
            </w:tcMar>
            <w:vAlign w:val="bottom"/>
          </w:tcPr>
          <w:p w14:paraId="495C665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社会效益指标</w:t>
            </w:r>
          </w:p>
        </w:tc>
        <w:tc>
          <w:tcPr>
            <w:tcW w:w="110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01DA685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设计方案</w:t>
            </w:r>
          </w:p>
        </w:tc>
        <w:tc>
          <w:tcPr>
            <w:tcW w:w="12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5E1D597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已通过竣工验收合格</w:t>
            </w:r>
          </w:p>
        </w:tc>
        <w:tc>
          <w:tcPr>
            <w:tcW w:w="1296" w:type="dxa"/>
            <w:tcBorders>
              <w:top w:val="single" w:color="000000" w:sz="4" w:space="0"/>
              <w:left w:val="single" w:color="000000" w:sz="4" w:space="0"/>
              <w:bottom w:val="nil"/>
              <w:right w:val="single" w:color="000000" w:sz="4" w:space="0"/>
            </w:tcBorders>
            <w:noWrap w:val="0"/>
            <w:tcMar>
              <w:top w:w="12" w:type="dxa"/>
              <w:left w:w="12" w:type="dxa"/>
              <w:right w:w="12" w:type="dxa"/>
            </w:tcMar>
            <w:vAlign w:val="bottom"/>
          </w:tcPr>
          <w:p w14:paraId="334F4BBB">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社会效益指标</w:t>
            </w:r>
          </w:p>
        </w:tc>
        <w:tc>
          <w:tcPr>
            <w:tcW w:w="2328" w:type="dxa"/>
            <w:gridSpan w:val="2"/>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6E15D6C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设计方案</w:t>
            </w:r>
          </w:p>
        </w:tc>
        <w:tc>
          <w:tcPr>
            <w:tcW w:w="159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453E712F">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已通过竣工验收合格</w:t>
            </w:r>
          </w:p>
        </w:tc>
      </w:tr>
      <w:tr w14:paraId="3C25CEFD">
        <w:tblPrEx>
          <w:tblCellMar>
            <w:top w:w="12" w:type="dxa"/>
            <w:left w:w="12" w:type="dxa"/>
            <w:bottom w:w="0" w:type="dxa"/>
            <w:right w:w="12" w:type="dxa"/>
          </w:tblCellMar>
        </w:tblPrEx>
        <w:trPr>
          <w:trHeight w:val="540"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686CED53">
            <w:pPr>
              <w:jc w:val="center"/>
              <w:rPr>
                <w:rFonts w:hint="eastAsia" w:ascii="宋体" w:hAnsi="宋体" w:eastAsia="宋体" w:cs="宋体"/>
                <w:i w:val="0"/>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419900">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满意度指标</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1A0D26B3">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服务满意度指标</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4F4EF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住户满意度</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78D33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14:paraId="5A6B86A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服务满意度指标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C7686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住户满意度</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6459B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90%</w:t>
            </w:r>
          </w:p>
        </w:tc>
      </w:tr>
      <w:tr w14:paraId="1FF834C0">
        <w:tblPrEx>
          <w:tblCellMar>
            <w:top w:w="12" w:type="dxa"/>
            <w:left w:w="12" w:type="dxa"/>
            <w:bottom w:w="0" w:type="dxa"/>
            <w:right w:w="12" w:type="dxa"/>
          </w:tblCellMar>
        </w:tblPrEx>
        <w:trPr>
          <w:trHeight w:val="540" w:hRule="atLeast"/>
        </w:trPr>
        <w:tc>
          <w:tcPr>
            <w:tcW w:w="608" w:type="dxa"/>
            <w:tcBorders>
              <w:top w:val="nil"/>
              <w:left w:val="single" w:color="000000" w:sz="4" w:space="0"/>
              <w:bottom w:val="nil"/>
              <w:right w:val="single" w:color="000000" w:sz="4" w:space="0"/>
            </w:tcBorders>
            <w:shd w:val="clear" w:color="auto" w:fill="F8F8F8"/>
            <w:noWrap w:val="0"/>
            <w:tcMar>
              <w:top w:w="12" w:type="dxa"/>
              <w:left w:w="12" w:type="dxa"/>
              <w:right w:w="12" w:type="dxa"/>
            </w:tcMar>
            <w:vAlign w:val="center"/>
          </w:tcPr>
          <w:p w14:paraId="31A659B3">
            <w:pPr>
              <w:jc w:val="center"/>
              <w:rPr>
                <w:rFonts w:hint="eastAsia" w:ascii="宋体" w:hAnsi="宋体" w:eastAsia="宋体" w:cs="宋体"/>
                <w:i w:val="0"/>
                <w:color w:val="000000"/>
                <w:sz w:val="16"/>
                <w:szCs w:val="16"/>
                <w:u w:val="none"/>
              </w:rPr>
            </w:pPr>
          </w:p>
        </w:tc>
        <w:tc>
          <w:tcPr>
            <w:tcW w:w="76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232D2B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产出指标</w:t>
            </w:r>
          </w:p>
        </w:tc>
        <w:tc>
          <w:tcPr>
            <w:tcW w:w="636" w:type="dxa"/>
            <w:tcBorders>
              <w:top w:val="nil"/>
              <w:left w:val="single" w:color="000000" w:sz="4" w:space="0"/>
              <w:bottom w:val="single" w:color="000000" w:sz="4" w:space="0"/>
              <w:right w:val="single" w:color="000000" w:sz="4" w:space="0"/>
            </w:tcBorders>
            <w:noWrap w:val="0"/>
            <w:tcMar>
              <w:top w:w="12" w:type="dxa"/>
              <w:left w:w="12" w:type="dxa"/>
              <w:right w:w="12" w:type="dxa"/>
            </w:tcMar>
            <w:vAlign w:val="bottom"/>
          </w:tcPr>
          <w:p w14:paraId="358D4FE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nil"/>
              <w:left w:val="single" w:color="000000" w:sz="4" w:space="0"/>
              <w:bottom w:val="single" w:color="000000" w:sz="4" w:space="0"/>
              <w:right w:val="nil"/>
            </w:tcBorders>
            <w:noWrap w:val="0"/>
            <w:tcMar>
              <w:top w:w="12" w:type="dxa"/>
              <w:left w:w="12" w:type="dxa"/>
              <w:right w:w="12" w:type="dxa"/>
            </w:tcMar>
            <w:vAlign w:val="center"/>
          </w:tcPr>
          <w:p w14:paraId="76E92D2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中央补助资金</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4D2C5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37万元</w:t>
            </w:r>
          </w:p>
        </w:tc>
        <w:tc>
          <w:tcPr>
            <w:tcW w:w="1296" w:type="dxa"/>
            <w:tcBorders>
              <w:top w:val="nil"/>
              <w:left w:val="nil"/>
              <w:bottom w:val="single" w:color="000000" w:sz="4" w:space="0"/>
              <w:right w:val="nil"/>
            </w:tcBorders>
            <w:noWrap w:val="0"/>
            <w:tcMar>
              <w:top w:w="12" w:type="dxa"/>
              <w:left w:w="12" w:type="dxa"/>
              <w:right w:w="12" w:type="dxa"/>
            </w:tcMar>
            <w:vAlign w:val="bottom"/>
          </w:tcPr>
          <w:p w14:paraId="5CC676C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FB459D">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中央补助资金</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5647A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37万元</w:t>
            </w:r>
          </w:p>
        </w:tc>
      </w:tr>
      <w:tr w14:paraId="62E4AF48">
        <w:tblPrEx>
          <w:tblCellMar>
            <w:top w:w="12" w:type="dxa"/>
            <w:left w:w="12" w:type="dxa"/>
            <w:bottom w:w="0" w:type="dxa"/>
            <w:right w:w="12" w:type="dxa"/>
          </w:tblCellMar>
        </w:tblPrEx>
        <w:trPr>
          <w:trHeight w:val="680" w:hRule="atLeast"/>
        </w:trPr>
        <w:tc>
          <w:tcPr>
            <w:tcW w:w="608" w:type="dxa"/>
            <w:vMerge w:val="restart"/>
            <w:tcBorders>
              <w:top w:val="nil"/>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A759BAD">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军队离退休干部休养所小             区           绩  效  指  标</w:t>
            </w:r>
          </w:p>
        </w:tc>
        <w:tc>
          <w:tcPr>
            <w:tcW w:w="76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44852B9">
            <w:pPr>
              <w:jc w:val="left"/>
              <w:rPr>
                <w:rFonts w:hint="eastAsia" w:ascii="宋体" w:hAnsi="宋体" w:eastAsia="宋体" w:cs="宋体"/>
                <w:i w:val="0"/>
                <w:color w:val="000000"/>
                <w:sz w:val="16"/>
                <w:szCs w:val="16"/>
                <w:u w:val="none"/>
              </w:rPr>
            </w:pPr>
          </w:p>
        </w:tc>
        <w:tc>
          <w:tcPr>
            <w:tcW w:w="636" w:type="dxa"/>
            <w:tcBorders>
              <w:top w:val="nil"/>
              <w:left w:val="single" w:color="000000" w:sz="4" w:space="0"/>
              <w:bottom w:val="single" w:color="000000" w:sz="4" w:space="0"/>
              <w:right w:val="single" w:color="000000" w:sz="4" w:space="0"/>
            </w:tcBorders>
            <w:noWrap w:val="0"/>
            <w:tcMar>
              <w:top w:w="12" w:type="dxa"/>
              <w:left w:w="12" w:type="dxa"/>
              <w:right w:w="12" w:type="dxa"/>
            </w:tcMar>
            <w:vAlign w:val="bottom"/>
          </w:tcPr>
          <w:p w14:paraId="748EA00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nil"/>
              <w:left w:val="single" w:color="000000" w:sz="4" w:space="0"/>
              <w:bottom w:val="single" w:color="000000" w:sz="4" w:space="0"/>
              <w:right w:val="nil"/>
            </w:tcBorders>
            <w:noWrap w:val="0"/>
            <w:tcMar>
              <w:top w:w="12" w:type="dxa"/>
              <w:left w:w="12" w:type="dxa"/>
              <w:right w:w="12" w:type="dxa"/>
            </w:tcMar>
            <w:vAlign w:val="center"/>
          </w:tcPr>
          <w:p w14:paraId="241C57C4">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改造面积</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E873F7">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0.224万平方米</w:t>
            </w:r>
          </w:p>
        </w:tc>
        <w:tc>
          <w:tcPr>
            <w:tcW w:w="1296" w:type="dxa"/>
            <w:tcBorders>
              <w:top w:val="nil"/>
              <w:left w:val="nil"/>
              <w:bottom w:val="single" w:color="000000" w:sz="4" w:space="0"/>
              <w:right w:val="nil"/>
            </w:tcBorders>
            <w:noWrap w:val="0"/>
            <w:tcMar>
              <w:top w:w="12" w:type="dxa"/>
              <w:left w:w="12" w:type="dxa"/>
              <w:right w:w="12" w:type="dxa"/>
            </w:tcMar>
            <w:vAlign w:val="bottom"/>
          </w:tcPr>
          <w:p w14:paraId="41A9552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8EA3E3">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改造面积</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FC417E">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0.224万平方米</w:t>
            </w:r>
          </w:p>
        </w:tc>
      </w:tr>
      <w:tr w14:paraId="6157A3B2">
        <w:tblPrEx>
          <w:tblCellMar>
            <w:top w:w="12" w:type="dxa"/>
            <w:left w:w="12" w:type="dxa"/>
            <w:bottom w:w="0" w:type="dxa"/>
            <w:right w:w="12" w:type="dxa"/>
          </w:tblCellMar>
        </w:tblPrEx>
        <w:trPr>
          <w:trHeight w:val="620" w:hRule="atLeast"/>
        </w:trPr>
        <w:tc>
          <w:tcPr>
            <w:tcW w:w="608" w:type="dxa"/>
            <w:vMerge w:val="continue"/>
            <w:tcBorders>
              <w:top w:val="nil"/>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67FB897">
            <w:pPr>
              <w:jc w:val="center"/>
              <w:rPr>
                <w:rFonts w:hint="eastAsia" w:ascii="宋体" w:hAnsi="宋体" w:eastAsia="宋体" w:cs="宋体"/>
                <w:i w:val="0"/>
                <w:color w:val="000000"/>
                <w:sz w:val="16"/>
                <w:szCs w:val="16"/>
                <w:u w:val="none"/>
              </w:rPr>
            </w:pPr>
          </w:p>
        </w:tc>
        <w:tc>
          <w:tcPr>
            <w:tcW w:w="76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8934275">
            <w:pPr>
              <w:jc w:val="left"/>
              <w:rPr>
                <w:rFonts w:hint="eastAsia" w:ascii="宋体" w:hAnsi="宋体" w:eastAsia="宋体" w:cs="宋体"/>
                <w:i w:val="0"/>
                <w:color w:val="000000"/>
                <w:sz w:val="16"/>
                <w:szCs w:val="16"/>
                <w:u w:val="none"/>
              </w:rPr>
            </w:pPr>
          </w:p>
        </w:tc>
        <w:tc>
          <w:tcPr>
            <w:tcW w:w="636" w:type="dxa"/>
            <w:tcBorders>
              <w:top w:val="nil"/>
              <w:left w:val="single" w:color="000000" w:sz="4" w:space="0"/>
              <w:bottom w:val="single" w:color="000000" w:sz="4" w:space="0"/>
              <w:right w:val="single" w:color="000000" w:sz="4" w:space="0"/>
            </w:tcBorders>
            <w:noWrap w:val="0"/>
            <w:tcMar>
              <w:top w:w="12" w:type="dxa"/>
              <w:left w:w="12" w:type="dxa"/>
              <w:right w:w="12" w:type="dxa"/>
            </w:tcMar>
            <w:vAlign w:val="bottom"/>
          </w:tcPr>
          <w:p w14:paraId="6D3D8A76">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nil"/>
              <w:left w:val="single" w:color="000000" w:sz="4" w:space="0"/>
              <w:bottom w:val="single" w:color="000000" w:sz="4" w:space="0"/>
              <w:right w:val="nil"/>
            </w:tcBorders>
            <w:noWrap w:val="0"/>
            <w:tcMar>
              <w:top w:w="12" w:type="dxa"/>
              <w:left w:w="12" w:type="dxa"/>
              <w:right w:w="12" w:type="dxa"/>
            </w:tcMar>
            <w:vAlign w:val="center"/>
          </w:tcPr>
          <w:p w14:paraId="641D5AE6">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改造楼栋</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B86D9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3栋</w:t>
            </w:r>
          </w:p>
        </w:tc>
        <w:tc>
          <w:tcPr>
            <w:tcW w:w="1296" w:type="dxa"/>
            <w:tcBorders>
              <w:top w:val="nil"/>
              <w:left w:val="nil"/>
              <w:bottom w:val="single" w:color="000000" w:sz="4" w:space="0"/>
              <w:right w:val="nil"/>
            </w:tcBorders>
            <w:noWrap w:val="0"/>
            <w:tcMar>
              <w:top w:w="12" w:type="dxa"/>
              <w:left w:w="12" w:type="dxa"/>
              <w:right w:w="12" w:type="dxa"/>
            </w:tcMar>
            <w:vAlign w:val="bottom"/>
          </w:tcPr>
          <w:p w14:paraId="3CC4CB59">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917473">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改造楼栋</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6674F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3栋</w:t>
            </w:r>
          </w:p>
        </w:tc>
      </w:tr>
      <w:tr w14:paraId="15481289">
        <w:tblPrEx>
          <w:tblCellMar>
            <w:top w:w="12" w:type="dxa"/>
            <w:left w:w="12" w:type="dxa"/>
            <w:bottom w:w="0" w:type="dxa"/>
            <w:right w:w="12" w:type="dxa"/>
          </w:tblCellMar>
        </w:tblPrEx>
        <w:trPr>
          <w:trHeight w:val="720" w:hRule="atLeast"/>
        </w:trPr>
        <w:tc>
          <w:tcPr>
            <w:tcW w:w="608" w:type="dxa"/>
            <w:vMerge w:val="continue"/>
            <w:tcBorders>
              <w:top w:val="nil"/>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5AC6D97C">
            <w:pPr>
              <w:jc w:val="center"/>
              <w:rPr>
                <w:rFonts w:hint="eastAsia" w:ascii="宋体" w:hAnsi="宋体" w:eastAsia="宋体" w:cs="宋体"/>
                <w:i w:val="0"/>
                <w:color w:val="000000"/>
                <w:sz w:val="16"/>
                <w:szCs w:val="16"/>
                <w:u w:val="none"/>
              </w:rPr>
            </w:pPr>
          </w:p>
        </w:tc>
        <w:tc>
          <w:tcPr>
            <w:tcW w:w="76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5D4159D">
            <w:pPr>
              <w:jc w:val="left"/>
              <w:rPr>
                <w:rFonts w:hint="eastAsia" w:ascii="宋体" w:hAnsi="宋体" w:eastAsia="宋体" w:cs="宋体"/>
                <w:i w:val="0"/>
                <w:color w:val="000000"/>
                <w:sz w:val="16"/>
                <w:szCs w:val="16"/>
                <w:u w:val="none"/>
              </w:rPr>
            </w:pPr>
          </w:p>
        </w:tc>
        <w:tc>
          <w:tcPr>
            <w:tcW w:w="636" w:type="dxa"/>
            <w:tcBorders>
              <w:top w:val="nil"/>
              <w:left w:val="single" w:color="000000" w:sz="4" w:space="0"/>
              <w:bottom w:val="single" w:color="000000" w:sz="4" w:space="0"/>
              <w:right w:val="single" w:color="000000" w:sz="4" w:space="0"/>
            </w:tcBorders>
            <w:noWrap w:val="0"/>
            <w:tcMar>
              <w:top w:w="12" w:type="dxa"/>
              <w:left w:w="12" w:type="dxa"/>
              <w:right w:w="12" w:type="dxa"/>
            </w:tcMar>
            <w:vAlign w:val="bottom"/>
          </w:tcPr>
          <w:p w14:paraId="42B190F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1104" w:type="dxa"/>
            <w:tcBorders>
              <w:top w:val="nil"/>
              <w:left w:val="single" w:color="000000" w:sz="4" w:space="0"/>
              <w:bottom w:val="single" w:color="000000" w:sz="4" w:space="0"/>
              <w:right w:val="nil"/>
            </w:tcBorders>
            <w:noWrap w:val="0"/>
            <w:tcMar>
              <w:top w:w="12" w:type="dxa"/>
              <w:left w:w="12" w:type="dxa"/>
              <w:right w:w="12" w:type="dxa"/>
            </w:tcMar>
            <w:vAlign w:val="center"/>
          </w:tcPr>
          <w:p w14:paraId="4D32BD2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涉及住户</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83CAF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28户</w:t>
            </w:r>
          </w:p>
        </w:tc>
        <w:tc>
          <w:tcPr>
            <w:tcW w:w="1296" w:type="dxa"/>
            <w:tcBorders>
              <w:top w:val="nil"/>
              <w:left w:val="nil"/>
              <w:bottom w:val="single" w:color="000000" w:sz="4" w:space="0"/>
              <w:right w:val="nil"/>
            </w:tcBorders>
            <w:noWrap w:val="0"/>
            <w:tcMar>
              <w:top w:w="12" w:type="dxa"/>
              <w:left w:w="12" w:type="dxa"/>
              <w:right w:w="12" w:type="dxa"/>
            </w:tcMar>
            <w:vAlign w:val="bottom"/>
          </w:tcPr>
          <w:p w14:paraId="61EC38F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数量指标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8DE7F8">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涉及住户</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2AD63D">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28户</w:t>
            </w:r>
          </w:p>
        </w:tc>
      </w:tr>
      <w:tr w14:paraId="6E004A24">
        <w:tblPrEx>
          <w:tblCellMar>
            <w:top w:w="12" w:type="dxa"/>
            <w:left w:w="12" w:type="dxa"/>
            <w:bottom w:w="0" w:type="dxa"/>
            <w:right w:w="12" w:type="dxa"/>
          </w:tblCellMar>
        </w:tblPrEx>
        <w:trPr>
          <w:trHeight w:val="780" w:hRule="atLeast"/>
        </w:trPr>
        <w:tc>
          <w:tcPr>
            <w:tcW w:w="608" w:type="dxa"/>
            <w:vMerge w:val="continue"/>
            <w:tcBorders>
              <w:top w:val="nil"/>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4E04288">
            <w:pPr>
              <w:jc w:val="center"/>
              <w:rPr>
                <w:rFonts w:hint="eastAsia" w:ascii="宋体" w:hAnsi="宋体" w:eastAsia="宋体" w:cs="宋体"/>
                <w:i w:val="0"/>
                <w:color w:val="000000"/>
                <w:sz w:val="16"/>
                <w:szCs w:val="16"/>
                <w:u w:val="none"/>
              </w:rPr>
            </w:pPr>
          </w:p>
        </w:tc>
        <w:tc>
          <w:tcPr>
            <w:tcW w:w="76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4783C72">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效益指标</w:t>
            </w:r>
          </w:p>
        </w:tc>
        <w:tc>
          <w:tcPr>
            <w:tcW w:w="636" w:type="dxa"/>
            <w:tcBorders>
              <w:top w:val="nil"/>
              <w:left w:val="single" w:color="000000" w:sz="4" w:space="0"/>
              <w:bottom w:val="single" w:color="000000" w:sz="4" w:space="0"/>
              <w:right w:val="single" w:color="000000" w:sz="4" w:space="0"/>
            </w:tcBorders>
            <w:noWrap w:val="0"/>
            <w:tcMar>
              <w:top w:w="12" w:type="dxa"/>
              <w:left w:w="12" w:type="dxa"/>
              <w:right w:w="12" w:type="dxa"/>
            </w:tcMar>
            <w:vAlign w:val="bottom"/>
          </w:tcPr>
          <w:p w14:paraId="2ADDEAF7">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社会效益指标</w:t>
            </w:r>
          </w:p>
        </w:tc>
        <w:tc>
          <w:tcPr>
            <w:tcW w:w="110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061DB70">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设计方案</w:t>
            </w:r>
          </w:p>
        </w:tc>
        <w:tc>
          <w:tcPr>
            <w:tcW w:w="1248" w:type="dxa"/>
            <w:tcBorders>
              <w:top w:val="nil"/>
              <w:left w:val="nil"/>
              <w:bottom w:val="nil"/>
              <w:right w:val="nil"/>
            </w:tcBorders>
            <w:noWrap w:val="0"/>
            <w:tcMar>
              <w:top w:w="12" w:type="dxa"/>
              <w:left w:w="12" w:type="dxa"/>
              <w:right w:w="12" w:type="dxa"/>
            </w:tcMar>
            <w:vAlign w:val="bottom"/>
          </w:tcPr>
          <w:p w14:paraId="2B88279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按图纸设计要求完成</w:t>
            </w:r>
          </w:p>
        </w:tc>
        <w:tc>
          <w:tcPr>
            <w:tcW w:w="1296" w:type="dxa"/>
            <w:tcBorders>
              <w:top w:val="nil"/>
              <w:left w:val="single" w:color="000000" w:sz="4" w:space="0"/>
              <w:bottom w:val="single" w:color="000000" w:sz="4" w:space="0"/>
              <w:right w:val="nil"/>
            </w:tcBorders>
            <w:noWrap w:val="0"/>
            <w:tcMar>
              <w:top w:w="12" w:type="dxa"/>
              <w:left w:w="12" w:type="dxa"/>
              <w:right w:w="12" w:type="dxa"/>
            </w:tcMar>
            <w:vAlign w:val="bottom"/>
          </w:tcPr>
          <w:p w14:paraId="7609EA5C">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社会效益指标</w:t>
            </w:r>
          </w:p>
        </w:tc>
        <w:tc>
          <w:tcPr>
            <w:tcW w:w="23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1365B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设计方案</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2ED981">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呈贡区退役军人事务局正在实施建设工作。</w:t>
            </w:r>
          </w:p>
        </w:tc>
      </w:tr>
      <w:tr w14:paraId="05ECD361">
        <w:tblPrEx>
          <w:tblCellMar>
            <w:top w:w="12" w:type="dxa"/>
            <w:left w:w="12" w:type="dxa"/>
            <w:bottom w:w="0" w:type="dxa"/>
            <w:right w:w="12" w:type="dxa"/>
          </w:tblCellMar>
        </w:tblPrEx>
        <w:trPr>
          <w:trHeight w:val="915" w:hRule="atLeast"/>
        </w:trPr>
        <w:tc>
          <w:tcPr>
            <w:tcW w:w="1376"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69CE9667">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单位已有的保障项目实施的制度措施</w:t>
            </w:r>
          </w:p>
        </w:tc>
        <w:tc>
          <w:tcPr>
            <w:tcW w:w="8208"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E40775">
            <w:pPr>
              <w:keepNext w:val="0"/>
              <w:keepLines w:val="0"/>
              <w:widowControl/>
              <w:suppressLineNumbers w:val="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进入小区实地考察访问，制定工作实施计划，明确责任人和时间要求，落实工作经费；制定工作进度时间表，跟进工作进度。</w:t>
            </w:r>
          </w:p>
        </w:tc>
      </w:tr>
      <w:tr w14:paraId="1748D59E">
        <w:tblPrEx>
          <w:tblCellMar>
            <w:top w:w="12" w:type="dxa"/>
            <w:left w:w="12" w:type="dxa"/>
            <w:bottom w:w="0" w:type="dxa"/>
            <w:right w:w="12" w:type="dxa"/>
          </w:tblCellMar>
        </w:tblPrEx>
        <w:trPr>
          <w:trHeight w:val="600" w:hRule="atLeast"/>
        </w:trPr>
        <w:tc>
          <w:tcPr>
            <w:tcW w:w="1376"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373A2EA8">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预算绩效说明</w:t>
            </w:r>
          </w:p>
        </w:tc>
        <w:tc>
          <w:tcPr>
            <w:tcW w:w="8208"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B5CE7E">
            <w:pPr>
              <w:jc w:val="left"/>
              <w:rPr>
                <w:rFonts w:hint="eastAsia" w:ascii="宋体" w:hAnsi="宋体" w:eastAsia="宋体" w:cs="宋体"/>
                <w:i w:val="0"/>
                <w:color w:val="000000"/>
                <w:sz w:val="16"/>
                <w:szCs w:val="16"/>
                <w:u w:val="none"/>
              </w:rPr>
            </w:pPr>
          </w:p>
        </w:tc>
      </w:tr>
      <w:tr w14:paraId="158BDAE0">
        <w:tblPrEx>
          <w:tblCellMar>
            <w:top w:w="12" w:type="dxa"/>
            <w:left w:w="12" w:type="dxa"/>
            <w:bottom w:w="0" w:type="dxa"/>
            <w:right w:w="12" w:type="dxa"/>
          </w:tblCellMar>
        </w:tblPrEx>
        <w:trPr>
          <w:trHeight w:val="270" w:hRule="atLeast"/>
        </w:trPr>
        <w:tc>
          <w:tcPr>
            <w:tcW w:w="2012"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2B3E0831">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单位负责人：</w:t>
            </w:r>
          </w:p>
        </w:tc>
        <w:tc>
          <w:tcPr>
            <w:tcW w:w="11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2A1DC1">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陈红梅</w:t>
            </w:r>
          </w:p>
        </w:tc>
        <w:tc>
          <w:tcPr>
            <w:tcW w:w="1248"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75318D36">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填报人：</w:t>
            </w:r>
          </w:p>
        </w:tc>
        <w:tc>
          <w:tcPr>
            <w:tcW w:w="26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0D9964">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王凤萍</w:t>
            </w:r>
          </w:p>
        </w:tc>
        <w:tc>
          <w:tcPr>
            <w:tcW w:w="960" w:type="dxa"/>
            <w:tcBorders>
              <w:top w:val="single" w:color="000000" w:sz="4" w:space="0"/>
              <w:left w:val="single" w:color="000000" w:sz="4" w:space="0"/>
              <w:bottom w:val="single" w:color="000000" w:sz="4" w:space="0"/>
              <w:right w:val="single" w:color="000000" w:sz="4" w:space="0"/>
            </w:tcBorders>
            <w:shd w:val="clear" w:color="auto" w:fill="F8F8F8"/>
            <w:noWrap w:val="0"/>
            <w:tcMar>
              <w:top w:w="12" w:type="dxa"/>
              <w:left w:w="12" w:type="dxa"/>
              <w:right w:w="12" w:type="dxa"/>
            </w:tcMar>
            <w:vAlign w:val="center"/>
          </w:tcPr>
          <w:p w14:paraId="01B7A388">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填报日期：</w:t>
            </w:r>
          </w:p>
        </w:tc>
        <w:tc>
          <w:tcPr>
            <w:tcW w:w="15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22A1F9">
            <w:pPr>
              <w:keepNext w:val="0"/>
              <w:keepLines w:val="0"/>
              <w:widowControl/>
              <w:suppressLineNumbers w:val="0"/>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bidi="ar"/>
              </w:rPr>
              <w:t>2020-06-12</w:t>
            </w:r>
          </w:p>
        </w:tc>
      </w:tr>
    </w:tbl>
    <w:p w14:paraId="2834CEBD">
      <w:pPr>
        <w:widowControl/>
        <w:numPr>
          <w:ilvl w:val="0"/>
          <w:numId w:val="0"/>
        </w:numPr>
        <w:ind w:firstLine="6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w:t>
      </w:r>
    </w:p>
    <w:sectPr>
      <w:headerReference r:id="rId3" w:type="default"/>
      <w:headerReference r:id="rId4" w:type="even"/>
      <w:pgSz w:w="11906" w:h="16838" w:orient="landscape"/>
      <w:pgMar w:top="1247" w:right="1797" w:bottom="1247" w:left="1797"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903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AAF63">
    <w:pPr>
      <w:pStyle w:val="188"/>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046E">
    <w:pPr>
      <w:pStyle w:val="188"/>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5F4F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4"/>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qFormat/>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character" w:customStyle="1" w:styleId="182">
    <w:name w:val="默认段落字体1"/>
    <w:link w:val="1"/>
    <w:unhideWhenUsed/>
    <w:qFormat/>
    <w:uiPriority w:val="1"/>
  </w:style>
  <w:style w:type="table" w:customStyle="1" w:styleId="183">
    <w:name w:val="普通表格1"/>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4">
    <w:name w:val="批注引用1"/>
    <w:link w:val="1"/>
    <w:semiHidden/>
    <w:qFormat/>
    <w:uiPriority w:val="0"/>
    <w:rPr>
      <w:sz w:val="21"/>
      <w:szCs w:val="21"/>
    </w:rPr>
  </w:style>
  <w:style w:type="paragraph" w:customStyle="1" w:styleId="185">
    <w:name w:val="页脚1"/>
    <w:basedOn w:val="1"/>
    <w:qFormat/>
    <w:uiPriority w:val="0"/>
    <w:pPr>
      <w:tabs>
        <w:tab w:val="center" w:pos="4153"/>
        <w:tab w:val="right" w:pos="8306"/>
      </w:tabs>
      <w:jc w:val="left"/>
    </w:pPr>
    <w:rPr>
      <w:sz w:val="18"/>
      <w:szCs w:val="18"/>
    </w:rPr>
  </w:style>
  <w:style w:type="paragraph" w:customStyle="1" w:styleId="186">
    <w:name w:val="批注主题1"/>
    <w:basedOn w:val="187"/>
    <w:next w:val="187"/>
    <w:semiHidden/>
    <w:qFormat/>
    <w:uiPriority w:val="0"/>
    <w:rPr>
      <w:b/>
      <w:bCs/>
    </w:rPr>
  </w:style>
  <w:style w:type="paragraph" w:customStyle="1" w:styleId="187">
    <w:name w:val="批注文字1"/>
    <w:basedOn w:val="1"/>
    <w:semiHidden/>
    <w:qFormat/>
    <w:uiPriority w:val="0"/>
    <w:pPr>
      <w:jc w:val="left"/>
    </w:pPr>
  </w:style>
  <w:style w:type="paragraph" w:customStyle="1" w:styleId="188">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89">
    <w:name w:val="批注框文本1"/>
    <w:basedOn w:val="1"/>
    <w:semiHidden/>
    <w:qFormat/>
    <w:uiPriority w:val="0"/>
    <w:rPr>
      <w:sz w:val="18"/>
      <w:szCs w:val="18"/>
    </w:rPr>
  </w:style>
  <w:style w:type="paragraph" w:customStyle="1" w:styleId="190">
    <w:name w:val="Revision"/>
    <w:semiHidden/>
    <w:qFormat/>
    <w:uiPriority w:val="99"/>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Company>zh</Company>
  <Pages>5</Pages>
  <Words>2434</Words>
  <Characters>2636</Characters>
  <TotalTime>7</TotalTime>
  <ScaleCrop>false</ScaleCrop>
  <LinksUpToDate>false</LinksUpToDate>
  <CharactersWithSpaces>2748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dc:creator>
  <dc:description>ZHGenApp().GetProper</dc:description>
  <cp:lastModifiedBy>Administrator</cp:lastModifiedBy>
  <dcterms:modified xsi:type="dcterms:W3CDTF">2025-05-30T08:28:02Z</dcterms:modified>
  <dc:title>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eyJoZGlkIjoiOWM2NWFhOWJiOGEwMDU3NmFjZTc5NmFiODhjMGZjMjcifQ==</vt:lpwstr>
  </property>
  <property fmtid="{D5CDD505-2E9C-101B-9397-08002B2CF9AE}" pid="3" name="KSOProductBuildVer">
    <vt:lpwstr>2052-12.1.0.20784</vt:lpwstr>
  </property>
  <property fmtid="{D5CDD505-2E9C-101B-9397-08002B2CF9AE}" pid="4" name="ICV">
    <vt:lpwstr>FB2082F24220492AB4E3037895957C9B_13</vt:lpwstr>
  </property>
</Properties>
</file>