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13</w:t>
      </w:r>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云南省数字经济产业园</w:t>
      </w:r>
      <w:r>
        <w:rPr>
          <w:rFonts w:hint="eastAsia" w:ascii="方正小标宋简体" w:hAnsi="方正小标宋简体" w:eastAsia="方正小标宋简体" w:cs="方正小标宋简体"/>
          <w:sz w:val="40"/>
          <w:szCs w:val="40"/>
          <w:lang w:val="en-US" w:eastAsia="zh-CN"/>
        </w:rPr>
        <w:t>专债</w:t>
      </w:r>
      <w:r>
        <w:rPr>
          <w:rFonts w:hint="eastAsia" w:ascii="方正小标宋简体" w:hAnsi="方正小标宋简体" w:eastAsia="方正小标宋简体" w:cs="方正小标宋简体"/>
          <w:sz w:val="40"/>
          <w:szCs w:val="40"/>
        </w:rPr>
        <w:t>项目支出绩效</w:t>
      </w:r>
      <w:r>
        <w:rPr>
          <w:rFonts w:hint="eastAsia" w:ascii="方正小标宋简体" w:hAnsi="方正小标宋简体" w:eastAsia="方正小标宋简体" w:cs="方正小标宋简体"/>
          <w:sz w:val="40"/>
          <w:szCs w:val="40"/>
          <w:lang w:val="en-US" w:eastAsia="zh-CN"/>
        </w:rPr>
        <w:t>自评</w:t>
      </w:r>
      <w:r>
        <w:rPr>
          <w:rFonts w:hint="eastAsia" w:ascii="方正小标宋简体" w:hAnsi="方正小标宋简体" w:eastAsia="方正小标宋简体" w:cs="方正小标宋简体"/>
          <w:sz w:val="40"/>
          <w:szCs w:val="40"/>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pStyle w:val="4"/>
        <w:keepNext w:val="0"/>
        <w:keepLines w:val="0"/>
        <w:pageBreakBefore w:val="0"/>
        <w:kinsoku/>
        <w:wordWrap/>
        <w:overflowPunct/>
        <w:autoSpaceDE/>
        <w:autoSpaceDN/>
        <w:bidi w:val="0"/>
        <w:spacing w:before="0" w:after="0" w:line="580" w:lineRule="exact"/>
        <w:ind w:firstLine="594" w:firstLineChars="200"/>
        <w:textAlignment w:val="auto"/>
        <w:rPr>
          <w:rFonts w:ascii="Times New Roman" w:hAnsi="Times New Roman" w:eastAsia="仿宋_GB2312"/>
          <w:color w:val="auto"/>
          <w:kern w:val="2"/>
          <w:sz w:val="32"/>
          <w:szCs w:val="32"/>
          <w:highlight w:val="none"/>
          <w:lang w:val="en-US"/>
        </w:rPr>
      </w:pPr>
      <w:bookmarkStart w:id="0" w:name="_Toc30514894"/>
      <w:r>
        <w:rPr>
          <w:rFonts w:hint="eastAsia" w:ascii="Times New Roman" w:hAnsi="Times New Roman" w:eastAsia="仿宋_GB2312"/>
          <w:color w:val="auto"/>
          <w:kern w:val="2"/>
          <w:sz w:val="32"/>
          <w:szCs w:val="32"/>
          <w:highlight w:val="none"/>
          <w:lang w:val="en-US"/>
        </w:rPr>
        <w:t>云南省数字经济产业园项目，位于云南省昆明市呈贡新区雨花东南片区，呈贡信息产业园内。本项目总投资约为262621.79万元</w:t>
      </w:r>
      <w:r>
        <w:rPr>
          <w:rFonts w:hint="eastAsia" w:ascii="Times New Roman" w:hAnsi="Times New Roman" w:eastAsia="仿宋_GB2312"/>
          <w:color w:val="auto"/>
          <w:kern w:val="2"/>
          <w:sz w:val="32"/>
          <w:szCs w:val="32"/>
          <w:highlight w:val="none"/>
          <w:lang w:val="en-US" w:eastAsia="zh-CN"/>
        </w:rPr>
        <w:t>，</w:t>
      </w:r>
      <w:r>
        <w:rPr>
          <w:rFonts w:hint="eastAsia" w:ascii="Times New Roman" w:hAnsi="Times New Roman" w:eastAsia="仿宋_GB2312"/>
          <w:color w:val="auto"/>
          <w:kern w:val="2"/>
          <w:sz w:val="32"/>
          <w:szCs w:val="32"/>
          <w:highlight w:val="none"/>
          <w:lang w:val="en-US"/>
        </w:rPr>
        <w:t>建设内容为：</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1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①</w:t>
      </w:r>
      <w:r>
        <w:rPr>
          <w:rFonts w:ascii="Times New Roman" w:hAnsi="Times New Roman" w:eastAsia="仿宋_GB2312"/>
          <w:kern w:val="2"/>
          <w:sz w:val="32"/>
          <w:szCs w:val="32"/>
          <w:lang w:val="en-US"/>
        </w:rPr>
        <w:fldChar w:fldCharType="end"/>
      </w:r>
      <w:r>
        <w:rPr>
          <w:rFonts w:hint="eastAsia" w:ascii="Times New Roman" w:hAnsi="Times New Roman" w:eastAsia="仿宋_GB2312"/>
          <w:kern w:val="2"/>
          <w:sz w:val="32"/>
          <w:szCs w:val="32"/>
          <w:lang w:val="en-US"/>
        </w:rPr>
        <w:t>总长为11667.09米的排水、电力、电信、照明、绿化、燃气、综合管线等基础设施建设；</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2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②</w:t>
      </w:r>
      <w:r>
        <w:rPr>
          <w:rFonts w:ascii="Times New Roman" w:hAnsi="Times New Roman" w:eastAsia="仿宋_GB2312"/>
          <w:kern w:val="2"/>
          <w:sz w:val="32"/>
          <w:szCs w:val="32"/>
          <w:lang w:val="en-US"/>
        </w:rPr>
        <w:fldChar w:fldCharType="end"/>
      </w:r>
      <w:r>
        <w:rPr>
          <w:rFonts w:hint="eastAsia" w:ascii="Times New Roman" w:hAnsi="Times New Roman" w:eastAsia="仿宋_GB2312"/>
          <w:kern w:val="2"/>
          <w:sz w:val="32"/>
          <w:szCs w:val="32"/>
          <w:lang w:val="en-US"/>
        </w:rPr>
        <w:t>总建筑面积为127622.79㎡的创新孵化中心建设；</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3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③</w:t>
      </w:r>
      <w:r>
        <w:rPr>
          <w:rFonts w:ascii="Times New Roman" w:hAnsi="Times New Roman" w:eastAsia="仿宋_GB2312"/>
          <w:kern w:val="2"/>
          <w:sz w:val="32"/>
          <w:szCs w:val="32"/>
          <w:lang w:val="en-US"/>
        </w:rPr>
        <w:fldChar w:fldCharType="end"/>
      </w:r>
      <w:r>
        <w:rPr>
          <w:rFonts w:hint="eastAsia" w:eastAsia="仿宋_GB2312"/>
          <w:sz w:val="32"/>
          <w:szCs w:val="32"/>
        </w:rPr>
        <w:t>数据中心；</w:t>
      </w:r>
      <w:r>
        <w:rPr>
          <w:rFonts w:ascii="Times New Roman" w:hAnsi="Times New Roman" w:eastAsia="仿宋_GB2312"/>
          <w:kern w:val="2"/>
          <w:sz w:val="32"/>
          <w:szCs w:val="32"/>
          <w:lang w:val="en-US"/>
        </w:rPr>
        <w:fldChar w:fldCharType="begin"/>
      </w:r>
      <w:r>
        <w:rPr>
          <w:rFonts w:ascii="Times New Roman" w:hAnsi="Times New Roman" w:eastAsia="仿宋_GB2312"/>
          <w:kern w:val="2"/>
          <w:sz w:val="32"/>
          <w:szCs w:val="32"/>
          <w:lang w:val="en-US"/>
        </w:rPr>
        <w:instrText xml:space="preserve"> </w:instrText>
      </w:r>
      <w:r>
        <w:rPr>
          <w:rFonts w:hint="eastAsia" w:ascii="Times New Roman" w:hAnsi="Times New Roman" w:eastAsia="仿宋_GB2312"/>
          <w:kern w:val="2"/>
          <w:sz w:val="32"/>
          <w:szCs w:val="32"/>
          <w:lang w:val="en-US"/>
        </w:rPr>
        <w:instrText xml:space="preserve">= 4 \* GB3</w:instrText>
      </w:r>
      <w:r>
        <w:rPr>
          <w:rFonts w:ascii="Times New Roman" w:hAnsi="Times New Roman" w:eastAsia="仿宋_GB2312"/>
          <w:kern w:val="2"/>
          <w:sz w:val="32"/>
          <w:szCs w:val="32"/>
          <w:lang w:val="en-US"/>
        </w:rPr>
        <w:instrText xml:space="preserve"> </w:instrText>
      </w:r>
      <w:r>
        <w:rPr>
          <w:rFonts w:ascii="Times New Roman" w:hAnsi="Times New Roman" w:eastAsia="仿宋_GB2312"/>
          <w:kern w:val="2"/>
          <w:sz w:val="32"/>
          <w:szCs w:val="32"/>
          <w:lang w:val="en-US"/>
        </w:rPr>
        <w:fldChar w:fldCharType="separate"/>
      </w:r>
      <w:r>
        <w:rPr>
          <w:rFonts w:hint="eastAsia" w:ascii="Times New Roman" w:hAnsi="Times New Roman" w:eastAsia="仿宋_GB2312"/>
          <w:kern w:val="2"/>
          <w:sz w:val="32"/>
          <w:szCs w:val="32"/>
          <w:lang w:val="en-US"/>
        </w:rPr>
        <w:t>④</w:t>
      </w:r>
      <w:r>
        <w:rPr>
          <w:rFonts w:ascii="Times New Roman" w:hAnsi="Times New Roman" w:eastAsia="仿宋_GB2312"/>
          <w:kern w:val="2"/>
          <w:sz w:val="32"/>
          <w:szCs w:val="32"/>
          <w:lang w:val="en-US"/>
        </w:rPr>
        <w:fldChar w:fldCharType="end"/>
      </w:r>
      <w:r>
        <w:rPr>
          <w:rFonts w:hint="eastAsia" w:ascii="Times New Roman" w:hAnsi="Times New Roman" w:eastAsia="仿宋_GB2312"/>
          <w:kern w:val="2"/>
          <w:sz w:val="32"/>
          <w:szCs w:val="32"/>
          <w:lang w:val="en-US"/>
        </w:rPr>
        <w:t>相关园区智慧物联网硬件软件设备设施。</w:t>
      </w:r>
      <w:r>
        <w:rPr>
          <w:rFonts w:hint="eastAsia" w:ascii="仿宋_GB2312" w:hAnsi="Times New Roman" w:eastAsia="仿宋_GB2312"/>
          <w:color w:val="auto"/>
          <w:kern w:val="2"/>
          <w:sz w:val="32"/>
          <w:szCs w:val="32"/>
          <w:highlight w:val="none"/>
          <w:lang w:val="en-US"/>
        </w:rPr>
        <w:t>本项目建设期为2020年至2022年，运营期为2023年至2035年</w:t>
      </w:r>
      <w:r>
        <w:rPr>
          <w:rFonts w:hint="eastAsia" w:ascii="Times New Roman" w:hAnsi="Times New Roman" w:eastAsia="仿宋_GB2312"/>
          <w:color w:val="auto"/>
          <w:kern w:val="2"/>
          <w:sz w:val="32"/>
          <w:szCs w:val="32"/>
          <w:highlight w:val="none"/>
          <w:lang w:val="en-US"/>
        </w:rPr>
        <w:t>。</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keepNext w:val="0"/>
        <w:keepLines w:val="0"/>
        <w:pageBreakBefore w:val="0"/>
        <w:kinsoku/>
        <w:wordWrap/>
        <w:overflowPunct/>
        <w:autoSpaceDE/>
        <w:autoSpaceDN/>
        <w:bidi w:val="0"/>
        <w:spacing w:line="580" w:lineRule="exact"/>
        <w:ind w:firstLine="594" w:firstLineChars="2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1.</w:t>
      </w:r>
      <w:r>
        <w:rPr>
          <w:rFonts w:hint="eastAsia" w:ascii="仿宋_GB2312" w:hAnsi="仿宋_GB2312" w:cs="仿宋_GB2312"/>
          <w:color w:val="auto"/>
          <w:szCs w:val="32"/>
          <w:highlight w:val="none"/>
        </w:rPr>
        <w:t>项目绩效总目标</w:t>
      </w:r>
    </w:p>
    <w:p>
      <w:pPr>
        <w:keepNext w:val="0"/>
        <w:keepLines w:val="0"/>
        <w:pageBreakBefore w:val="0"/>
        <w:kinsoku/>
        <w:wordWrap/>
        <w:overflowPunct/>
        <w:autoSpaceDE/>
        <w:autoSpaceDN/>
        <w:bidi w:val="0"/>
        <w:spacing w:line="580" w:lineRule="exact"/>
        <w:ind w:firstLine="594" w:firstLineChars="200"/>
        <w:textAlignment w:val="auto"/>
        <w:rPr>
          <w:rFonts w:ascii="仿宋_GB2312" w:hAnsi="仿宋_GB2312" w:cs="仿宋_GB2312"/>
          <w:color w:val="auto"/>
          <w:szCs w:val="32"/>
          <w:highlight w:val="none"/>
        </w:rPr>
      </w:pPr>
      <w:r>
        <w:rPr>
          <w:rFonts w:hint="eastAsia" w:ascii="仿宋_GB2312" w:hAnsi="仿宋_GB2312" w:cs="仿宋_GB2312"/>
          <w:color w:val="auto"/>
          <w:szCs w:val="32"/>
          <w:highlight w:val="none"/>
        </w:rPr>
        <w:t>完成总长为 11667.09 米的排水、电力、电信、照明、绿化、燃气、综合管线等基础设施配套，总建筑面积为 127622.79 平方米的创新孵化中心，数据中心、相关园区智慧物联网硬件软件设备设施及景观绿化配套服务设施区等。</w:t>
      </w:r>
    </w:p>
    <w:p>
      <w:pPr>
        <w:keepNext w:val="0"/>
        <w:keepLines w:val="0"/>
        <w:pageBreakBefore w:val="0"/>
        <w:numPr>
          <w:ilvl w:val="0"/>
          <w:numId w:val="0"/>
        </w:numPr>
        <w:kinsoku/>
        <w:wordWrap/>
        <w:overflowPunct/>
        <w:topLinePunct/>
        <w:autoSpaceDE/>
        <w:autoSpaceDN/>
        <w:bidi w:val="0"/>
        <w:spacing w:line="580" w:lineRule="exact"/>
        <w:ind w:firstLine="594" w:firstLineChars="2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lang w:val="en-US" w:eastAsia="zh-CN"/>
        </w:rPr>
        <w:t>2.</w:t>
      </w:r>
      <w:r>
        <w:rPr>
          <w:rFonts w:hint="eastAsia" w:ascii="仿宋_GB2312" w:hAnsi="仿宋_GB2312" w:cs="仿宋_GB2312"/>
          <w:color w:val="auto"/>
          <w:szCs w:val="32"/>
          <w:highlight w:val="none"/>
        </w:rPr>
        <w:t>项目</w:t>
      </w:r>
      <w:r>
        <w:rPr>
          <w:rFonts w:hint="eastAsia" w:ascii="仿宋_GB2312" w:hAnsi="仿宋_GB2312" w:cs="仿宋_GB2312"/>
          <w:color w:val="auto"/>
          <w:szCs w:val="32"/>
          <w:highlight w:val="none"/>
          <w:lang w:val="en-US" w:eastAsia="zh-CN"/>
        </w:rPr>
        <w:t>绩效2021年度</w:t>
      </w:r>
      <w:r>
        <w:rPr>
          <w:rFonts w:hint="eastAsia" w:ascii="仿宋_GB2312" w:hAnsi="仿宋_GB2312" w:cs="仿宋_GB2312"/>
          <w:color w:val="auto"/>
          <w:szCs w:val="32"/>
          <w:highlight w:val="none"/>
        </w:rPr>
        <w:t>目标</w:t>
      </w:r>
    </w:p>
    <w:p>
      <w:pPr>
        <w:keepNext w:val="0"/>
        <w:keepLines w:val="0"/>
        <w:pageBreakBefore w:val="0"/>
        <w:numPr>
          <w:ilvl w:val="0"/>
          <w:numId w:val="0"/>
        </w:numPr>
        <w:kinsoku/>
        <w:wordWrap/>
        <w:overflowPunct/>
        <w:topLinePunct/>
        <w:autoSpaceDE/>
        <w:autoSpaceDN/>
        <w:bidi w:val="0"/>
        <w:spacing w:line="580" w:lineRule="exact"/>
        <w:ind w:firstLine="594" w:firstLineChars="200"/>
        <w:textAlignment w:val="auto"/>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项目建设期限为2020年至2022年，预计2021年完成昆明呈贡科技信息产业创新孵化中心建设并验收，完成孵化中心附属设施建设工作并投入使用；完成2-1、2-2号道路建设工作并投入使用；完成浪潮云计算产业园项目建设，推进验收工作；完成万溪二期六条道路成片开发方案上报工作。预计2022年完成后续项目建设工作。</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spacing w:line="560" w:lineRule="exact"/>
        <w:ind w:firstLine="594" w:firstLineChars="200"/>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w:t>
      </w:r>
      <w:r>
        <w:rPr>
          <w:rFonts w:ascii="仿宋_GB2312" w:hAnsi="Times New Roman"/>
          <w:szCs w:val="32"/>
        </w:rPr>
        <w:t>采用的绩效评价方法为核查、问询等方式，进行考评。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2021</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4" w:firstLineChars="200"/>
        <w:textAlignment w:val="auto"/>
        <w:rPr>
          <w:rFonts w:hint="eastAsia" w:ascii="仿宋_GB2312"/>
          <w:szCs w:val="32"/>
          <w:highlight w:val="none"/>
        </w:rPr>
      </w:pPr>
      <w:r>
        <w:rPr>
          <w:rFonts w:ascii="仿宋_GB2312"/>
          <w:szCs w:val="32"/>
          <w:highlight w:val="none"/>
        </w:rPr>
        <w:t>1.</w:t>
      </w:r>
      <w:r>
        <w:rPr>
          <w:rFonts w:hint="eastAsia" w:ascii="仿宋_GB2312"/>
          <w:szCs w:val="32"/>
          <w:highlight w:val="none"/>
        </w:rPr>
        <w:t>项目资金到位</w:t>
      </w:r>
      <w:r>
        <w:rPr>
          <w:rFonts w:hint="eastAsia" w:ascii="仿宋_GB2312"/>
          <w:szCs w:val="32"/>
          <w:highlight w:val="none"/>
          <w:lang w:val="en-US" w:eastAsia="zh-CN"/>
        </w:rPr>
        <w:t>及使用</w:t>
      </w:r>
      <w:r>
        <w:rPr>
          <w:rFonts w:hint="eastAsia" w:ascii="仿宋_GB2312"/>
          <w:szCs w:val="32"/>
          <w:highlight w:val="none"/>
        </w:rPr>
        <w:t>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4" w:firstLineChars="200"/>
        <w:textAlignment w:val="auto"/>
        <w:rPr>
          <w:rFonts w:hint="eastAsia" w:ascii="仿宋_GB2312" w:hAnsi="仿宋_GB2312" w:cs="仿宋_GB2312"/>
          <w:color w:val="auto"/>
          <w:szCs w:val="32"/>
          <w:highlight w:val="none"/>
          <w:lang w:val="en-US" w:eastAsia="zh-CN"/>
        </w:rPr>
      </w:pPr>
      <w:r>
        <w:rPr>
          <w:rFonts w:hint="eastAsia" w:ascii="仿宋_GB2312"/>
          <w:szCs w:val="32"/>
          <w:lang w:val="en-US" w:eastAsia="zh-CN"/>
        </w:rPr>
        <w:t>昆明呈贡信息产业园区管理委员会</w:t>
      </w:r>
      <w:r>
        <w:rPr>
          <w:rFonts w:hint="eastAsia" w:ascii="仿宋_GB2312" w:hAnsi="仿宋_GB2312" w:eastAsia="仿宋_GB2312" w:cs="仿宋_GB2312"/>
          <w:sz w:val="32"/>
          <w:szCs w:val="32"/>
          <w:highlight w:val="none"/>
          <w:lang w:val="en-US" w:eastAsia="zh-CN"/>
        </w:rPr>
        <w:t>已足额拨付了该项目</w:t>
      </w:r>
      <w:r>
        <w:rPr>
          <w:rFonts w:hint="eastAsia" w:ascii="仿宋_GB2312" w:hAnsi="仿宋_GB2312" w:cs="仿宋_GB2312"/>
          <w:sz w:val="32"/>
          <w:szCs w:val="32"/>
          <w:highlight w:val="none"/>
          <w:lang w:val="en-US" w:eastAsia="zh-CN"/>
        </w:rPr>
        <w:t>5亿</w:t>
      </w:r>
      <w:r>
        <w:rPr>
          <w:rFonts w:hint="eastAsia" w:ascii="仿宋_GB2312" w:hAnsi="仿宋_GB2312" w:eastAsia="仿宋_GB2312" w:cs="仿宋_GB2312"/>
          <w:sz w:val="32"/>
          <w:szCs w:val="32"/>
          <w:highlight w:val="none"/>
          <w:lang w:val="en-US" w:eastAsia="zh-CN"/>
        </w:rPr>
        <w:t>元</w:t>
      </w:r>
      <w:r>
        <w:rPr>
          <w:rFonts w:hint="eastAsia" w:ascii="仿宋_GB2312" w:hAnsi="仿宋_GB2312" w:cs="仿宋_GB2312"/>
          <w:sz w:val="32"/>
          <w:szCs w:val="32"/>
          <w:highlight w:val="none"/>
          <w:lang w:val="en-US" w:eastAsia="zh-CN"/>
        </w:rPr>
        <w:t>专项债资金</w:t>
      </w:r>
      <w:r>
        <w:rPr>
          <w:rFonts w:hint="eastAsia" w:ascii="仿宋_GB2312" w:hAnsi="仿宋_GB2312" w:eastAsia="仿宋_GB2312" w:cs="仿宋_GB2312"/>
          <w:sz w:val="32"/>
          <w:szCs w:val="32"/>
          <w:highlight w:val="none"/>
          <w:lang w:val="en-US" w:eastAsia="zh-CN"/>
        </w:rPr>
        <w:t>至昆明市智慧城市建设投资有限公司，无滞留、挤占、挪用等违法乱纪情况，资金到位率100%。</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594" w:firstLineChars="200"/>
        <w:jc w:val="both"/>
        <w:textAlignment w:val="auto"/>
        <w:outlineLvl w:val="9"/>
        <w:rPr>
          <w:rFonts w:hint="eastAsia" w:cs="仿宋_GB2312"/>
          <w:color w:val="auto"/>
          <w:highlight w:val="none"/>
        </w:rPr>
      </w:pPr>
      <w:r>
        <w:rPr>
          <w:rFonts w:hint="eastAsia" w:ascii="仿宋_GB2312"/>
          <w:szCs w:val="32"/>
          <w:highlight w:val="none"/>
          <w:lang w:val="en-US" w:eastAsia="zh-CN"/>
        </w:rPr>
        <w:t>2</w:t>
      </w:r>
      <w:r>
        <w:rPr>
          <w:rFonts w:ascii="仿宋_GB2312"/>
          <w:szCs w:val="32"/>
          <w:highlight w:val="none"/>
        </w:rPr>
        <w:t>.</w:t>
      </w:r>
      <w:r>
        <w:rPr>
          <w:rFonts w:hint="eastAsia" w:ascii="仿宋_GB2312"/>
          <w:szCs w:val="32"/>
          <w:highlight w:val="none"/>
        </w:rPr>
        <w:t>项目资金管理情况分析。</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594" w:firstLineChars="200"/>
        <w:jc w:val="both"/>
        <w:textAlignment w:val="auto"/>
        <w:outlineLvl w:val="9"/>
        <w:rPr>
          <w:rFonts w:hint="eastAsia" w:ascii="仿宋_GB2312" w:hAnsi="仿宋_GB2312" w:cs="仿宋_GB2312"/>
          <w:color w:val="auto"/>
          <w:szCs w:val="32"/>
          <w:highlight w:val="none"/>
          <w:lang w:eastAsia="zh-CN"/>
        </w:rPr>
      </w:pPr>
      <w:r>
        <w:rPr>
          <w:rFonts w:hint="eastAsia" w:cs="仿宋_GB2312"/>
          <w:color w:val="auto"/>
          <w:highlight w:val="none"/>
        </w:rPr>
        <w:t>根</w:t>
      </w:r>
      <w:r>
        <w:rPr>
          <w:rFonts w:hint="eastAsia" w:ascii="仿宋_GB2312" w:hAnsi="仿宋_GB2312" w:cs="仿宋_GB2312"/>
          <w:b w:val="0"/>
          <w:bCs w:val="0"/>
          <w:color w:val="auto"/>
          <w:szCs w:val="32"/>
        </w:rPr>
        <w:t>据《国务院关于加强地方政府性债务管理意见》（国发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2014</w:t>
      </w:r>
      <w:r>
        <w:rPr>
          <w:rFonts w:hint="eastAsia" w:ascii="仿宋_GB2312" w:hAnsi="仿宋_GB2312" w:eastAsia="仿宋_GB2312" w:cs="仿宋_GB2312"/>
          <w:color w:val="auto"/>
          <w:sz w:val="32"/>
          <w:szCs w:val="32"/>
          <w:highlight w:val="none"/>
        </w:rPr>
        <w:t>〕</w:t>
      </w:r>
      <w:r>
        <w:rPr>
          <w:rFonts w:hint="eastAsia" w:ascii="仿宋_GB2312" w:hAnsi="仿宋_GB2312" w:cs="仿宋_GB2312"/>
          <w:b w:val="0"/>
          <w:bCs w:val="0"/>
          <w:color w:val="auto"/>
          <w:szCs w:val="32"/>
        </w:rPr>
        <w:t>43号）及《云南省财政厅关于加强云南省政府项目收益与融资自求平衡专项债券资金管理的通知》（云财库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rPr>
        <w:t>〕</w:t>
      </w:r>
      <w:r>
        <w:rPr>
          <w:rFonts w:hint="eastAsia" w:ascii="仿宋_GB2312" w:hAnsi="仿宋_GB2312" w:cs="仿宋_GB2312"/>
          <w:b w:val="0"/>
          <w:bCs w:val="0"/>
          <w:color w:val="auto"/>
          <w:szCs w:val="32"/>
        </w:rPr>
        <w:t>3号）等专项债券相关管理办法要求严格执行资金管理，根据财政要求开立专项资金专户实现专户存储。并与呈贡区</w:t>
      </w:r>
      <w:bookmarkStart w:id="3" w:name="_GoBack"/>
      <w:bookmarkEnd w:id="3"/>
      <w:r>
        <w:rPr>
          <w:rFonts w:hint="eastAsia" w:ascii="仿宋_GB2312" w:hAnsi="仿宋_GB2312" w:cs="仿宋_GB2312"/>
          <w:b w:val="0"/>
          <w:bCs w:val="0"/>
          <w:color w:val="auto"/>
          <w:szCs w:val="32"/>
          <w:lang w:eastAsia="zh-CN"/>
        </w:rPr>
        <w:t>发展和改革</w:t>
      </w:r>
      <w:r>
        <w:rPr>
          <w:rFonts w:hint="eastAsia" w:ascii="仿宋_GB2312" w:hAnsi="仿宋_GB2312" w:cs="仿宋_GB2312"/>
          <w:b w:val="0"/>
          <w:bCs w:val="0"/>
          <w:color w:val="auto"/>
          <w:szCs w:val="32"/>
        </w:rPr>
        <w:t>委员会、呈贡区财政局、呈贡信息产业园区管理委员会、监管银行签署了资金监管协议，按资金监管协议及专项债券资金使用要求，各方对资金支用进行审核。建立资金使用台账，定期与银行进行对账，保证资金专项使用，同时建立专账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eastAsia="仿宋_GB2312"/>
          <w:color w:val="auto"/>
          <w:kern w:val="2"/>
          <w:sz w:val="32"/>
          <w:szCs w:val="32"/>
          <w:highlight w:val="none"/>
          <w:lang w:val="en-US"/>
        </w:rPr>
      </w:pPr>
      <w:r>
        <w:rPr>
          <w:rFonts w:ascii="仿宋_GB2312"/>
          <w:szCs w:val="32"/>
          <w:highlight w:val="none"/>
        </w:rPr>
        <w:t>1.</w:t>
      </w:r>
      <w:r>
        <w:rPr>
          <w:rFonts w:hint="eastAsia" w:ascii="仿宋_GB2312"/>
          <w:szCs w:val="32"/>
          <w:highlight w:val="none"/>
        </w:rPr>
        <w:t>项目组织情况分析。</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rPr>
        <w:t>基础设施</w:t>
      </w:r>
      <w:r>
        <w:rPr>
          <w:rFonts w:hint="eastAsia" w:ascii="Times New Roman" w:hAnsi="Times New Roman"/>
          <w:color w:val="auto"/>
          <w:kern w:val="2"/>
          <w:sz w:val="32"/>
          <w:szCs w:val="32"/>
          <w:highlight w:val="none"/>
          <w:lang w:val="en-US" w:eastAsia="zh-CN"/>
        </w:rPr>
        <w:t>配套</w:t>
      </w:r>
      <w:r>
        <w:rPr>
          <w:rFonts w:hint="eastAsia" w:ascii="Times New Roman" w:hAnsi="Times New Roman" w:eastAsia="仿宋_GB2312"/>
          <w:color w:val="auto"/>
          <w:kern w:val="2"/>
          <w:sz w:val="32"/>
          <w:szCs w:val="32"/>
          <w:highlight w:val="none"/>
          <w:lang w:val="en-US"/>
        </w:rPr>
        <w:t>：</w:t>
      </w:r>
      <w:r>
        <w:rPr>
          <w:rFonts w:hint="eastAsia" w:ascii="Times New Roman" w:hAnsi="Times New Roman"/>
          <w:color w:val="auto"/>
          <w:kern w:val="2"/>
          <w:sz w:val="32"/>
          <w:szCs w:val="32"/>
          <w:highlight w:val="none"/>
          <w:lang w:val="en-US" w:eastAsia="zh-CN"/>
        </w:rPr>
        <w:t>主要</w:t>
      </w:r>
      <w:r>
        <w:rPr>
          <w:rFonts w:hint="eastAsia" w:ascii="仿宋_GB2312" w:hAnsi="仿宋_GB2312" w:cs="仿宋_GB2312"/>
          <w:color w:val="auto"/>
          <w:szCs w:val="32"/>
          <w:highlight w:val="none"/>
        </w:rPr>
        <w:t>建设总长为11,667.09米的排水、电力、电信、照明、绿化、燃气、综合管线等配套</w:t>
      </w:r>
      <w:r>
        <w:rPr>
          <w:rFonts w:hint="eastAsia" w:ascii="仿宋_GB2312" w:hAnsi="仿宋_GB2312" w:cs="仿宋_GB2312"/>
          <w:color w:val="auto"/>
          <w:szCs w:val="32"/>
          <w:highlight w:val="none"/>
          <w:lang w:val="en-US" w:eastAsia="zh-CN"/>
        </w:rPr>
        <w:t>设施，目前</w:t>
      </w:r>
      <w:r>
        <w:rPr>
          <w:rFonts w:hint="eastAsia" w:ascii="Times New Roman" w:hAnsi="Times New Roman" w:eastAsia="仿宋_GB2312"/>
          <w:color w:val="auto"/>
          <w:kern w:val="2"/>
          <w:sz w:val="32"/>
          <w:szCs w:val="32"/>
          <w:highlight w:val="none"/>
          <w:lang w:val="en-US"/>
        </w:rPr>
        <w:t>已取得可研批复、国土</w:t>
      </w:r>
      <w:r>
        <w:rPr>
          <w:rFonts w:hint="eastAsia" w:ascii="Times New Roman" w:hAnsi="Times New Roman"/>
          <w:color w:val="auto"/>
          <w:kern w:val="2"/>
          <w:sz w:val="32"/>
          <w:szCs w:val="32"/>
          <w:highlight w:val="none"/>
          <w:lang w:val="en-US" w:eastAsia="zh-CN"/>
        </w:rPr>
        <w:t>意见</w:t>
      </w:r>
      <w:r>
        <w:rPr>
          <w:rFonts w:hint="eastAsia" w:ascii="Times New Roman" w:hAnsi="Times New Roman" w:eastAsia="仿宋_GB2312"/>
          <w:color w:val="auto"/>
          <w:kern w:val="2"/>
          <w:sz w:val="32"/>
          <w:szCs w:val="32"/>
          <w:highlight w:val="none"/>
          <w:lang w:val="en-US"/>
        </w:rPr>
        <w:t>、规划意见等要件</w:t>
      </w:r>
      <w:r>
        <w:rPr>
          <w:rFonts w:hint="eastAsia" w:ascii="Times New Roman" w:hAnsi="Times New Roman"/>
          <w:color w:val="auto"/>
          <w:kern w:val="2"/>
          <w:sz w:val="32"/>
          <w:szCs w:val="32"/>
          <w:highlight w:val="none"/>
          <w:lang w:val="en-US" w:eastAsia="zh-CN"/>
        </w:rPr>
        <w:t>。已完成施工、设计、勘察、监理、造价等单位招标，正在开展部分施工及前期行政审批手续办理工作。</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rPr>
        <w:t>创新孵化中心建设项目：已取得可研批复、初设批复、不动产登记证书、环评意见、水保意见、用地规划许可证、工程规划许可证、施工许可证</w:t>
      </w:r>
      <w:r>
        <w:rPr>
          <w:rFonts w:hint="eastAsia" w:ascii="Times New Roman" w:hAnsi="Times New Roman"/>
          <w:color w:val="auto"/>
          <w:kern w:val="2"/>
          <w:sz w:val="32"/>
          <w:szCs w:val="32"/>
          <w:highlight w:val="none"/>
          <w:lang w:val="en-US" w:eastAsia="zh-CN"/>
        </w:rPr>
        <w:t>，已完成工程建设并通过竣工验收，正在开展竣工结算工作。</w:t>
      </w:r>
    </w:p>
    <w:p>
      <w:pPr>
        <w:keepNext w:val="0"/>
        <w:keepLines w:val="0"/>
        <w:pageBreakBefore w:val="0"/>
        <w:kinsoku/>
        <w:wordWrap/>
        <w:overflowPunct/>
        <w:topLinePunct/>
        <w:autoSpaceDE/>
        <w:autoSpaceDN/>
        <w:bidi w:val="0"/>
        <w:spacing w:line="580" w:lineRule="exact"/>
        <w:ind w:firstLine="594" w:firstLineChars="200"/>
        <w:textAlignment w:val="auto"/>
        <w:rPr>
          <w:rFonts w:hint="eastAsia" w:ascii="Times New Roman" w:hAnsi="Times New Roman"/>
          <w:color w:val="auto"/>
          <w:kern w:val="2"/>
          <w:sz w:val="32"/>
          <w:szCs w:val="32"/>
          <w:highlight w:val="none"/>
          <w:lang w:val="en-US" w:eastAsia="zh-CN"/>
        </w:rPr>
      </w:pPr>
      <w:r>
        <w:rPr>
          <w:rFonts w:hint="eastAsia" w:ascii="Times New Roman" w:hAnsi="Times New Roman" w:eastAsia="仿宋_GB2312"/>
          <w:color w:val="auto"/>
          <w:kern w:val="2"/>
          <w:sz w:val="32"/>
          <w:szCs w:val="32"/>
          <w:highlight w:val="none"/>
          <w:lang w:val="en-US"/>
        </w:rPr>
        <w:t>数据中心：已取得投资项目登记备案证、国有土地使用证、环评意见</w:t>
      </w:r>
      <w:bookmarkStart w:id="1" w:name="_Hlk80198529"/>
      <w:r>
        <w:rPr>
          <w:rFonts w:hint="eastAsia" w:ascii="Times New Roman" w:hAnsi="Times New Roman" w:eastAsia="仿宋_GB2312"/>
          <w:color w:val="auto"/>
          <w:kern w:val="2"/>
          <w:sz w:val="32"/>
          <w:szCs w:val="32"/>
          <w:highlight w:val="none"/>
          <w:lang w:val="en-US"/>
        </w:rPr>
        <w:t>、水保意见</w:t>
      </w:r>
      <w:bookmarkEnd w:id="1"/>
      <w:r>
        <w:rPr>
          <w:rFonts w:hint="eastAsia" w:ascii="Times New Roman" w:hAnsi="Times New Roman" w:eastAsia="仿宋_GB2312"/>
          <w:color w:val="auto"/>
          <w:kern w:val="2"/>
          <w:sz w:val="32"/>
          <w:szCs w:val="32"/>
          <w:highlight w:val="none"/>
          <w:lang w:val="en-US"/>
        </w:rPr>
        <w:t>、建设用地规划许可证、建设工程规划许可证、施工许可证</w:t>
      </w:r>
      <w:r>
        <w:rPr>
          <w:rFonts w:hint="eastAsia" w:ascii="Times New Roman" w:hAnsi="Times New Roman"/>
          <w:color w:val="auto"/>
          <w:kern w:val="2"/>
          <w:sz w:val="32"/>
          <w:szCs w:val="32"/>
          <w:highlight w:val="none"/>
          <w:lang w:val="en-US" w:eastAsia="zh-CN"/>
        </w:rPr>
        <w:t>，已完成工程建设，正在开展竣工验收工作。</w:t>
      </w:r>
    </w:p>
    <w:p>
      <w:pPr>
        <w:keepNext w:val="0"/>
        <w:keepLines w:val="0"/>
        <w:pageBreakBefore w:val="0"/>
        <w:numPr>
          <w:ilvl w:val="0"/>
          <w:numId w:val="0"/>
        </w:numPr>
        <w:kinsoku/>
        <w:wordWrap/>
        <w:overflowPunct/>
        <w:autoSpaceDE/>
        <w:autoSpaceDN/>
        <w:bidi w:val="0"/>
        <w:spacing w:line="580" w:lineRule="exact"/>
        <w:ind w:firstLine="594" w:firstLineChars="200"/>
        <w:textAlignment w:val="auto"/>
        <w:rPr>
          <w:rFonts w:hint="eastAsia" w:ascii="仿宋_GB2312" w:hAnsi="仿宋_GB2312" w:eastAsia="仿宋_GB2312" w:cs="仿宋_GB2312"/>
          <w:color w:val="auto"/>
          <w:sz w:val="32"/>
          <w:szCs w:val="32"/>
          <w:highlight w:val="none"/>
        </w:rPr>
      </w:pPr>
      <w:r>
        <w:rPr>
          <w:rFonts w:ascii="仿宋_GB2312"/>
          <w:szCs w:val="32"/>
          <w:highlight w:val="none"/>
        </w:rPr>
        <w:t>2.</w:t>
      </w:r>
      <w:r>
        <w:rPr>
          <w:rFonts w:hint="eastAsia" w:ascii="仿宋_GB2312"/>
          <w:szCs w:val="32"/>
          <w:highlight w:val="none"/>
        </w:rPr>
        <w:t>项目管理情况分析。</w:t>
      </w:r>
    </w:p>
    <w:p>
      <w:pPr>
        <w:keepNext w:val="0"/>
        <w:keepLines w:val="0"/>
        <w:pageBreakBefore w:val="0"/>
        <w:numPr>
          <w:ilvl w:val="0"/>
          <w:numId w:val="0"/>
        </w:numPr>
        <w:kinsoku/>
        <w:wordWrap/>
        <w:overflowPunct/>
        <w:autoSpaceDE/>
        <w:autoSpaceDN/>
        <w:bidi w:val="0"/>
        <w:spacing w:line="580" w:lineRule="exact"/>
        <w:ind w:firstLine="594"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rPr>
        <w:t>在工程建设中定期组织召开工程安全例会和监理例会，对工程的安全、质量、进度、技术、造价情况逐一进行分析，及时解决工程建设过程中存在的问题，促进工程顺利开展。</w:t>
      </w:r>
      <w:r>
        <w:rPr>
          <w:rFonts w:hint="eastAsia" w:ascii="仿宋_GB2312" w:hAnsi="仿宋_GB2312" w:cs="仿宋_GB2312"/>
          <w:color w:val="auto"/>
          <w:szCs w:val="32"/>
          <w:highlight w:val="none"/>
        </w:rPr>
        <w:t>项目由监理单位对工程质量等进行管控，施工计量及进度款由造价单位进行严格把关，保质保量严控成本。</w:t>
      </w:r>
      <w:r>
        <w:rPr>
          <w:rFonts w:hint="eastAsia" w:ascii="仿宋_GB2312" w:hAnsi="仿宋_GB2312" w:eastAsia="仿宋_GB2312" w:cs="仿宋_GB2312"/>
          <w:color w:val="auto"/>
          <w:sz w:val="32"/>
          <w:szCs w:val="32"/>
          <w:highlight w:val="none"/>
        </w:rPr>
        <w:t>在安全管理方面，对现场施工情况进行安全风险分析辨识并提出针对性预控措施，</w:t>
      </w:r>
      <w:r>
        <w:rPr>
          <w:rFonts w:hint="eastAsia" w:ascii="仿宋_GB2312" w:hAnsi="仿宋_GB2312" w:cs="仿宋_GB2312"/>
          <w:color w:val="auto"/>
          <w:sz w:val="32"/>
          <w:szCs w:val="32"/>
          <w:highlight w:val="none"/>
          <w:lang w:val="en-US" w:eastAsia="zh-CN"/>
        </w:rPr>
        <w:t>严格按照安全生产规范组织现场施工，</w:t>
      </w:r>
      <w:r>
        <w:rPr>
          <w:rFonts w:hint="eastAsia" w:ascii="仿宋_GB2312" w:hAnsi="仿宋_GB2312" w:eastAsia="仿宋_GB2312" w:cs="仿宋_GB2312"/>
          <w:color w:val="auto"/>
          <w:sz w:val="32"/>
          <w:szCs w:val="32"/>
          <w:highlight w:val="none"/>
        </w:rPr>
        <w:t>定期</w:t>
      </w:r>
      <w:r>
        <w:rPr>
          <w:rFonts w:hint="eastAsia" w:ascii="仿宋_GB2312" w:hAnsi="仿宋_GB2312" w:cs="仿宋_GB2312"/>
          <w:color w:val="auto"/>
          <w:sz w:val="32"/>
          <w:szCs w:val="32"/>
          <w:highlight w:val="none"/>
          <w:lang w:val="en-US" w:eastAsia="zh-CN"/>
        </w:rPr>
        <w:t>开展安全生产检查，定期</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val="en-US" w:eastAsia="zh-CN"/>
        </w:rPr>
        <w:t>相关参建单位</w:t>
      </w:r>
      <w:r>
        <w:rPr>
          <w:rFonts w:hint="eastAsia" w:ascii="仿宋_GB2312" w:hAnsi="仿宋_GB2312" w:eastAsia="仿宋_GB2312" w:cs="仿宋_GB2312"/>
          <w:color w:val="auto"/>
          <w:sz w:val="32"/>
          <w:szCs w:val="32"/>
          <w:highlight w:val="none"/>
        </w:rPr>
        <w:t>进行安全培训学习。</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pStyle w:val="12"/>
        <w:numPr>
          <w:ilvl w:val="0"/>
          <w:numId w:val="0"/>
        </w:numPr>
        <w:spacing w:line="580" w:lineRule="exact"/>
        <w:ind w:left="596" w:leftChars="0"/>
        <w:rPr>
          <w:rFonts w:ascii="仿宋_GB2312" w:hAnsi="仿宋_GB2312" w:cs="仿宋_GB2312"/>
          <w:szCs w:val="32"/>
        </w:rPr>
      </w:pPr>
      <w:r>
        <w:rPr>
          <w:rFonts w:hint="eastAsia" w:ascii="仿宋_GB2312" w:hAnsi="仿宋_GB2312" w:cs="仿宋_GB2312"/>
          <w:szCs w:val="32"/>
          <w:lang w:val="en-US" w:eastAsia="zh-CN"/>
        </w:rPr>
        <w:t>1.</w:t>
      </w:r>
      <w:r>
        <w:rPr>
          <w:rFonts w:hint="eastAsia" w:ascii="仿宋_GB2312" w:hAnsi="仿宋_GB2312" w:cs="仿宋_GB2312"/>
          <w:szCs w:val="32"/>
        </w:rPr>
        <w:t>项目经济性分析</w:t>
      </w:r>
    </w:p>
    <w:p>
      <w:pPr>
        <w:keepNext w:val="0"/>
        <w:keepLines w:val="0"/>
        <w:pageBreakBefore w:val="0"/>
        <w:numPr>
          <w:ilvl w:val="0"/>
          <w:numId w:val="0"/>
        </w:numPr>
        <w:kinsoku/>
        <w:wordWrap/>
        <w:overflowPunct/>
        <w:topLinePunct/>
        <w:autoSpaceDE/>
        <w:autoSpaceDN/>
        <w:bidi w:val="0"/>
        <w:spacing w:line="580" w:lineRule="exact"/>
        <w:ind w:firstLine="594" w:firstLineChars="200"/>
        <w:textAlignment w:val="auto"/>
        <w:rPr>
          <w:rFonts w:hint="eastAsia"/>
          <w:color w:val="auto"/>
          <w:lang w:val="en-US" w:eastAsia="zh-CN"/>
        </w:rPr>
      </w:pPr>
      <w:r>
        <w:rPr>
          <w:rFonts w:hint="eastAsia" w:ascii="仿宋_GB2312" w:hAnsi="仿宋_GB2312" w:cs="仿宋_GB2312"/>
          <w:color w:val="auto"/>
          <w:szCs w:val="32"/>
          <w:lang w:val="en-US" w:eastAsia="zh-CN"/>
        </w:rPr>
        <w:t>项目设计及工程质量符合国家现行标准规范要求。创新孵化中心及数据中心项目均按照要求取得施工图审查相关意见，创新孵化中心已完成竣工验收工作，工程质量符合规范要求。项目按计划推进建设工作。创新孵化中心已完成竣工验收，数据中心项目已完成建设工作，2-1、2-2号基础设施已完成建设通过初验并投入使用。</w:t>
      </w:r>
      <w:r>
        <w:rPr>
          <w:rFonts w:hint="eastAsia"/>
          <w:color w:val="auto"/>
        </w:rPr>
        <w:t>严格</w:t>
      </w:r>
      <w:r>
        <w:rPr>
          <w:rFonts w:hint="eastAsia"/>
          <w:color w:val="auto"/>
          <w:lang w:val="en-US" w:eastAsia="zh-CN"/>
        </w:rPr>
        <w:t>控制项目成本。</w:t>
      </w:r>
    </w:p>
    <w:p>
      <w:pPr>
        <w:pStyle w:val="12"/>
        <w:numPr>
          <w:ilvl w:val="0"/>
          <w:numId w:val="0"/>
        </w:numPr>
        <w:topLinePunct/>
        <w:spacing w:line="600" w:lineRule="exact"/>
        <w:ind w:left="596" w:leftChars="0"/>
        <w:jc w:val="left"/>
        <w:rPr>
          <w:rFonts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项目效率性分析</w:t>
      </w:r>
    </w:p>
    <w:p>
      <w:pPr>
        <w:keepNext w:val="0"/>
        <w:keepLines w:val="0"/>
        <w:pageBreakBefore w:val="0"/>
        <w:numPr>
          <w:ilvl w:val="0"/>
          <w:numId w:val="0"/>
        </w:numPr>
        <w:kinsoku/>
        <w:wordWrap/>
        <w:overflowPunct/>
        <w:autoSpaceDE/>
        <w:autoSpaceDN/>
        <w:bidi w:val="0"/>
        <w:spacing w:line="580" w:lineRule="exact"/>
        <w:ind w:firstLine="594" w:firstLineChars="200"/>
        <w:textAlignment w:val="auto"/>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项目内基础配套设施的建设，推动政策、资金、土地、人才等要素在园区实现集聚，提升交通及配套服务便利程度，营造良好的营商环境，提升园区品质；孵化中心、数据中心及2-1、2-2号道路均取得环评批复，并按照批复要求开展建设工作，满足对生态环境最小程度的破坏、最大限度的保护以及“安全、环保、舒适、经济”前提下，促进区域经济、社会与环境协调发展；4.</w:t>
      </w:r>
      <w:r>
        <w:rPr>
          <w:rFonts w:hint="eastAsia" w:ascii="仿宋_GB2312" w:hAnsi="仿宋_GB2312" w:cs="仿宋_GB2312"/>
          <w:color w:val="auto"/>
          <w:szCs w:val="32"/>
        </w:rPr>
        <w:t>项目内基础设施和孵化中心等项目的建设促进园区经济发展、招商引资、生态环境保护的可持续发展。</w:t>
      </w:r>
    </w:p>
    <w:p>
      <w:pPr>
        <w:topLinePunct/>
        <w:spacing w:line="600" w:lineRule="exa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3.</w:t>
      </w:r>
      <w:r>
        <w:rPr>
          <w:rFonts w:hint="eastAsia" w:ascii="仿宋_GB2312" w:hAnsi="仿宋_GB2312" w:cs="仿宋_GB2312"/>
          <w:szCs w:val="32"/>
        </w:rPr>
        <w:t>项目</w:t>
      </w:r>
      <w:r>
        <w:rPr>
          <w:rFonts w:hint="eastAsia" w:ascii="仿宋_GB2312" w:hAnsi="仿宋_GB2312" w:cs="仿宋_GB2312"/>
          <w:szCs w:val="32"/>
          <w:lang w:val="en-US" w:eastAsia="zh-CN"/>
        </w:rPr>
        <w:t>满意度</w:t>
      </w:r>
    </w:p>
    <w:p>
      <w:pPr>
        <w:topLinePunct/>
        <w:spacing w:line="600" w:lineRule="exa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color w:val="auto"/>
          <w:szCs w:val="32"/>
          <w:lang w:val="en-US" w:eastAsia="zh-CN"/>
        </w:rPr>
        <w:t>2-1、2-2号基础设施建成完善了区域路网及雨污水、电力等管线系统，为周边地块产业项目建设提供重要基础设施配套支撑。孵化中心和数据中心</w:t>
      </w:r>
      <w:r>
        <w:rPr>
          <w:rFonts w:hint="eastAsia"/>
        </w:rPr>
        <w:t>的实施为园区的发展注入强劲动力，为园区信息科技成果转化、科技孵化、人才培养提供服务</w:t>
      </w:r>
      <w:r>
        <w:rPr>
          <w:rFonts w:hint="eastAsia"/>
          <w:lang w:eastAsia="zh-CN"/>
        </w:rPr>
        <w:t>，</w:t>
      </w:r>
      <w:r>
        <w:rPr>
          <w:rFonts w:hint="eastAsia" w:ascii="仿宋_GB2312" w:hAnsi="仿宋_GB2312" w:cs="仿宋_GB2312"/>
          <w:color w:val="auto"/>
          <w:szCs w:val="32"/>
          <w:lang w:val="en-US" w:eastAsia="zh-CN"/>
        </w:rPr>
        <w:t>提升了入驻企业工作、生活环境。</w:t>
      </w:r>
      <w:r>
        <w:rPr>
          <w:rFonts w:hint="eastAsia" w:ascii="仿宋_GB2312" w:hAnsi="仿宋_GB2312" w:cs="仿宋_GB2312"/>
          <w:szCs w:val="32"/>
          <w:lang w:val="en-US" w:eastAsia="zh-CN"/>
        </w:rPr>
        <w:t>建设过程中充分征求各主管部门意见，做到各方满意。</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良</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w:t>
      </w:r>
      <w:r>
        <w:rPr>
          <w:rFonts w:hint="eastAsia" w:ascii="黑体" w:eastAsia="黑体"/>
          <w:szCs w:val="32"/>
        </w:rPr>
        <w:t>：</w:t>
      </w:r>
    </w:p>
    <w:tbl>
      <w:tblPr>
        <w:tblStyle w:val="5"/>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1"/>
        <w:gridCol w:w="6"/>
        <w:gridCol w:w="634"/>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9"/>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991"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58"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实</w:t>
            </w:r>
            <w:r>
              <w:rPr>
                <w:rFonts w:hint="eastAsia" w:ascii="仿宋_GB2312" w:hAnsi="宋体" w:cs="宋体"/>
                <w:color w:val="auto"/>
                <w:kern w:val="0"/>
                <w:sz w:val="21"/>
                <w:szCs w:val="21"/>
              </w:rPr>
              <w:t>际到位</w:t>
            </w:r>
            <w:r>
              <w:rPr>
                <w:rFonts w:ascii="仿宋_GB2312" w:hAnsi="宋体" w:cs="宋体"/>
                <w:color w:val="auto"/>
                <w:kern w:val="0"/>
                <w:sz w:val="21"/>
                <w:szCs w:val="21"/>
              </w:rPr>
              <w:t>/</w:t>
            </w:r>
            <w:r>
              <w:rPr>
                <w:rFonts w:hint="eastAsia" w:ascii="仿宋_GB2312" w:hAnsi="宋体" w:cs="宋体"/>
                <w:color w:val="auto"/>
                <w:kern w:val="0"/>
                <w:sz w:val="21"/>
                <w:szCs w:val="21"/>
              </w:rPr>
              <w:t>计划到位</w:t>
            </w:r>
            <w:r>
              <w:rPr>
                <w:rFonts w:ascii="仿宋_GB2312" w:hAnsi="宋体" w:cs="宋体"/>
                <w:color w:val="auto"/>
                <w:kern w:val="0"/>
                <w:sz w:val="21"/>
                <w:szCs w:val="21"/>
              </w:rPr>
              <w:t>*100%</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lang w:val="en-US" w:eastAsia="zh-CN"/>
              </w:rPr>
              <w:t>5亿/5亿=</w:t>
            </w:r>
            <w:r>
              <w:rPr>
                <w:rFonts w:ascii="仿宋_GB2312" w:hAnsi="宋体" w:cs="宋体"/>
                <w:color w:val="auto"/>
                <w:kern w:val="0"/>
                <w:sz w:val="21"/>
                <w:szCs w:val="21"/>
              </w:rPr>
              <w:t>100%</w:t>
            </w:r>
            <w:r>
              <w:rPr>
                <w:rFonts w:hint="eastAsia" w:ascii="仿宋_GB2312" w:hAnsi="宋体" w:cs="宋体"/>
                <w:color w:val="auto"/>
                <w:kern w:val="0"/>
                <w:sz w:val="21"/>
                <w:szCs w:val="21"/>
                <w:lang w:eastAsia="zh-CN"/>
              </w:rPr>
              <w:t>）</w:t>
            </w:r>
          </w:p>
        </w:tc>
        <w:tc>
          <w:tcPr>
            <w:tcW w:w="3089" w:type="dxa"/>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991"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(25</w:t>
            </w:r>
            <w:r>
              <w:rPr>
                <w:rFonts w:hint="eastAsia" w:ascii="仿宋_GB2312" w:hAnsi="宋体" w:cs="宋体"/>
                <w:color w:val="auto"/>
                <w:kern w:val="0"/>
                <w:sz w:val="21"/>
                <w:szCs w:val="21"/>
              </w:rPr>
              <w:t>分）</w:t>
            </w:r>
          </w:p>
        </w:tc>
        <w:tc>
          <w:tcPr>
            <w:tcW w:w="728"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项目实施（</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按计划开工（</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按计划开展（</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按计划完工（</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管理制度（</w:t>
            </w:r>
            <w:r>
              <w:rPr>
                <w:rFonts w:ascii="仿宋_GB2312" w:hAnsi="宋体" w:cs="宋体"/>
                <w:color w:val="auto"/>
                <w:kern w:val="0"/>
                <w:sz w:val="21"/>
                <w:szCs w:val="21"/>
              </w:rPr>
              <w:t>6</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管理制度健全（</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制度执行严格（</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绩效</w:t>
            </w:r>
            <w:r>
              <w:rPr>
                <w:rFonts w:hint="eastAsia" w:ascii="仿宋_GB2312" w:hAnsi="宋体" w:cs="宋体"/>
                <w:color w:val="auto"/>
                <w:kern w:val="0"/>
                <w:sz w:val="21"/>
                <w:szCs w:val="21"/>
                <w:lang w:val="en-US" w:eastAsia="zh-CN"/>
              </w:rPr>
              <w:t xml:space="preserve"> </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60</w:t>
            </w:r>
            <w:r>
              <w:rPr>
                <w:rFonts w:hint="eastAsia" w:ascii="仿宋_GB2312" w:hAnsi="宋体" w:cs="宋体"/>
                <w:color w:val="auto"/>
                <w:kern w:val="0"/>
                <w:sz w:val="21"/>
                <w:szCs w:val="21"/>
              </w:rPr>
              <w:t>分）</w:t>
            </w:r>
          </w:p>
        </w:tc>
        <w:tc>
          <w:tcPr>
            <w:tcW w:w="728"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20</w:t>
            </w:r>
            <w:r>
              <w:rPr>
                <w:rFonts w:hint="eastAsia" w:ascii="仿宋_GB2312" w:hAnsi="宋体" w:cs="宋体"/>
                <w:color w:val="auto"/>
                <w:kern w:val="0"/>
                <w:sz w:val="21"/>
                <w:szCs w:val="21"/>
              </w:rPr>
              <w:t>分）</w:t>
            </w: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产出数量（</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对照绩效目标，按实际产出数量率计算得分（</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产出质量（</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2765" w:type="dxa"/>
            <w:gridSpan w:val="2"/>
            <w:vAlign w:val="center"/>
          </w:tcPr>
          <w:p>
            <w:pPr>
              <w:widowControl/>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rPr>
              <w:t>根据该项目实际，标识具体明确的产出质量</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lang w:val="en-US" w:eastAsia="zh-CN"/>
              </w:rPr>
              <w:t>建成项目符合国家质量标准，通过验收，无扣分情况</w:t>
            </w:r>
            <w:r>
              <w:rPr>
                <w:rFonts w:hint="eastAsia" w:ascii="仿宋_GB2312" w:hAnsi="宋体" w:cs="宋体"/>
                <w:color w:val="auto"/>
                <w:kern w:val="0"/>
                <w:sz w:val="21"/>
                <w:szCs w:val="21"/>
                <w:lang w:eastAsia="zh-CN"/>
              </w:rPr>
              <w:t>）</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对照绩效目标，按实际产出质量率计算得分（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产出时效（</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2765" w:type="dxa"/>
            <w:gridSpan w:val="2"/>
            <w:vAlign w:val="center"/>
          </w:tcPr>
          <w:p>
            <w:pPr>
              <w:widowControl/>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对照绩效目标，按实际产出时效率计算得分（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产出成本（</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对照绩效目标，按实际产出成本率计算得分（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restart"/>
            <w:vAlign w:val="center"/>
          </w:tcPr>
          <w:p>
            <w:pPr>
              <w:widowControl/>
              <w:spacing w:line="260" w:lineRule="exact"/>
              <w:rPr>
                <w:rFonts w:ascii="仿宋_GB2312" w:hAnsi="宋体" w:cs="宋体"/>
                <w:color w:val="auto"/>
                <w:kern w:val="0"/>
                <w:sz w:val="21"/>
                <w:szCs w:val="21"/>
              </w:rPr>
            </w:pP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效果</w:t>
            </w:r>
            <w:r>
              <w:rPr>
                <w:rFonts w:ascii="仿宋_GB2312" w:hAnsi="宋体" w:cs="宋体"/>
                <w:color w:val="auto"/>
                <w:kern w:val="0"/>
                <w:sz w:val="21"/>
                <w:szCs w:val="21"/>
              </w:rPr>
              <w:t>(40</w:t>
            </w:r>
            <w:r>
              <w:rPr>
                <w:rFonts w:hint="eastAsia" w:ascii="仿宋_GB2312" w:hAnsi="宋体" w:cs="宋体"/>
                <w:color w:val="auto"/>
                <w:kern w:val="0"/>
                <w:sz w:val="21"/>
                <w:szCs w:val="21"/>
              </w:rPr>
              <w:t>分）</w:t>
            </w: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经济效益（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对照绩效目标，按经济效益实现程度计算得分（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社会效益（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对照绩效目标，按社会效益实现程度计算得分（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环境效益（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对照绩效目标，按对环境所产生的实际影响程度计算得分（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可持续影响（</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w:t>
            </w:r>
            <w:r>
              <w:rPr>
                <w:rFonts w:ascii="仿宋_GB2312" w:hAnsi="宋体" w:cs="宋体"/>
                <w:color w:val="auto"/>
                <w:kern w:val="0"/>
                <w:sz w:val="21"/>
                <w:szCs w:val="21"/>
              </w:rPr>
              <w:t>4</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所依赖的政策制度能持续执行（</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color w:val="auto"/>
                <w:kern w:val="0"/>
                <w:sz w:val="21"/>
                <w:szCs w:val="21"/>
              </w:rPr>
            </w:pPr>
          </w:p>
        </w:tc>
        <w:tc>
          <w:tcPr>
            <w:tcW w:w="728" w:type="dxa"/>
            <w:vMerge w:val="continue"/>
            <w:vAlign w:val="center"/>
          </w:tcPr>
          <w:p>
            <w:pPr>
              <w:widowControl/>
              <w:spacing w:line="260" w:lineRule="exact"/>
              <w:jc w:val="left"/>
              <w:rPr>
                <w:rFonts w:ascii="仿宋_GB2312" w:hAnsi="宋体" w:cs="宋体"/>
                <w:color w:val="auto"/>
                <w:kern w:val="0"/>
                <w:sz w:val="21"/>
                <w:szCs w:val="21"/>
              </w:rPr>
            </w:pPr>
          </w:p>
        </w:tc>
        <w:tc>
          <w:tcPr>
            <w:tcW w:w="991"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服务对象满意度</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58" w:type="dxa"/>
            <w:gridSpan w:val="3"/>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按收集到的项目服务对象的满意率计算得分（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83</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21</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2" w:name="_Toc30514902"/>
    </w:p>
    <w:bookmarkEnd w:id="2"/>
    <w:p>
      <w:pPr>
        <w:numPr>
          <w:ilvl w:val="0"/>
          <w:numId w:val="0"/>
        </w:numPr>
        <w:ind w:firstLine="594" w:firstLineChars="200"/>
        <w:rPr>
          <w:rFonts w:hint="eastAsia" w:ascii="仿宋_GB2312"/>
          <w:b/>
          <w:szCs w:val="32"/>
        </w:rPr>
      </w:pPr>
      <w:r>
        <w:rPr>
          <w:rFonts w:hint="eastAsia" w:ascii="仿宋_GB2312"/>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autoSpaceDE/>
        <w:autoSpaceDN/>
        <w:bidi w:val="0"/>
        <w:adjustRightInd/>
        <w:snapToGrid/>
        <w:spacing w:line="560" w:lineRule="exact"/>
        <w:jc w:val="both"/>
        <w:textAlignment w:val="auto"/>
        <w:rPr>
          <w:rFonts w:ascii="仿宋_GB2312"/>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F_Kai">
    <w:altName w:val="宋体"/>
    <w:panose1 w:val="00000000000000000000"/>
    <w:charset w:val="7A"/>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229CE27D"/>
    <w:multiLevelType w:val="multilevel"/>
    <w:tmpl w:val="229CE27D"/>
    <w:lvl w:ilvl="0" w:tentative="0">
      <w:start w:val="1"/>
      <w:numFmt w:val="chineseCounting"/>
      <w:pStyle w:val="3"/>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43B18715"/>
    <w:multiLevelType w:val="singleLevel"/>
    <w:tmpl w:val="43B1871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6"/>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5AE36CA"/>
    <w:rsid w:val="06525C14"/>
    <w:rsid w:val="08563735"/>
    <w:rsid w:val="0D491A00"/>
    <w:rsid w:val="0F4F7876"/>
    <w:rsid w:val="13C77B8B"/>
    <w:rsid w:val="177C1352"/>
    <w:rsid w:val="198F4B69"/>
    <w:rsid w:val="1C2F476E"/>
    <w:rsid w:val="1E8E358C"/>
    <w:rsid w:val="22B90AA8"/>
    <w:rsid w:val="252F7B2C"/>
    <w:rsid w:val="29A121D1"/>
    <w:rsid w:val="2A957D1D"/>
    <w:rsid w:val="2BBC72BB"/>
    <w:rsid w:val="34BA06A5"/>
    <w:rsid w:val="37825CA9"/>
    <w:rsid w:val="378A5996"/>
    <w:rsid w:val="3AA426C0"/>
    <w:rsid w:val="3C9D478B"/>
    <w:rsid w:val="4181566C"/>
    <w:rsid w:val="41AD65D5"/>
    <w:rsid w:val="42150A0A"/>
    <w:rsid w:val="4ABA47D6"/>
    <w:rsid w:val="51C05EE5"/>
    <w:rsid w:val="5A02005C"/>
    <w:rsid w:val="5A3C6978"/>
    <w:rsid w:val="5CF2369E"/>
    <w:rsid w:val="626A3448"/>
    <w:rsid w:val="67600811"/>
    <w:rsid w:val="6AE62ECF"/>
    <w:rsid w:val="6B2961AD"/>
    <w:rsid w:val="6DD56D9C"/>
    <w:rsid w:val="6E710353"/>
    <w:rsid w:val="6F700A1F"/>
    <w:rsid w:val="6FCB46F4"/>
    <w:rsid w:val="712C4F9C"/>
    <w:rsid w:val="789D155E"/>
    <w:rsid w:val="79010DDE"/>
    <w:rsid w:val="7B6F2E8B"/>
    <w:rsid w:val="7EC6504D"/>
    <w:rsid w:val="7FD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sz w:val="21"/>
    </w:rPr>
  </w:style>
  <w:style w:type="paragraph" w:styleId="4">
    <w:name w:val="Body Text"/>
    <w:basedOn w:val="1"/>
    <w:qFormat/>
    <w:uiPriority w:val="0"/>
    <w:pPr>
      <w:widowControl/>
      <w:adjustRightInd w:val="0"/>
      <w:snapToGrid w:val="0"/>
      <w:spacing w:before="150" w:after="150" w:line="264" w:lineRule="auto"/>
      <w:ind w:firstLine="567"/>
    </w:pPr>
    <w:rPr>
      <w:rFonts w:ascii="华文楷体" w:hAnsi="华文楷体" w:eastAsia="LF_Kai"/>
      <w:kern w:val="0"/>
      <w:sz w:val="24"/>
      <w:szCs w:val="20"/>
      <w:lang w:val="en-GB"/>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w:basedOn w:val="1"/>
    <w:link w:val="9"/>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9">
    <w:name w:val="*正文 Char"/>
    <w:link w:val="8"/>
    <w:qFormat/>
    <w:uiPriority w:val="0"/>
    <w:rPr>
      <w:rFonts w:ascii="宋体" w:hAnsi="宋体" w:eastAsia="宋体" w:cs="Times New Roman"/>
      <w:snapToGrid w:val="0"/>
      <w:kern w:val="2"/>
      <w:sz w:val="24"/>
      <w:szCs w:val="21"/>
      <w:lang w:val="zh-CN"/>
    </w:rPr>
  </w:style>
  <w:style w:type="paragraph" w:customStyle="1" w:styleId="10">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11">
    <w:name w:val="BodyText"/>
    <w:basedOn w:val="1"/>
    <w:qFormat/>
    <w:uiPriority w:val="0"/>
    <w:pPr>
      <w:spacing w:after="120"/>
      <w:textAlignment w:val="baseline"/>
    </w:p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269</Words>
  <Characters>1536</Characters>
  <Lines>12</Lines>
  <Paragraphs>3</Paragraphs>
  <TotalTime>2</TotalTime>
  <ScaleCrop>false</ScaleCrop>
  <LinksUpToDate>false</LinksUpToDate>
  <CharactersWithSpaces>1802</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Administrator</cp:lastModifiedBy>
  <cp:lastPrinted>2020-03-17T03:50:00Z</cp:lastPrinted>
  <dcterms:modified xsi:type="dcterms:W3CDTF">2025-05-30T07:13:37Z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1068E6457FD04A8683B0B7F5D14B0FC0</vt:lpwstr>
  </property>
</Properties>
</file>