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10</w:t>
      </w:r>
      <w:r>
        <w:rPr>
          <w:rFonts w:hint="eastAsia" w:ascii="仿宋_GB2312" w:hAnsi="华文中宋"/>
          <w:bCs/>
          <w:szCs w:val="32"/>
        </w:rPr>
        <w:t>:</w:t>
      </w:r>
    </w:p>
    <w:p>
      <w:pPr>
        <w:rPr>
          <w:rFonts w:ascii="黑体" w:eastAsia="黑体"/>
          <w:szCs w:val="32"/>
        </w:rPr>
      </w:pPr>
    </w:p>
    <w:p>
      <w:pPr>
        <w:keepNext w:val="0"/>
        <w:keepLines w:val="0"/>
        <w:pageBreakBefore w:val="0"/>
        <w:widowControl w:val="0"/>
        <w:kinsoku/>
        <w:wordWrap/>
        <w:overflowPunct/>
        <w:autoSpaceDE/>
        <w:autoSpaceDN/>
        <w:bidi w:val="0"/>
        <w:adjustRightInd/>
        <w:snapToGrid/>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昆明呈贡信息产业园区一期进场道路设施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提升改造工程</w:t>
      </w:r>
      <w:r>
        <w:rPr>
          <w:rFonts w:hint="eastAsia" w:ascii="方正小标宋简体" w:hAnsi="方正小标宋简体" w:eastAsia="方正小标宋简体" w:cs="方正小标宋简体"/>
          <w:sz w:val="44"/>
          <w:szCs w:val="44"/>
        </w:rPr>
        <w:t>项目支出绩效</w:t>
      </w:r>
      <w:r>
        <w:rPr>
          <w:rFonts w:hint="eastAsia" w:ascii="方正小标宋简体" w:hAnsi="方正小标宋简体" w:eastAsia="方正小标宋简体" w:cs="方正小标宋简体"/>
          <w:sz w:val="44"/>
          <w:szCs w:val="44"/>
          <w:lang w:val="en-US" w:eastAsia="zh-CN"/>
        </w:rPr>
        <w:t>自评</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hint="eastAsia" w:ascii="仿宋_GB2312" w:hAnsi="仿宋_GB2312" w:cs="仿宋_GB2312"/>
          <w:szCs w:val="32"/>
        </w:rPr>
      </w:pPr>
      <w:bookmarkStart w:id="0" w:name="_Toc30514894"/>
      <w:r>
        <w:rPr>
          <w:rFonts w:hint="eastAsia" w:ascii="仿宋_GB2312" w:hAnsi="仿宋_GB2312" w:cs="仿宋_GB2312"/>
          <w:szCs w:val="32"/>
        </w:rPr>
        <w:t>按照昆明呈贡信息产业园区管理委员会《关于启动园区一期进场道路提升改造工程建设的通知》及</w:t>
      </w:r>
      <w:r>
        <w:rPr>
          <w:rFonts w:hint="eastAsia" w:ascii="仿宋_GB2312" w:hAnsi="仿宋"/>
          <w:szCs w:val="32"/>
        </w:rPr>
        <w:t>昆明市呈贡区城市管理局</w:t>
      </w:r>
      <w:r>
        <w:rPr>
          <w:rFonts w:hint="eastAsia" w:ascii="仿宋_GB2312" w:hAnsi="仿宋_GB2312" w:cs="仿宋_GB2312"/>
          <w:szCs w:val="32"/>
        </w:rPr>
        <w:t>、交警五大队安全隐患排查现场提出的相关整改要求，</w:t>
      </w:r>
      <w:r>
        <w:rPr>
          <w:rFonts w:ascii="仿宋_GB2312" w:hAnsi="仿宋_GB2312" w:cs="仿宋_GB2312"/>
          <w:szCs w:val="32"/>
        </w:rPr>
        <w:t>现状道路车行道凹凸不平，人行道铺装破损、泥土堆积，非机动车道鼓包现象严重，</w:t>
      </w:r>
      <w:r>
        <w:rPr>
          <w:rFonts w:hint="eastAsia" w:ascii="仿宋_GB2312" w:hAnsi="仿宋_GB2312" w:cs="仿宋_GB2312"/>
          <w:szCs w:val="32"/>
        </w:rPr>
        <w:t>道路</w:t>
      </w:r>
      <w:r>
        <w:rPr>
          <w:rFonts w:ascii="仿宋_GB2312" w:hAnsi="仿宋_GB2312" w:cs="仿宋_GB2312"/>
          <w:szCs w:val="32"/>
        </w:rPr>
        <w:t>边坡破损</w:t>
      </w:r>
      <w:r>
        <w:rPr>
          <w:rFonts w:hint="eastAsia" w:ascii="仿宋_GB2312" w:hAnsi="仿宋_GB2312" w:cs="仿宋_GB2312"/>
          <w:szCs w:val="32"/>
        </w:rPr>
        <w:t>，交安设施不完善，</w:t>
      </w:r>
      <w:r>
        <w:rPr>
          <w:rFonts w:ascii="仿宋_GB2312" w:hAnsi="仿宋_GB2312" w:cs="仿宋_GB2312"/>
          <w:szCs w:val="32"/>
        </w:rPr>
        <w:t>存在</w:t>
      </w:r>
      <w:r>
        <w:rPr>
          <w:rFonts w:hint="eastAsia" w:ascii="仿宋_GB2312" w:hAnsi="仿宋_GB2312" w:cs="仿宋_GB2312"/>
          <w:szCs w:val="32"/>
        </w:rPr>
        <w:t>严重</w:t>
      </w:r>
      <w:r>
        <w:rPr>
          <w:rFonts w:ascii="仿宋_GB2312" w:hAnsi="仿宋_GB2312" w:cs="仿宋_GB2312"/>
          <w:szCs w:val="32"/>
        </w:rPr>
        <w:t>安全隐患</w:t>
      </w:r>
      <w:r>
        <w:rPr>
          <w:rFonts w:hint="eastAsia" w:ascii="仿宋_GB2312" w:hAnsi="仿宋_GB2312" w:cs="仿宋_GB2312"/>
          <w:szCs w:val="32"/>
        </w:rPr>
        <w:t>。鉴于此情况，昆明市智慧城市建设投资有限公司需尽快启动昆明呈贡信息产业园区一期进场三条道路</w:t>
      </w:r>
      <w:r>
        <w:rPr>
          <w:rFonts w:hint="eastAsia" w:ascii="仿宋_GB2312"/>
          <w:szCs w:val="32"/>
        </w:rPr>
        <w:t>设施提升改造工作，</w:t>
      </w:r>
      <w:r>
        <w:rPr>
          <w:rFonts w:hint="eastAsia" w:ascii="仿宋_GB2312" w:hAnsi="仿宋_GB2312" w:cs="仿宋_GB2312"/>
          <w:szCs w:val="32"/>
        </w:rPr>
        <w:t>整治交通安全隐患，提升园区道路形象，加强道路日常养护管理。</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cs="仿宋_GB2312"/>
          <w:szCs w:val="32"/>
        </w:rPr>
      </w:pPr>
      <w:r>
        <w:rPr>
          <w:rFonts w:hint="eastAsia" w:ascii="仿宋_GB2312" w:hAnsi="仿宋_GB2312" w:eastAsia="仿宋_GB2312" w:cs="仿宋_GB2312"/>
          <w:sz w:val="32"/>
          <w:szCs w:val="32"/>
          <w:lang w:val="en-US" w:eastAsia="zh-CN"/>
        </w:rPr>
        <w:t>项目主要建设内容为昆明呈贡信息产业园区内兴园路、智慧路及信息路三条道路绿化工程修复改造、道路边坡改造治理、园区入口处边坡及周边绿化景观提升改造、道路交安设施安装及道路平整度修复等工程</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项目总投资约为3847.57万元。</w:t>
      </w:r>
    </w:p>
    <w:p>
      <w:pPr>
        <w:keepNext/>
        <w:keepLines/>
        <w:pageBreakBefore w:val="0"/>
        <w:widowControl w:val="0"/>
        <w:numPr>
          <w:ilvl w:val="0"/>
          <w:numId w:val="2"/>
        </w:numPr>
        <w:kinsoku/>
        <w:wordWrap/>
        <w:overflowPunct/>
        <w:topLinePunct w:val="0"/>
        <w:autoSpaceDE/>
        <w:autoSpaceDN/>
        <w:bidi w:val="0"/>
        <w:adjustRightInd/>
        <w:snapToGrid/>
        <w:spacing w:line="560" w:lineRule="exact"/>
        <w:ind w:firstLine="594" w:firstLineChars="200"/>
        <w:jc w:val="left"/>
        <w:textAlignment w:val="auto"/>
        <w:outlineLvl w:val="1"/>
        <w:rPr>
          <w:rFonts w:hint="eastAsia" w:ascii="仿宋_GB2312" w:eastAsia="楷体" w:hAnsiTheme="majorHAnsi" w:cstheme="majorBidi"/>
          <w:bCs/>
          <w:kern w:val="2"/>
          <w:sz w:val="32"/>
          <w:szCs w:val="32"/>
          <w:lang w:val="en-US" w:eastAsia="zh-CN" w:bidi="ar-SA"/>
        </w:rPr>
      </w:pPr>
      <w:r>
        <w:rPr>
          <w:rFonts w:hint="eastAsia" w:ascii="仿宋_GB2312" w:eastAsia="楷体" w:hAnsiTheme="majorHAnsi" w:cstheme="majorBidi"/>
          <w:bCs/>
          <w:kern w:val="2"/>
          <w:sz w:val="32"/>
          <w:szCs w:val="32"/>
          <w:lang w:val="en-US" w:eastAsia="zh-CN" w:bidi="ar-SA"/>
        </w:rPr>
        <w:t>项目绩效目标。</w:t>
      </w:r>
    </w:p>
    <w:bookmarkEnd w:id="0"/>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完成园区内兴园路、智慧路及信息路三条道路绿化工程修复改造、道路边坡改造治理、园区入口处边坡及周边绿化景观提升改造、道路交安设施安装及道路平整度修复等工程。</w:t>
      </w:r>
    </w:p>
    <w:p>
      <w:pPr>
        <w:numPr>
          <w:ilvl w:val="0"/>
          <w:numId w:val="0"/>
        </w:numPr>
        <w:ind w:leftChars="200"/>
        <w:rPr>
          <w:rFonts w:hint="eastAsia" w:ascii="黑体" w:hAnsi="黑体" w:eastAsia="黑体" w:cs="黑体"/>
          <w:b w:val="0"/>
          <w:bCs/>
          <w:szCs w:val="32"/>
          <w:highlight w:val="none"/>
        </w:rPr>
      </w:pPr>
      <w:r>
        <w:rPr>
          <w:rFonts w:hint="eastAsia" w:ascii="黑体" w:hAnsi="黑体" w:eastAsia="黑体" w:cs="黑体"/>
          <w:b w:val="0"/>
          <w:bCs/>
          <w:szCs w:val="32"/>
          <w:highlight w:val="none"/>
          <w:lang w:eastAsia="zh-CN"/>
        </w:rPr>
        <w:t>二、</w:t>
      </w:r>
      <w:r>
        <w:rPr>
          <w:rFonts w:hint="eastAsia" w:ascii="黑体" w:hAnsi="黑体" w:eastAsia="黑体" w:cs="黑体"/>
          <w:b w:val="0"/>
          <w:bCs/>
          <w:szCs w:val="32"/>
          <w:highlight w:val="none"/>
        </w:rPr>
        <w:t>项目单位绩效报告情况。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rPr>
      </w:pPr>
      <w:r>
        <w:rPr>
          <w:rFonts w:hint="eastAsia" w:ascii="仿宋_GB2312" w:hAnsi="仿宋_GB2312" w:eastAsia="仿宋_GB2312" w:cs="仿宋_GB2312"/>
          <w:sz w:val="32"/>
          <w:szCs w:val="32"/>
          <w:lang w:val="en-US" w:eastAsia="zh-CN"/>
        </w:rPr>
        <w:t>该项目实施单位为</w:t>
      </w:r>
      <w:r>
        <w:rPr>
          <w:rFonts w:hint="eastAsia" w:ascii="仿宋_GB2312" w:hAnsi="Times New Roman" w:eastAsia="仿宋_GB2312" w:cs="Times New Roman"/>
          <w:sz w:val="32"/>
          <w:szCs w:val="32"/>
          <w:highlight w:val="none"/>
          <w:lang w:val="en-US" w:eastAsia="zh-CN"/>
        </w:rPr>
        <w:t>昆明市智慧城市建设投资有限公司</w:t>
      </w:r>
      <w:r>
        <w:rPr>
          <w:rFonts w:hint="eastAsia" w:ascii="仿宋_GB2312" w:hAnsi="仿宋_GB2312" w:eastAsia="仿宋_GB2312" w:cs="仿宋_GB2312"/>
          <w:sz w:val="32"/>
          <w:szCs w:val="32"/>
          <w:lang w:val="en-US" w:eastAsia="zh-CN"/>
        </w:rPr>
        <w:t>，已按要求按时充分向我单位报送绩效自评报告和绩效自评指标评分表。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三、绩效评价工作情况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一）绩效评价目的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绩效评价原则、评价指标体系、评价方法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（三）绩效评价工作过程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rPr>
        <w:t>前期准备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按照绩效自评工作要求，组成以</w:t>
      </w:r>
      <w:r>
        <w:rPr>
          <w:rFonts w:hint="eastAsia" w:ascii="仿宋_GB2312" w:hAnsi="Times New Roman" w:cs="Times New Roman"/>
          <w:sz w:val="32"/>
          <w:szCs w:val="32"/>
          <w:highlight w:val="none"/>
          <w:lang w:eastAsia="zh-CN"/>
        </w:rPr>
        <w:t>分管财务副主任</w:t>
      </w:r>
      <w:r>
        <w:rPr>
          <w:rFonts w:hint="eastAsia" w:ascii="仿宋_GB2312" w:hAnsi="Times New Roman" w:eastAsia="仿宋_GB2312" w:cs="Times New Roman"/>
          <w:sz w:val="32"/>
          <w:szCs w:val="32"/>
          <w:highlight w:val="none"/>
        </w:rPr>
        <w:t>为组长</w:t>
      </w:r>
      <w:r>
        <w:rPr>
          <w:rFonts w:hint="eastAsia" w:ascii="仿宋_GB2312" w:hAnsi="Times New Roman" w:eastAsia="仿宋_GB2312" w:cs="Times New Roman"/>
          <w:sz w:val="32"/>
          <w:szCs w:val="32"/>
          <w:highlight w:val="none"/>
          <w:lang w:eastAsia="zh-CN"/>
        </w:rPr>
        <w:t>，各部办负责人为成员的</w:t>
      </w:r>
      <w:r>
        <w:rPr>
          <w:rFonts w:hint="eastAsia" w:ascii="仿宋_GB2312" w:hAnsi="Times New Roman" w:eastAsia="仿宋_GB2312" w:cs="Times New Roman"/>
          <w:sz w:val="32"/>
          <w:szCs w:val="32"/>
          <w:highlight w:val="none"/>
        </w:rPr>
        <w:t>绩效评价工作小组</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根据</w:t>
      </w:r>
      <w:r>
        <w:rPr>
          <w:rFonts w:hint="eastAsia" w:ascii="仿宋_GB2312" w:hAnsi="Times New Roman" w:eastAsia="仿宋_GB2312" w:cs="Times New Roman"/>
          <w:sz w:val="32"/>
          <w:szCs w:val="32"/>
          <w:highlight w:val="none"/>
          <w:lang w:eastAsia="zh-CN"/>
        </w:rPr>
        <w:t>各项目具体</w:t>
      </w:r>
      <w:r>
        <w:rPr>
          <w:rFonts w:hint="eastAsia" w:ascii="仿宋_GB2312" w:hAnsi="Times New Roman" w:eastAsia="仿宋_GB2312" w:cs="Times New Roman"/>
          <w:sz w:val="32"/>
          <w:szCs w:val="32"/>
          <w:highlight w:val="none"/>
        </w:rPr>
        <w:t>情况制定了</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rPr>
        <w:t>支出绩效评价实施方案。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组织实施</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仿宋_GB2312" w:eastAsia="仿宋_GB2312" w:cs="仿宋_GB2312"/>
          <w:sz w:val="32"/>
          <w:szCs w:val="32"/>
        </w:rPr>
        <w:t>采用核查法核查</w:t>
      </w:r>
      <w:r>
        <w:rPr>
          <w:rFonts w:hint="eastAsia" w:ascii="仿宋_GB2312" w:hAnsi="仿宋_GB2312" w:cs="仿宋_GB2312"/>
          <w:sz w:val="32"/>
          <w:szCs w:val="32"/>
          <w:lang w:val="en-US" w:eastAsia="zh-CN"/>
        </w:rPr>
        <w:t>2021</w:t>
      </w:r>
      <w:r>
        <w:rPr>
          <w:rFonts w:hint="eastAsia" w:ascii="仿宋_GB2312" w:hAnsi="仿宋_GB2312" w:eastAsia="仿宋_GB2312" w:cs="仿宋_GB2312"/>
          <w:sz w:val="32"/>
          <w:szCs w:val="32"/>
        </w:rPr>
        <w:t>年财政预算批复执行及项目支出情况，着重核查了重点项目管理、内部控制</w:t>
      </w:r>
      <w:r>
        <w:rPr>
          <w:rFonts w:hint="eastAsia" w:ascii="仿宋_GB2312" w:hAnsi="仿宋_GB2312" w:cs="仿宋_GB2312"/>
          <w:sz w:val="32"/>
          <w:szCs w:val="32"/>
          <w:lang w:eastAsia="zh-CN"/>
        </w:rPr>
        <w:t>建设管理</w:t>
      </w:r>
      <w:r>
        <w:rPr>
          <w:rFonts w:hint="eastAsia" w:ascii="仿宋_GB2312" w:hAnsi="仿宋_GB2312" w:eastAsia="仿宋_GB2312" w:cs="仿宋_GB2312"/>
          <w:sz w:val="32"/>
          <w:szCs w:val="32"/>
        </w:rPr>
        <w:t>情况，对</w:t>
      </w:r>
      <w:r>
        <w:rPr>
          <w:rFonts w:hint="eastAsia" w:ascii="仿宋_GB2312" w:hAnsi="仿宋_GB2312" w:eastAsia="仿宋_GB2312" w:cs="仿宋_GB2312"/>
          <w:sz w:val="32"/>
          <w:szCs w:val="32"/>
          <w:lang w:eastAsia="zh-CN"/>
        </w:rPr>
        <w:t>园区各</w:t>
      </w:r>
      <w:r>
        <w:rPr>
          <w:rFonts w:hint="eastAsia" w:ascii="仿宋_GB2312" w:hAnsi="仿宋_GB2312" w:eastAsia="仿宋_GB2312" w:cs="仿宋_GB2312"/>
          <w:sz w:val="32"/>
          <w:szCs w:val="32"/>
        </w:rPr>
        <w:t>内设机构</w:t>
      </w:r>
      <w:r>
        <w:rPr>
          <w:rFonts w:hint="eastAsia" w:ascii="仿宋_GB2312" w:hAnsi="仿宋_GB2312" w:eastAsia="仿宋_GB2312" w:cs="仿宋_GB2312"/>
          <w:sz w:val="32"/>
          <w:szCs w:val="32"/>
          <w:lang w:eastAsia="zh-CN"/>
        </w:rPr>
        <w:t>及项目实施单位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和年初制定的绩效考核目标，进行了绩效考评。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分析评价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eastAsia" w:ascii="仿宋_GB2312" w:hAnsi="仿宋_GB2312" w:eastAsia="仿宋_GB2312" w:cs="仿宋_GB2312"/>
          <w:sz w:val="32"/>
          <w:szCs w:val="32"/>
        </w:rPr>
        <w:t>对评价过程中收集资料进行归纳，汇总分析，依据设定的项目支出绩效评价指标体系进行了评分，形成了综合性书面报告</w:t>
      </w:r>
      <w:r>
        <w:rPr>
          <w:rFonts w:hint="eastAsia" w:ascii="仿宋_GB2312" w:hAnsi="仿宋_GB2312" w:eastAsia="仿宋_GB2312" w:cs="仿宋_GB2312"/>
          <w:sz w:val="32"/>
          <w:szCs w:val="32"/>
          <w:lang w:eastAsia="zh-CN"/>
        </w:rPr>
        <w:t>及评分表</w:t>
      </w:r>
      <w:r>
        <w:rPr>
          <w:rFonts w:hint="eastAsia" w:ascii="仿宋_GB2312" w:hAnsi="仿宋_GB2312" w:eastAsia="仿宋_GB2312" w:cs="仿宋_GB2312"/>
          <w:sz w:val="32"/>
          <w:szCs w:val="32"/>
        </w:rPr>
        <w:t>。</w:t>
      </w:r>
    </w:p>
    <w:p>
      <w:pPr>
        <w:ind w:firstLine="594" w:firstLineChars="200"/>
        <w:rPr>
          <w:rFonts w:ascii="仿宋_GB2312"/>
          <w:b/>
          <w:szCs w:val="32"/>
          <w:highlight w:val="none"/>
        </w:rPr>
      </w:pPr>
      <w:r>
        <w:rPr>
          <w:rFonts w:hint="eastAsia" w:ascii="仿宋_GB2312"/>
          <w:b/>
          <w:szCs w:val="32"/>
          <w:highlight w:val="none"/>
        </w:rPr>
        <w:t>四、绩效评价指标分析情况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黑体" w:cs="Times New Roman"/>
          <w:szCs w:val="32"/>
          <w:lang w:eastAsia="zh-CN"/>
        </w:rPr>
      </w:pPr>
      <w:r>
        <w:rPr>
          <w:rFonts w:hint="eastAsia" w:ascii="楷体" w:hAnsi="楷体" w:eastAsia="楷体" w:cs="楷体"/>
          <w:sz w:val="32"/>
          <w:szCs w:val="32"/>
          <w:highlight w:val="none"/>
        </w:rPr>
        <w:t>（一）项目资金情况分析</w:t>
      </w:r>
    </w:p>
    <w:p>
      <w:pPr>
        <w:ind w:firstLine="594"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我单位已足额拨付了该项目资金</w:t>
      </w:r>
      <w:r>
        <w:rPr>
          <w:rFonts w:hint="eastAsia" w:ascii="仿宋_GB2312" w:hAnsi="仿宋_GB2312" w:cs="仿宋_GB2312"/>
          <w:szCs w:val="32"/>
          <w:lang w:val="en-US" w:eastAsia="zh-CN"/>
        </w:rPr>
        <w:t>3000.00</w:t>
      </w:r>
      <w:r>
        <w:rPr>
          <w:rFonts w:hint="default" w:ascii="Times New Roman" w:hAnsi="Times New Roman" w:eastAsia="仿宋_GB2312" w:cs="Times New Roman"/>
          <w:sz w:val="32"/>
          <w:szCs w:val="32"/>
          <w:highlight w:val="none"/>
          <w:lang w:val="en-US" w:eastAsia="zh-CN"/>
        </w:rPr>
        <w:t>万元至</w:t>
      </w: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有限公司，无滞留、挤占、挪用等违法乱纪情况，资金到位率100%。</w:t>
      </w:r>
      <w:r>
        <w:rPr>
          <w:rFonts w:hint="eastAsia" w:ascii="仿宋_GB2312" w:hAnsi="仿宋_GB2312" w:cs="仿宋_GB2312"/>
          <w:szCs w:val="32"/>
        </w:rPr>
        <w:t>截止2021年12月31日</w:t>
      </w:r>
      <w:bookmarkStart w:id="2" w:name="_GoBack"/>
      <w:bookmarkEnd w:id="2"/>
      <w:r>
        <w:rPr>
          <w:rFonts w:hint="eastAsia" w:ascii="仿宋_GB2312" w:hAnsi="仿宋_GB2312" w:cs="仿宋_GB2312"/>
          <w:szCs w:val="32"/>
        </w:rPr>
        <w:t>使用资金2867.29万元。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outlineLvl w:val="0"/>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昆明市智慧城市建设投资</w:t>
      </w:r>
      <w:r>
        <w:rPr>
          <w:rFonts w:hint="default" w:ascii="Times New Roman" w:hAnsi="Times New Roman" w:eastAsia="仿宋_GB2312" w:cs="Times New Roman"/>
          <w:sz w:val="32"/>
          <w:szCs w:val="32"/>
          <w:highlight w:val="none"/>
          <w:lang w:val="en-US" w:eastAsia="zh-CN"/>
        </w:rPr>
        <w:t>有限公司</w:t>
      </w:r>
      <w:r>
        <w:rPr>
          <w:rFonts w:hint="default" w:ascii="Times New Roman" w:hAnsi="Times New Roman" w:eastAsia="仿宋_GB2312" w:cs="Times New Roman"/>
          <w:sz w:val="32"/>
          <w:szCs w:val="32"/>
          <w:highlight w:val="none"/>
        </w:rPr>
        <w:t>对该项目资金的拨付有完整的审批程序和手续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项目的重大开支</w:t>
      </w:r>
      <w:r>
        <w:rPr>
          <w:rFonts w:hint="default"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经过集体决策</w:t>
      </w:r>
      <w:r>
        <w:rPr>
          <w:rFonts w:hint="default" w:ascii="Times New Roman" w:hAnsi="Times New Roman" w:eastAsia="仿宋_GB2312" w:cs="Times New Roman"/>
          <w:sz w:val="32"/>
          <w:szCs w:val="32"/>
          <w:highlight w:val="none"/>
          <w:lang w:eastAsia="zh-CN"/>
        </w:rPr>
        <w:t>审批</w:t>
      </w:r>
      <w:r>
        <w:rPr>
          <w:rFonts w:hint="default" w:ascii="Times New Roman" w:hAnsi="Times New Roman" w:eastAsia="仿宋_GB2312" w:cs="Times New Roman"/>
          <w:sz w:val="32"/>
          <w:szCs w:val="32"/>
          <w:highlight w:val="none"/>
        </w:rPr>
        <w:t>。该项目实施过程中，除执行国家和地方相关法律、法规和制度外，根据需要制定了相关资金管理办法，且制度执行严格，项目会计核算规范。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楷体_GB2312" w:hAnsi="楷体_GB2312" w:eastAsia="楷体_GB2312" w:cs="楷体_GB2312"/>
          <w:szCs w:val="32"/>
          <w:highlight w:val="none"/>
          <w:lang w:eastAsia="zh-CN"/>
        </w:rPr>
      </w:pPr>
      <w:r>
        <w:rPr>
          <w:rFonts w:hint="eastAsia" w:ascii="楷体_GB2312" w:hAnsi="楷体_GB2312" w:eastAsia="楷体_GB2312" w:cs="楷体_GB2312"/>
          <w:szCs w:val="32"/>
          <w:highlight w:val="none"/>
          <w:lang w:eastAsia="zh-CN"/>
        </w:rPr>
        <w:t>（二）</w:t>
      </w:r>
      <w:r>
        <w:rPr>
          <w:rFonts w:hint="eastAsia" w:ascii="楷体_GB2312" w:hAnsi="楷体_GB2312" w:eastAsia="楷体_GB2312" w:cs="楷体_GB2312"/>
          <w:szCs w:val="32"/>
          <w:highlight w:val="none"/>
        </w:rPr>
        <w:t>项目实施情况分析</w:t>
      </w:r>
      <w:r>
        <w:rPr>
          <w:rFonts w:hint="eastAsia" w:ascii="楷体_GB2312" w:hAnsi="楷体_GB2312" w:eastAsia="楷体_GB2312" w:cs="楷体_GB2312"/>
          <w:szCs w:val="32"/>
          <w:highlight w:val="none"/>
          <w:lang w:eastAsia="zh-CN"/>
        </w:rPr>
        <w:t>。</w:t>
      </w:r>
    </w:p>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hint="eastAsia" w:ascii="黑体" w:eastAsia="黑体"/>
          <w:szCs w:val="32"/>
        </w:rPr>
      </w:pPr>
      <w:r>
        <w:rPr>
          <w:rFonts w:hint="eastAsia" w:ascii="仿宋_GB2312" w:hAnsi="仿宋_GB2312" w:cs="仿宋_GB2312"/>
          <w:szCs w:val="32"/>
          <w:lang w:val="en-US" w:eastAsia="zh-CN"/>
        </w:rPr>
        <w:t>截止2021年12月31日，已</w:t>
      </w:r>
      <w:r>
        <w:rPr>
          <w:rFonts w:hint="eastAsia" w:ascii="仿宋_GB2312" w:hAnsi="仿宋_GB2312" w:cs="仿宋_GB2312"/>
          <w:szCs w:val="32"/>
        </w:rPr>
        <w:t>完成</w:t>
      </w:r>
      <w:r>
        <w:rPr>
          <w:rFonts w:hint="eastAsia" w:ascii="仿宋_GB2312" w:hAnsi="仿宋_GB2312" w:cs="仿宋_GB2312"/>
          <w:szCs w:val="32"/>
          <w:lang w:eastAsia="zh-CN"/>
        </w:rPr>
        <w:t>了</w:t>
      </w:r>
      <w:r>
        <w:rPr>
          <w:rFonts w:hint="eastAsia" w:ascii="仿宋_GB2312" w:hAnsi="仿宋_GB2312" w:cs="仿宋_GB2312"/>
          <w:szCs w:val="32"/>
        </w:rPr>
        <w:t>园区一期进场道路设施提升改造项目已完成园区内兴园路、智慧路及信息路全部绿化工程施工，完成道路破损处修复、路缘石及人行道板更换铺筑，完成园区入口处公园绿化工作，完成园区入口处边坡字体安装及绿化施工及交安设施安装等全部施工工作。</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594" w:firstLineChars="200"/>
        <w:textAlignment w:val="auto"/>
        <w:outlineLvl w:val="0"/>
        <w:rPr>
          <w:rFonts w:ascii="仿宋_GB2312"/>
          <w:szCs w:val="32"/>
        </w:rPr>
      </w:pPr>
      <w:r>
        <w:rPr>
          <w:rFonts w:hint="eastAsia" w:ascii="楷体" w:hAnsi="楷体" w:eastAsia="楷体" w:cs="楷体"/>
          <w:sz w:val="32"/>
          <w:szCs w:val="32"/>
        </w:rPr>
        <w:t>项目绩效情况分析</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项目经济性分析</w:t>
      </w:r>
    </w:p>
    <w:p>
      <w:pPr>
        <w:keepNext w:val="0"/>
        <w:keepLines w:val="0"/>
        <w:pageBreakBefore w:val="0"/>
        <w:widowControl w:val="0"/>
        <w:kinsoku/>
        <w:wordWrap/>
        <w:overflowPunct/>
        <w:topLine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采用公开招标的方式选聘施工、勘察、设计、监理、造价单位，实施过程中在满足法律法规及合同要求的进度、质量及安全等前提要求下，本着勤俭节约的原则对成本进行控制，引导项目各项经济活动按预定轨道运行，确保实施过程科学、规范、高效、受控。对项目建设过程中的各项资金支出，积极与施工、造价、监理等单位对接，优化调整建设方案，减少不必要支出，发挥了项目预算资金的经济效益及社会效益。</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lang w:eastAsia="zh-CN"/>
        </w:rPr>
        <w:t>项目效率性分析</w:t>
      </w:r>
    </w:p>
    <w:p>
      <w:pPr>
        <w:keepNext w:val="0"/>
        <w:keepLines w:val="0"/>
        <w:pageBreakBefore w:val="0"/>
        <w:widowControl w:val="0"/>
        <w:kinsoku/>
        <w:wordWrap/>
        <w:overflow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项目已取得呈贡区发展和改革局下发的《关于昆明呈贡信息产业园区一期进场道路设施提升改造工程可行性研究报告的批复》</w:t>
      </w:r>
      <w:r>
        <w:rPr>
          <w:rFonts w:hint="eastAsia" w:ascii="仿宋_GB2312" w:hAnsi="仿宋_GB2312" w:cs="仿宋_GB2312"/>
          <w:szCs w:val="32"/>
          <w:shd w:val="clear" w:color="auto" w:fill="FFFFFF"/>
        </w:rPr>
        <w:t>，</w:t>
      </w:r>
      <w:r>
        <w:rPr>
          <w:rFonts w:hint="eastAsia" w:ascii="仿宋_GB2312" w:hAnsi="仿宋_GB2312" w:cs="仿宋_GB2312"/>
          <w:szCs w:val="32"/>
        </w:rPr>
        <w:t>正在同步开展施工、监理、造价单位招标工作，</w:t>
      </w:r>
      <w:r>
        <w:rPr>
          <w:rFonts w:hint="eastAsia" w:ascii="仿宋_GB2312" w:hAnsi="仿宋_GB2312" w:cs="仿宋_GB2312"/>
          <w:szCs w:val="32"/>
          <w:shd w:val="clear" w:color="auto" w:fill="FFFFFF"/>
        </w:rPr>
        <w:t>为有效开展后续工程建设投资、进度、质量控制管理奠定了良好的基础，确保了项目建设的时效性、经济性及规范性。</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3.</w:t>
      </w:r>
      <w:r>
        <w:rPr>
          <w:rFonts w:hint="eastAsia" w:ascii="楷体_GB2312" w:hAnsi="楷体_GB2312" w:eastAsia="楷体_GB2312" w:cs="楷体_GB2312"/>
          <w:szCs w:val="32"/>
          <w:lang w:eastAsia="zh-CN"/>
        </w:rPr>
        <w:t>项目有效性分析</w:t>
      </w:r>
    </w:p>
    <w:p>
      <w:pPr>
        <w:keepNext w:val="0"/>
        <w:keepLines w:val="0"/>
        <w:pageBreakBefore w:val="0"/>
        <w:widowControl w:val="0"/>
        <w:kinsoku/>
        <w:wordWrap/>
        <w:overflowPunct/>
        <w:topLine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项目的资金使用，保证了相关前期行政审批手续的办理，确保了施工准备工作的顺利开展，为后续工程建设奠定了切实有效的强力基础。</w:t>
      </w:r>
      <w:r>
        <w:rPr>
          <w:rFonts w:ascii="仿宋_GB2312" w:hAnsi="仿宋_GB2312" w:cs="仿宋_GB2312"/>
          <w:szCs w:val="32"/>
        </w:rPr>
        <w:t xml:space="preserve"> </w:t>
      </w:r>
    </w:p>
    <w:p>
      <w:pPr>
        <w:pStyle w:val="10"/>
        <w:keepNext w:val="0"/>
        <w:keepLines w:val="0"/>
        <w:pageBreakBefore w:val="0"/>
        <w:widowControl w:val="0"/>
        <w:numPr>
          <w:ilvl w:val="0"/>
          <w:numId w:val="0"/>
        </w:numPr>
        <w:kinsoku/>
        <w:wordWrap/>
        <w:overflowPunct/>
        <w:autoSpaceDE/>
        <w:autoSpaceDN/>
        <w:bidi w:val="0"/>
        <w:adjustRightInd/>
        <w:snapToGrid/>
        <w:spacing w:line="580" w:lineRule="exact"/>
        <w:ind w:left="596" w:leftChars="0"/>
        <w:jc w:val="both"/>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val="en-US" w:eastAsia="zh-CN"/>
        </w:rPr>
        <w:t>4.</w:t>
      </w:r>
      <w:r>
        <w:rPr>
          <w:rFonts w:hint="eastAsia" w:ascii="楷体_GB2312" w:hAnsi="楷体_GB2312" w:eastAsia="楷体_GB2312" w:cs="楷体_GB2312"/>
          <w:szCs w:val="32"/>
          <w:lang w:eastAsia="zh-CN"/>
        </w:rPr>
        <w:t>项目可持续性分析</w:t>
      </w:r>
    </w:p>
    <w:p>
      <w:pPr>
        <w:keepNext w:val="0"/>
        <w:keepLines w:val="0"/>
        <w:pageBreakBefore w:val="0"/>
        <w:widowControl w:val="0"/>
        <w:kinsoku/>
        <w:wordWrap/>
        <w:overflowPunct/>
        <w:topLinePunct/>
        <w:autoSpaceDE/>
        <w:autoSpaceDN/>
        <w:bidi w:val="0"/>
        <w:adjustRightInd/>
        <w:snapToGrid/>
        <w:spacing w:line="580" w:lineRule="exact"/>
        <w:ind w:firstLine="594" w:firstLineChars="200"/>
        <w:jc w:val="both"/>
        <w:textAlignment w:val="auto"/>
        <w:rPr>
          <w:rFonts w:ascii="仿宋_GB2312" w:hAnsi="仿宋_GB2312" w:cs="仿宋_GB2312"/>
          <w:szCs w:val="32"/>
        </w:rPr>
      </w:pPr>
      <w:r>
        <w:rPr>
          <w:rFonts w:hint="eastAsia" w:ascii="仿宋_GB2312" w:hAnsi="仿宋_GB2312" w:cs="仿宋_GB2312"/>
          <w:szCs w:val="32"/>
        </w:rPr>
        <w:t>项目可研报告中充分考虑生态环境影响因素，道路设计按照昆明市海绵城市等建设标准，合理利用现有资源，避免污染及浪费，降低后期运营、维护费用。项目的建设将显著提升园区路网功能，美观园区整体环境，改善交通状况，为园区后期招商引资工作奠定良好基础。</w:t>
      </w:r>
    </w:p>
    <w:p>
      <w:pPr>
        <w:numPr>
          <w:ilvl w:val="0"/>
          <w:numId w:val="4"/>
        </w:numPr>
        <w:ind w:firstLine="594" w:firstLineChars="200"/>
        <w:rPr>
          <w:rFonts w:hint="eastAsia"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综合各指标评价之后，该项目绩效评价结果为“</w:t>
      </w:r>
      <w:r>
        <w:rPr>
          <w:rFonts w:hint="eastAsia" w:ascii="仿宋_GB2312" w:hAnsi="仿宋_GB2312" w:cs="仿宋_GB2312"/>
          <w:sz w:val="32"/>
          <w:szCs w:val="32"/>
          <w:lang w:val="en-US" w:eastAsia="zh-CN"/>
        </w:rPr>
        <w:t>优</w:t>
      </w:r>
      <w:r>
        <w:rPr>
          <w:rFonts w:hint="eastAsia" w:ascii="仿宋_GB2312" w:hAnsi="仿宋_GB2312" w:eastAsia="仿宋_GB2312" w:cs="仿宋_GB2312"/>
          <w:sz w:val="32"/>
          <w:szCs w:val="32"/>
          <w:lang w:val="en-US" w:eastAsia="zh-CN"/>
        </w:rPr>
        <w:t>”，评分表见下表附表</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p>
    <w:p>
      <w:pPr>
        <w:spacing w:line="600" w:lineRule="exact"/>
        <w:rPr>
          <w:rFonts w:hint="eastAsia" w:ascii="黑体" w:eastAsia="黑体"/>
          <w:szCs w:val="32"/>
        </w:rPr>
      </w:pPr>
      <w:r>
        <w:rPr>
          <w:rFonts w:hint="eastAsia" w:ascii="黑体" w:eastAsia="黑体"/>
          <w:szCs w:val="32"/>
        </w:rPr>
        <w:t>附件</w:t>
      </w:r>
      <w:r>
        <w:rPr>
          <w:rFonts w:hint="eastAsia" w:ascii="黑体" w:eastAsia="黑体"/>
          <w:szCs w:val="32"/>
          <w:lang w:val="en-US" w:eastAsia="zh-CN"/>
        </w:rPr>
        <w:t>3</w:t>
      </w:r>
      <w:r>
        <w:rPr>
          <w:rFonts w:hint="eastAsia" w:ascii="黑体" w:eastAsia="黑体"/>
          <w:szCs w:val="32"/>
        </w:rPr>
        <w:t>：</w:t>
      </w:r>
    </w:p>
    <w:tbl>
      <w:tblPr>
        <w:tblStyle w:val="3"/>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2775"/>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9"/>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24"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75"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lang w:val="en-US" w:eastAsia="zh-CN"/>
              </w:rPr>
              <w:t>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4</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2</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lang w:val="en-US" w:eastAsia="zh-CN"/>
              </w:rPr>
              <w:t>6</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hint="eastAsia" w:ascii="仿宋_GB2312" w:hAnsi="宋体" w:cs="宋体"/>
                <w:kern w:val="0"/>
                <w:sz w:val="21"/>
                <w:szCs w:val="21"/>
                <w:lang w:val="en-US" w:eastAsia="zh-CN"/>
              </w:rPr>
              <w:t>3</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hint="eastAsia" w:ascii="仿宋_GB2312" w:hAnsi="宋体" w:cs="宋体"/>
                <w:kern w:val="0"/>
                <w:sz w:val="21"/>
                <w:szCs w:val="21"/>
                <w:lang w:val="en-US" w:eastAsia="zh-CN"/>
              </w:rPr>
              <w:t>2</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1</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206"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hint="eastAsia" w:ascii="仿宋_GB2312" w:hAnsi="宋体" w:cs="宋体"/>
                <w:kern w:val="0"/>
                <w:sz w:val="21"/>
                <w:szCs w:val="21"/>
                <w:lang w:val="en-US" w:eastAsia="zh-CN"/>
              </w:rPr>
              <w:t xml:space="preserve"> </w:t>
            </w:r>
            <w:r>
              <w:rPr>
                <w:rFonts w:ascii="仿宋_GB2312" w:hAnsi="宋体" w:cs="宋体"/>
                <w:kern w:val="0"/>
                <w:sz w:val="21"/>
                <w:szCs w:val="21"/>
              </w:rPr>
              <w:t>(</w:t>
            </w:r>
            <w:r>
              <w:rPr>
                <w:rFonts w:hint="eastAsia" w:ascii="仿宋_GB2312" w:hAnsi="宋体" w:cs="宋体"/>
                <w:kern w:val="0"/>
                <w:sz w:val="21"/>
                <w:szCs w:val="21"/>
                <w:lang w:val="en-US" w:eastAsia="zh-CN"/>
              </w:rPr>
              <w:t>60</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lang w:val="en-US" w:eastAsia="zh-CN"/>
              </w:rPr>
              <w:t>20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5</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3</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hint="eastAsia" w:ascii="仿宋_GB2312" w:hAnsi="宋体" w:cs="宋体"/>
                <w:kern w:val="0"/>
                <w:sz w:val="21"/>
                <w:szCs w:val="21"/>
                <w:lang w:val="en-US" w:eastAsia="zh-CN"/>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18" w:type="dxa"/>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83"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90</w:t>
            </w:r>
          </w:p>
        </w:tc>
        <w:tc>
          <w:tcPr>
            <w:tcW w:w="2775"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left="0" w:leftChars="0" w:firstLine="594" w:firstLineChars="200"/>
        <w:rPr>
          <w:rFonts w:hint="eastAsia" w:ascii="仿宋_GB2312"/>
          <w:b/>
          <w:szCs w:val="32"/>
        </w:rPr>
      </w:pPr>
      <w:r>
        <w:rPr>
          <w:rFonts w:hint="eastAsia" w:ascii="仿宋_GB2312"/>
          <w:b/>
          <w:szCs w:val="32"/>
        </w:rPr>
        <w:t>绩效评价结果应用建议</w:t>
      </w:r>
      <w:r>
        <w:rPr>
          <w:rFonts w:hint="eastAsia" w:ascii="仿宋_GB2312"/>
          <w:bCs/>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结合20</w:t>
      </w:r>
      <w:r>
        <w:rPr>
          <w:rFonts w:hint="eastAsia" w:ascii="仿宋_GB2312" w:hAnsi="仿宋_GB2312" w:cs="仿宋_GB2312"/>
          <w:b w:val="0"/>
          <w:bCs/>
          <w:sz w:val="32"/>
          <w:szCs w:val="32"/>
          <w:lang w:val="en-US" w:eastAsia="zh-CN"/>
        </w:rPr>
        <w:t>21</w:t>
      </w:r>
      <w:r>
        <w:rPr>
          <w:rFonts w:hint="eastAsia" w:ascii="仿宋_GB2312" w:hAnsi="仿宋_GB2312" w:eastAsia="仿宋_GB2312" w:cs="仿宋_GB2312"/>
          <w:b w:val="0"/>
          <w:bCs/>
          <w:sz w:val="32"/>
          <w:szCs w:val="32"/>
        </w:rPr>
        <w:t>年度及以前年度绩效评价结果经验，对于以后的年度预算安排应该更合理科学，完善项目支出预算编制方法，合理利用财政资金，提高财政资金使用效率和效益。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rPr>
      </w:pPr>
      <w:r>
        <w:rPr>
          <w:rFonts w:hint="eastAsia" w:ascii="仿宋_GB2312" w:hAnsi="仿宋_GB2312" w:eastAsia="仿宋_GB2312" w:cs="仿宋_GB2312"/>
          <w:b w:val="0"/>
          <w:bCs/>
          <w:sz w:val="32"/>
          <w:szCs w:val="32"/>
        </w:rPr>
        <w:t>对于年度项目支出绩效评价结果，应完善公开体系，便于社会公众查询、监督和建议。</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eastAsia="仿宋_GB2312" w:asciiTheme="majorHAnsi" w:hAnsiTheme="majorHAnsi" w:cstheme="majorBidi"/>
          <w:bCs/>
          <w:kern w:val="2"/>
          <w:sz w:val="32"/>
          <w:szCs w:val="32"/>
          <w:lang w:val="en-US" w:eastAsia="zh-CN" w:bidi="ar-SA"/>
        </w:rPr>
      </w:pPr>
      <w:r>
        <w:rPr>
          <w:rFonts w:hint="eastAsia" w:ascii="仿宋_GB2312"/>
          <w:b/>
          <w:szCs w:val="32"/>
          <w:lang w:eastAsia="zh-CN"/>
        </w:rPr>
        <w:t>七、</w:t>
      </w:r>
      <w:r>
        <w:rPr>
          <w:rFonts w:hint="eastAsia" w:ascii="仿宋_GB2312"/>
          <w:b/>
          <w:szCs w:val="32"/>
        </w:rPr>
        <w:t>主要经验及做法、存在的问题和建议</w:t>
      </w:r>
      <w:r>
        <w:rPr>
          <w:rFonts w:hint="eastAsia" w:ascii="仿宋_GB2312"/>
          <w:b/>
          <w:szCs w:val="32"/>
          <w:lang w:eastAsia="zh-CN"/>
        </w:rPr>
        <w:t>。</w:t>
      </w:r>
      <w:bookmarkStart w:id="1" w:name="_Toc30514902"/>
    </w:p>
    <w:bookmarkEnd w:id="1"/>
    <w:p>
      <w:pPr>
        <w:numPr>
          <w:ilvl w:val="0"/>
          <w:numId w:val="0"/>
        </w:numPr>
        <w:ind w:firstLine="594" w:firstLineChars="200"/>
        <w:rPr>
          <w:rFonts w:hint="eastAsia" w:ascii="仿宋_GB2312"/>
          <w:b/>
          <w:szCs w:val="32"/>
        </w:rPr>
      </w:pPr>
      <w:r>
        <w:rPr>
          <w:rFonts w:hint="eastAsia" w:ascii="仿宋_GB2312"/>
          <w:szCs w:val="32"/>
        </w:rPr>
        <w:t>项目资金管理根据相关文件、合同的内容，制订了完善、规范的资金管理办法，并根据付款条件及时拨付了资金，有效的支撑了信息园区基础设施建设。今后在后续的工作中也将继续保持积极认真的工作态度，保障项目高质量按期完成。</w:t>
      </w:r>
    </w:p>
    <w:p>
      <w:pPr>
        <w:numPr>
          <w:ilvl w:val="0"/>
          <w:numId w:val="0"/>
        </w:numPr>
        <w:ind w:leftChars="200"/>
        <w:rPr>
          <w:rFonts w:hint="eastAsia" w:ascii="仿宋_GB2312"/>
          <w:b/>
          <w:szCs w:val="32"/>
        </w:rPr>
      </w:pPr>
      <w:r>
        <w:rPr>
          <w:rFonts w:hint="eastAsia" w:ascii="仿宋_GB2312"/>
          <w:b/>
          <w:szCs w:val="32"/>
          <w:lang w:eastAsia="zh-CN"/>
        </w:rPr>
        <w:t>八、</w:t>
      </w:r>
      <w:r>
        <w:rPr>
          <w:rFonts w:hint="eastAsia" w:ascii="仿宋_GB2312"/>
          <w:b/>
          <w:szCs w:val="32"/>
        </w:rPr>
        <w:t>其他需说明的问题。</w:t>
      </w:r>
    </w:p>
    <w:p>
      <w:pPr>
        <w:numPr>
          <w:ilvl w:val="0"/>
          <w:numId w:val="0"/>
        </w:numPr>
        <w:ind w:leftChars="200"/>
        <w:rPr>
          <w:rFonts w:hint="eastAsia" w:ascii="仿宋_GB2312" w:eastAsia="仿宋_GB2312"/>
          <w:b w:val="0"/>
          <w:bCs/>
          <w:szCs w:val="32"/>
          <w:lang w:eastAsia="zh-CN"/>
        </w:rPr>
      </w:pPr>
      <w:r>
        <w:rPr>
          <w:rFonts w:hint="eastAsia" w:ascii="仿宋_GB2312"/>
          <w:b w:val="0"/>
          <w:bCs/>
          <w:szCs w:val="32"/>
          <w:lang w:eastAsia="zh-CN"/>
        </w:rPr>
        <w:t>无。</w:t>
      </w:r>
    </w:p>
    <w:p>
      <w:pPr>
        <w:pageBreakBefore w:val="0"/>
        <w:widowControl w:val="0"/>
        <w:kinsoku/>
        <w:wordWrap/>
        <w:overflowPunct/>
        <w:autoSpaceDE/>
        <w:autoSpaceDN/>
        <w:bidi w:val="0"/>
        <w:adjustRightInd/>
        <w:snapToGrid/>
        <w:spacing w:line="560" w:lineRule="exact"/>
        <w:jc w:val="both"/>
        <w:textAlignment w:val="auto"/>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4FD0"/>
    <w:rsid w:val="000C61DD"/>
    <w:rsid w:val="00225503"/>
    <w:rsid w:val="00292960"/>
    <w:rsid w:val="0032382D"/>
    <w:rsid w:val="0049685E"/>
    <w:rsid w:val="004F21F0"/>
    <w:rsid w:val="005C2861"/>
    <w:rsid w:val="005C6C18"/>
    <w:rsid w:val="006D0E2A"/>
    <w:rsid w:val="006F3A74"/>
    <w:rsid w:val="008A3BA8"/>
    <w:rsid w:val="00902A69"/>
    <w:rsid w:val="00952AB4"/>
    <w:rsid w:val="009C2F5B"/>
    <w:rsid w:val="009E4ECF"/>
    <w:rsid w:val="009F1C47"/>
    <w:rsid w:val="00A31A0E"/>
    <w:rsid w:val="00A50CDE"/>
    <w:rsid w:val="00AF7BA5"/>
    <w:rsid w:val="00B94C43"/>
    <w:rsid w:val="00D324B7"/>
    <w:rsid w:val="00D66252"/>
    <w:rsid w:val="00E43427"/>
    <w:rsid w:val="00FF2429"/>
    <w:rsid w:val="02FB2AB8"/>
    <w:rsid w:val="05AE36CA"/>
    <w:rsid w:val="06525C14"/>
    <w:rsid w:val="08563735"/>
    <w:rsid w:val="0D00098C"/>
    <w:rsid w:val="0D491A00"/>
    <w:rsid w:val="0F4F7876"/>
    <w:rsid w:val="17666E8F"/>
    <w:rsid w:val="177C1352"/>
    <w:rsid w:val="198F4B69"/>
    <w:rsid w:val="1C2F476E"/>
    <w:rsid w:val="22B90AA8"/>
    <w:rsid w:val="252F7B2C"/>
    <w:rsid w:val="26FA32E8"/>
    <w:rsid w:val="291D06AC"/>
    <w:rsid w:val="2A957D1D"/>
    <w:rsid w:val="2F7F108C"/>
    <w:rsid w:val="34BA06A5"/>
    <w:rsid w:val="378A5996"/>
    <w:rsid w:val="3AA426C0"/>
    <w:rsid w:val="4181566C"/>
    <w:rsid w:val="51C05EE5"/>
    <w:rsid w:val="5A3C6978"/>
    <w:rsid w:val="67600811"/>
    <w:rsid w:val="6DD56D9C"/>
    <w:rsid w:val="6E710353"/>
    <w:rsid w:val="70504C99"/>
    <w:rsid w:val="789D155E"/>
    <w:rsid w:val="7B6F2E8B"/>
    <w:rsid w:val="7F48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kern w:val="0"/>
      <w:sz w:val="32"/>
      <w:szCs w:val="20"/>
      <w:lang w:val="en-GB"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正文"/>
    <w:basedOn w:val="1"/>
    <w:link w:val="7"/>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7">
    <w:name w:val="*正文 Char"/>
    <w:link w:val="6"/>
    <w:qFormat/>
    <w:uiPriority w:val="0"/>
    <w:rPr>
      <w:rFonts w:ascii="宋体" w:hAnsi="宋体" w:eastAsia="宋体" w:cs="Times New Roman"/>
      <w:snapToGrid w:val="0"/>
      <w:kern w:val="2"/>
      <w:sz w:val="24"/>
      <w:szCs w:val="21"/>
      <w:lang w:val="zh-CN"/>
    </w:rPr>
  </w:style>
  <w:style w:type="paragraph" w:customStyle="1" w:styleId="8">
    <w:name w:val="列出段落1"/>
    <w:unhideWhenUsed/>
    <w:qFormat/>
    <w:uiPriority w:val="34"/>
    <w:pPr>
      <w:spacing w:beforeLines="0" w:afterLines="0"/>
      <w:ind w:firstLine="420" w:firstLineChars="200"/>
    </w:pPr>
    <w:rPr>
      <w:rFonts w:hint="default" w:ascii="Times New Roman" w:hAnsi="Times New Roman" w:eastAsia="宋体" w:cs="Times New Roman"/>
      <w:sz w:val="24"/>
    </w:rPr>
  </w:style>
  <w:style w:type="paragraph" w:customStyle="1" w:styleId="9">
    <w:name w:val="BodyText"/>
    <w:basedOn w:val="1"/>
    <w:qFormat/>
    <w:uiPriority w:val="0"/>
    <w:pPr>
      <w:spacing w:after="120"/>
      <w:textAlignment w:val="baseline"/>
    </w:p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Words>
  <Characters>1536</Characters>
  <Lines>12</Lines>
  <Paragraphs>3</Paragraphs>
  <TotalTime>3</TotalTime>
  <ScaleCrop>false</ScaleCrop>
  <LinksUpToDate>false</LinksUpToDate>
  <CharactersWithSpaces>1802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Dell</cp:lastModifiedBy>
  <cp:lastPrinted>2020-03-17T03:50:00Z</cp:lastPrinted>
  <dcterms:modified xsi:type="dcterms:W3CDTF">2022-10-14T02:07:16Z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1068E6457FD04A8683B0B7F5D14B0FC0</vt:lpwstr>
  </property>
</Properties>
</file>