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9</w:t>
      </w:r>
      <w:r>
        <w:rPr>
          <w:rFonts w:hint="eastAsia" w:ascii="仿宋_GB2312" w:hAnsi="华文中宋"/>
          <w:bCs/>
          <w:szCs w:val="32"/>
        </w:rPr>
        <w:t>:</w:t>
      </w:r>
    </w:p>
    <w:p>
      <w:pPr>
        <w:rPr>
          <w:rFonts w:ascii="黑体" w:eastAsia="黑体"/>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孵化中心运营管理费项目支出</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val="en-US" w:eastAsia="zh-CN"/>
        </w:rPr>
        <w:t>自评</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widowControl/>
        <w:spacing w:line="560" w:lineRule="exact"/>
        <w:ind w:firstLine="594" w:firstLineChars="200"/>
        <w:jc w:val="left"/>
        <w:rPr>
          <w:rFonts w:ascii="仿宋_GB2312" w:hAnsi="仿宋_GB2312" w:cs="仿宋_GB2312"/>
          <w:szCs w:val="32"/>
        </w:rPr>
      </w:pPr>
      <w:bookmarkStart w:id="0" w:name="_Toc30514894"/>
      <w:r>
        <w:rPr>
          <w:rFonts w:hint="eastAsia" w:ascii="仿宋_GB2312" w:hAnsi="仿宋_GB2312" w:cs="仿宋_GB2312"/>
          <w:szCs w:val="32"/>
        </w:rPr>
        <w:t>为入驻孵化中心企业提供优质高效的服务（如：政策咨询、工商代办、园区通勤车、网络宽带、会务接待等）。根据入孵企业需求，为企业提供政策宣讲，协助申报资质，获得资金扶持及项目扶持；会议培训中心已投入使用；为保证员工出行，已开通园区通勤车；为企业解决网络宽带问题。</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根据《昆明市人民政府关于印发加快构建大众创业万众创新支撑平台的若干政策的通知》要求，引导和扶持昆明市小企业创业基地的健康发展，每年组织培育认定一批具有独立法人资格，处于初创阶段的小企业或创业项目为宗旨，提供公共设施与配套服务，具备孵化与培育企业功能，具有组织各类中介服务机构为入驻企业提供信息、培训、技术、人才、代理、咨询等服务能力的小企业创业基地。</w:t>
      </w:r>
    </w:p>
    <w:p>
      <w:pPr>
        <w:keepNext/>
        <w:keepLines/>
        <w:numPr>
          <w:ilvl w:val="0"/>
          <w:numId w:val="2"/>
        </w:numPr>
        <w:spacing w:line="560" w:lineRule="exact"/>
        <w:ind w:firstLine="594" w:firstLineChars="200"/>
        <w:jc w:val="left"/>
        <w:outlineLvl w:val="1"/>
        <w:rPr>
          <w:rFonts w:ascii="仿宋_GB2312" w:eastAsia="楷体" w:hAnsiTheme="majorHAnsi" w:cstheme="majorBidi"/>
          <w:bCs/>
          <w:szCs w:val="32"/>
        </w:rPr>
      </w:pPr>
      <w:r>
        <w:rPr>
          <w:rFonts w:hint="eastAsia" w:ascii="仿宋_GB2312" w:eastAsia="楷体" w:hAnsiTheme="majorHAnsi" w:cstheme="majorBidi"/>
          <w:bCs/>
          <w:szCs w:val="32"/>
        </w:rPr>
        <w:t>项目绩效目标。</w:t>
      </w:r>
    </w:p>
    <w:bookmarkEnd w:id="0"/>
    <w:p>
      <w:pPr>
        <w:spacing w:line="540" w:lineRule="exact"/>
        <w:ind w:firstLine="594" w:firstLineChars="200"/>
        <w:rPr>
          <w:rFonts w:ascii="仿宋_GB2312" w:hAnsi="仿宋_GB2312" w:cs="仿宋_GB2312"/>
          <w:szCs w:val="32"/>
          <w:highlight w:val="none"/>
        </w:rPr>
      </w:pPr>
      <w:r>
        <w:rPr>
          <w:rFonts w:hint="eastAsia" w:ascii="仿宋_GB2312" w:hAnsi="仿宋_GB2312" w:cs="仿宋_GB2312"/>
          <w:szCs w:val="32"/>
        </w:rPr>
        <w:t>提高园区基础设施配套及服务配套，搭建创新创业企业服务平台，为孵化中心入驻企业提供通勤车、食堂、网络、法律、金融等服务，使企业在园区获得高品质、低成本的优质发展，</w:t>
      </w:r>
      <w:r>
        <w:rPr>
          <w:rFonts w:hint="eastAsia" w:ascii="仿宋_GB2312" w:hAnsi="仿宋_GB2312" w:cs="仿宋_GB2312"/>
          <w:szCs w:val="32"/>
          <w:highlight w:val="none"/>
        </w:rPr>
        <w:t>累计带动就业人数达450人。</w:t>
      </w:r>
    </w:p>
    <w:p>
      <w:pPr>
        <w:ind w:left="594" w:leftChars="200"/>
        <w:rPr>
          <w:rFonts w:ascii="黑体" w:hAnsi="黑体" w:eastAsia="黑体" w:cs="黑体"/>
          <w:bCs/>
          <w:szCs w:val="32"/>
        </w:rPr>
      </w:pPr>
      <w:r>
        <w:rPr>
          <w:rFonts w:hint="eastAsia" w:ascii="黑体" w:hAnsi="黑体" w:eastAsia="黑体" w:cs="黑体"/>
          <w:bCs/>
          <w:szCs w:val="32"/>
        </w:rPr>
        <w:t>二、项目单位绩效报告情况。</w:t>
      </w:r>
    </w:p>
    <w:p>
      <w:pPr>
        <w:spacing w:line="560" w:lineRule="exact"/>
        <w:ind w:firstLine="594" w:firstLineChars="200"/>
        <w:rPr>
          <w:rFonts w:ascii="仿宋_GB2312"/>
          <w:b/>
          <w:szCs w:val="32"/>
        </w:rPr>
      </w:pPr>
      <w:r>
        <w:rPr>
          <w:rFonts w:hint="eastAsia" w:ascii="仿宋_GB2312" w:hAnsi="仿宋_GB2312" w:cs="仿宋_GB2312"/>
          <w:szCs w:val="32"/>
        </w:rPr>
        <w:t>该项目实施单位为</w:t>
      </w:r>
      <w:r>
        <w:rPr>
          <w:rFonts w:hint="eastAsia" w:ascii="仿宋_GB2312" w:hAnsi="Times New Roman" w:cs="Times New Roman"/>
          <w:szCs w:val="32"/>
        </w:rPr>
        <w:t>昆明市智慧城市建设投资有限公司</w:t>
      </w:r>
      <w:r>
        <w:rPr>
          <w:rFonts w:hint="eastAsia" w:ascii="仿宋_GB2312" w:hAnsi="仿宋_GB2312" w:cs="仿宋_GB2312"/>
          <w:szCs w:val="32"/>
        </w:rPr>
        <w:t>，已按要求按时充分向我单位报送绩效自评报告和绩效自评指标评分表。</w:t>
      </w:r>
    </w:p>
    <w:p>
      <w:pPr>
        <w:spacing w:line="560" w:lineRule="exact"/>
        <w:ind w:firstLine="594" w:firstLineChars="200"/>
        <w:rPr>
          <w:rFonts w:ascii="黑体" w:hAnsi="黑体" w:eastAsia="黑体" w:cs="黑体"/>
          <w:b/>
          <w:szCs w:val="32"/>
        </w:rPr>
      </w:pPr>
      <w:r>
        <w:rPr>
          <w:rFonts w:hint="eastAsia" w:ascii="黑体" w:hAnsi="黑体" w:eastAsia="黑体" w:cs="黑体"/>
          <w:b/>
          <w:szCs w:val="32"/>
        </w:rPr>
        <w:t>三、绩效评价工作情况</w:t>
      </w:r>
    </w:p>
    <w:p>
      <w:pPr>
        <w:spacing w:line="560" w:lineRule="exact"/>
        <w:ind w:firstLine="594" w:firstLineChars="200"/>
        <w:rPr>
          <w:rFonts w:ascii="楷体" w:hAnsi="楷体" w:eastAsia="楷体" w:cs="楷体"/>
          <w:szCs w:val="32"/>
        </w:rPr>
      </w:pPr>
      <w:r>
        <w:rPr>
          <w:rFonts w:hint="eastAsia" w:ascii="楷体" w:hAnsi="楷体" w:eastAsia="楷体" w:cs="楷体"/>
          <w:szCs w:val="32"/>
        </w:rPr>
        <w:t>（一）绩效评价目的</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numPr>
          <w:ilvl w:val="0"/>
          <w:numId w:val="3"/>
        </w:numPr>
        <w:spacing w:line="560" w:lineRule="exact"/>
        <w:ind w:firstLine="594" w:firstLineChars="200"/>
        <w:rPr>
          <w:rFonts w:ascii="楷体" w:hAnsi="楷体" w:eastAsia="楷体" w:cs="楷体"/>
          <w:szCs w:val="32"/>
        </w:rPr>
      </w:pPr>
      <w:r>
        <w:rPr>
          <w:rFonts w:hint="eastAsia" w:ascii="楷体" w:hAnsi="楷体" w:eastAsia="楷体" w:cs="楷体"/>
          <w:szCs w:val="32"/>
        </w:rPr>
        <w:t>绩效评价原则、评价指标体系、评价方法</w:t>
      </w:r>
    </w:p>
    <w:p>
      <w:pPr>
        <w:spacing w:line="560" w:lineRule="exact"/>
        <w:ind w:firstLine="594" w:firstLineChars="200"/>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pPr>
        <w:spacing w:line="560" w:lineRule="exact"/>
        <w:ind w:firstLine="594" w:firstLineChars="200"/>
        <w:rPr>
          <w:rFonts w:ascii="楷体" w:hAnsi="楷体" w:eastAsia="楷体" w:cs="楷体"/>
          <w:szCs w:val="32"/>
        </w:rPr>
      </w:pPr>
      <w:r>
        <w:rPr>
          <w:rFonts w:hint="eastAsia" w:ascii="楷体" w:hAnsi="楷体" w:eastAsia="楷体" w:cs="楷体"/>
          <w:szCs w:val="32"/>
        </w:rPr>
        <w:t>（三）绩效评价工作过程</w:t>
      </w:r>
    </w:p>
    <w:p>
      <w:pPr>
        <w:spacing w:line="560" w:lineRule="exact"/>
        <w:ind w:firstLine="594" w:firstLineChars="200"/>
        <w:rPr>
          <w:rFonts w:ascii="仿宋_GB2312" w:hAnsi="Times New Roman" w:cs="Times New Roman"/>
          <w:szCs w:val="32"/>
        </w:rPr>
      </w:pPr>
      <w:r>
        <w:rPr>
          <w:rFonts w:ascii="仿宋_GB2312" w:hAnsi="Times New Roman" w:cs="Times New Roman"/>
          <w:szCs w:val="32"/>
        </w:rPr>
        <w:t>1.</w:t>
      </w:r>
      <w:r>
        <w:rPr>
          <w:rFonts w:hint="eastAsia" w:ascii="仿宋_GB2312" w:hAnsi="Times New Roman" w:cs="Times New Roman"/>
          <w:szCs w:val="32"/>
        </w:rPr>
        <w:t>前期准备</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按照绩效自评工作要求，组成以分管财务副主任为组长，各部办负责人为成员的绩效评价工作小组，根据各项目具体情况制定了项目支出绩效评价实施方案。</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2.组织实施</w:t>
      </w:r>
    </w:p>
    <w:p>
      <w:pPr>
        <w:spacing w:line="560" w:lineRule="exact"/>
        <w:ind w:firstLine="594" w:firstLineChars="200"/>
        <w:rPr>
          <w:rFonts w:ascii="仿宋_GB2312" w:hAnsi="Times New Roman" w:cs="Times New Roman"/>
          <w:szCs w:val="32"/>
        </w:rPr>
      </w:pPr>
      <w:r>
        <w:rPr>
          <w:rFonts w:hint="eastAsia" w:ascii="仿宋_GB2312" w:hAnsi="仿宋_GB2312" w:cs="仿宋_GB2312"/>
          <w:szCs w:val="32"/>
        </w:rPr>
        <w:t>采用核查法核查2021年财政预算批复执行及项目支出情况，着重核查了重点项目管理、内部控制建设管理情况，对园区各内设机构及项目实施单位，根据各自职能职责和年初制定的绩效考核目标，进行了绩效考评。</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3.分析评价</w:t>
      </w:r>
    </w:p>
    <w:p>
      <w:pPr>
        <w:spacing w:line="560" w:lineRule="exact"/>
        <w:ind w:firstLine="594" w:firstLineChars="200"/>
        <w:rPr>
          <w:rFonts w:ascii="Times New Roman" w:hAnsi="Times New Roman" w:eastAsia="黑体" w:cs="Times New Roman"/>
          <w:szCs w:val="32"/>
        </w:rPr>
      </w:pPr>
      <w:r>
        <w:rPr>
          <w:rFonts w:hint="eastAsia" w:ascii="仿宋_GB2312" w:hAnsi="仿宋_GB2312" w:cs="仿宋_GB2312"/>
          <w:szCs w:val="32"/>
        </w:rPr>
        <w:t>对评价过程中收集资料进行归纳，汇总分析，依据设定的项目支出绩效评价指标体系进行了评分，形成了综合性书面报告及评分表。</w:t>
      </w:r>
    </w:p>
    <w:p>
      <w:pPr>
        <w:ind w:firstLine="594" w:firstLineChars="200"/>
        <w:rPr>
          <w:rFonts w:ascii="仿宋_GB2312"/>
          <w:b/>
          <w:szCs w:val="32"/>
        </w:rPr>
      </w:pPr>
      <w:r>
        <w:rPr>
          <w:rFonts w:hint="eastAsia" w:ascii="仿宋_GB2312"/>
          <w:b/>
          <w:szCs w:val="32"/>
        </w:rPr>
        <w:t>四、绩效评价指标分析情况</w:t>
      </w:r>
    </w:p>
    <w:p>
      <w:pPr>
        <w:spacing w:line="560" w:lineRule="exact"/>
        <w:ind w:firstLine="594" w:firstLineChars="200"/>
        <w:outlineLvl w:val="0"/>
        <w:rPr>
          <w:rFonts w:ascii="Times New Roman" w:hAnsi="Times New Roman" w:eastAsia="黑体" w:cs="Times New Roman"/>
          <w:szCs w:val="32"/>
        </w:rPr>
      </w:pPr>
      <w:r>
        <w:rPr>
          <w:rFonts w:hint="eastAsia" w:ascii="楷体" w:hAnsi="楷体" w:eastAsia="楷体" w:cs="楷体"/>
          <w:szCs w:val="32"/>
        </w:rPr>
        <w:t>（一）项目资金情况分析</w:t>
      </w:r>
    </w:p>
    <w:p>
      <w:pPr>
        <w:ind w:firstLine="594" w:firstLineChars="200"/>
        <w:rPr>
          <w:rFonts w:ascii="Times New Roman" w:hAnsi="Times New Roman" w:cs="Times New Roman"/>
          <w:szCs w:val="32"/>
        </w:rPr>
      </w:pPr>
      <w:r>
        <w:rPr>
          <w:rFonts w:hint="eastAsia" w:ascii="仿宋_GB2312"/>
          <w:szCs w:val="32"/>
          <w:lang w:val="en-US" w:eastAsia="zh-CN"/>
        </w:rPr>
        <w:t>昆明呈贡信息产业园区管理委员会</w:t>
      </w:r>
      <w:r>
        <w:rPr>
          <w:rFonts w:ascii="Times New Roman" w:hAnsi="Times New Roman" w:cs="Times New Roman"/>
          <w:szCs w:val="32"/>
        </w:rPr>
        <w:t>已足额拨付了该项目资金</w:t>
      </w:r>
      <w:r>
        <w:rPr>
          <w:rFonts w:hint="eastAsia" w:ascii="仿宋_GB2312" w:hAnsi="仿宋_GB2312" w:cs="仿宋_GB2312"/>
          <w:szCs w:val="32"/>
        </w:rPr>
        <w:t>450.00</w:t>
      </w:r>
      <w:r>
        <w:rPr>
          <w:rFonts w:ascii="Times New Roman" w:hAnsi="Times New Roman" w:cs="Times New Roman"/>
          <w:szCs w:val="32"/>
        </w:rPr>
        <w:t>万元至</w:t>
      </w:r>
      <w:r>
        <w:rPr>
          <w:rFonts w:hint="eastAsia" w:ascii="Times New Roman" w:hAnsi="Times New Roman" w:cs="Times New Roman"/>
          <w:szCs w:val="32"/>
        </w:rPr>
        <w:t>昆明市智慧城市建设投资</w:t>
      </w:r>
      <w:r>
        <w:rPr>
          <w:rFonts w:ascii="Times New Roman" w:hAnsi="Times New Roman" w:cs="Times New Roman"/>
          <w:szCs w:val="32"/>
        </w:rPr>
        <w:t>有限公司，无滞留、挤占、挪用等违法乱纪情况，资金到位率100%。</w:t>
      </w:r>
      <w:r>
        <w:rPr>
          <w:rFonts w:hint="eastAsia" w:ascii="Times New Roman" w:hAnsi="Times New Roman" w:cs="Times New Roman"/>
          <w:szCs w:val="32"/>
        </w:rPr>
        <w:t>截止2021年12月31日，资金已全部使用。</w:t>
      </w:r>
    </w:p>
    <w:p>
      <w:pPr>
        <w:spacing w:line="560" w:lineRule="exact"/>
        <w:ind w:firstLine="594" w:firstLineChars="200"/>
        <w:outlineLvl w:val="0"/>
        <w:rPr>
          <w:rFonts w:ascii="Times New Roman" w:hAnsi="Times New Roman" w:cs="Times New Roman"/>
          <w:szCs w:val="32"/>
        </w:rPr>
      </w:pPr>
      <w:r>
        <w:rPr>
          <w:rFonts w:hint="eastAsia" w:ascii="Times New Roman" w:hAnsi="Times New Roman" w:cs="Times New Roman"/>
          <w:szCs w:val="32"/>
        </w:rPr>
        <w:t>昆明市智慧城市建设投资</w:t>
      </w:r>
      <w:r>
        <w:rPr>
          <w:rFonts w:ascii="Times New Roman" w:hAnsi="Times New Roman" w:cs="Times New Roman"/>
          <w:szCs w:val="32"/>
        </w:rPr>
        <w:t>有限公司对该项目资金的拨付有完整的审批程序和手续，项目的重大开支均经过集体决策审批。该项目实施过程中，除执行国家和地方相关法律、法规和制度外，根据需要制定了相关资金管理办法，且制度执行严格，项目会计核算规范。</w:t>
      </w:r>
    </w:p>
    <w:p>
      <w:pPr>
        <w:spacing w:line="560" w:lineRule="exact"/>
        <w:ind w:firstLine="594"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widowControl/>
        <w:spacing w:line="560" w:lineRule="exact"/>
        <w:ind w:firstLine="594" w:firstLineChars="200"/>
        <w:jc w:val="left"/>
        <w:rPr>
          <w:rFonts w:ascii="仿宋_GB2312" w:hAnsi="仿宋_GB2312" w:cs="仿宋_GB2312"/>
          <w:szCs w:val="32"/>
        </w:rPr>
      </w:pPr>
      <w:r>
        <w:rPr>
          <w:rFonts w:hint="eastAsia" w:ascii="仿宋_GB2312" w:hAnsi="仿宋_GB2312" w:cs="仿宋_GB2312"/>
          <w:szCs w:val="32"/>
        </w:rPr>
        <w:t>昆明呈贡科技信息产业创新孵化中心（以下简称“孵化中心”）已于2019年9月正式投入运营。正逐步搭建创新创业企业服务平台，链接各类资源，为给入驻企业提供全方位优质服务，经测算，每年孵化中心运营管理费用超过3000万元，目前已开展政策咨询、快递收取、园区通勤车、员工餐厅、网络宽带等服务。</w:t>
      </w:r>
      <w:r>
        <w:rPr>
          <w:rFonts w:ascii="Times New Roman" w:hAnsi="Times New Roman" w:cs="Times New Roman"/>
          <w:szCs w:val="32"/>
        </w:rPr>
        <w:t>项目开展情况：为入驻孵化中心企业提供优质高效的服务（如：（1）孵化中心水、电、燃气可正常使用；（2）已开通每日不同时间段的8趟次园区通勤车；（3）孵化中心电梯每年度按要求进行安检；（4）孵化中心已进行整体提升改造，安装了相应标识标牌；（5）孵化中心会议培训中心摆放了300余盆绿植花卉；（6）孵化中心物业公司按照合同约定认真履行义务；（7）园区已开通1G互联网专线，满足日常办公需求；（8）按照招商引资工作需求，选聘了测绘服务机构开展测绘工作；（9）已按照合同需求采购创作空间设施设备；（10）按照招商引资工作需求，选聘了租金评估机构开展孵化中心房屋评估工作；（11）已开展了孵化中心宣传推广工作；（12）已开展园企服务中心的建设工作）。</w:t>
      </w:r>
    </w:p>
    <w:p>
      <w:pPr>
        <w:numPr>
          <w:ilvl w:val="0"/>
          <w:numId w:val="3"/>
        </w:numPr>
        <w:spacing w:line="560" w:lineRule="exact"/>
        <w:ind w:firstLine="594" w:firstLineChars="200"/>
        <w:outlineLvl w:val="0"/>
        <w:rPr>
          <w:rFonts w:ascii="仿宋_GB2312"/>
          <w:szCs w:val="32"/>
        </w:rPr>
      </w:pPr>
      <w:r>
        <w:rPr>
          <w:rFonts w:hint="eastAsia" w:ascii="楷体" w:hAnsi="楷体" w:eastAsia="楷体" w:cs="楷体"/>
          <w:szCs w:val="32"/>
        </w:rPr>
        <w:t>项目绩效情况分析</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通过财政资金，提高园区基础设施配套及服务配套，为孵化中心入驻企业提供通勤车、食堂、网络等服务，使企业在园区获得高品质、低成本的优质发展。</w:t>
      </w:r>
    </w:p>
    <w:p>
      <w:pPr>
        <w:numPr>
          <w:ilvl w:val="0"/>
          <w:numId w:val="4"/>
        </w:numPr>
        <w:ind w:firstLine="594" w:firstLineChars="200"/>
        <w:rPr>
          <w:rFonts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spacing w:line="560" w:lineRule="exact"/>
        <w:ind w:firstLine="594" w:firstLineChars="200"/>
        <w:rPr>
          <w:rFonts w:ascii="仿宋_GB2312" w:hAnsi="仿宋_GB2312" w:cs="仿宋_GB2312"/>
          <w:szCs w:val="32"/>
        </w:rPr>
      </w:pPr>
      <w:r>
        <w:rPr>
          <w:rFonts w:hint="eastAsia" w:ascii="仿宋_GB2312" w:hAnsi="仿宋_GB2312" w:cs="仿宋_GB2312"/>
          <w:szCs w:val="32"/>
        </w:rPr>
        <w:t>综合各指标评价之后，该项目绩效评价结果为“优”，评分表见下表附表3。</w:t>
      </w:r>
    </w:p>
    <w:p>
      <w:pPr>
        <w:spacing w:line="600" w:lineRule="exact"/>
        <w:rPr>
          <w:rFonts w:ascii="黑体" w:eastAsia="黑体"/>
          <w:szCs w:val="32"/>
        </w:rPr>
      </w:pPr>
      <w:r>
        <w:rPr>
          <w:rFonts w:hint="eastAsia" w:ascii="黑体" w:eastAsia="黑体"/>
          <w:szCs w:val="32"/>
        </w:rPr>
        <w:t>附件3：</w:t>
      </w:r>
    </w:p>
    <w:tbl>
      <w:tblPr>
        <w:tblStyle w:val="5"/>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rPr>
              <w:t>0分）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rPr>
              <w:t>6分）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资金使用（3分）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虚列套取扣3分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扣3分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超标准开支扣2分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187"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xml:space="preserve">绩效 </w:t>
            </w:r>
            <w:r>
              <w:rPr>
                <w:rFonts w:ascii="仿宋_GB2312" w:hAnsi="宋体" w:cs="宋体"/>
                <w:kern w:val="0"/>
                <w:sz w:val="21"/>
                <w:szCs w:val="21"/>
              </w:rPr>
              <w:t>(</w:t>
            </w:r>
            <w:r>
              <w:rPr>
                <w:rFonts w:hint="eastAsia" w:ascii="仿宋_GB2312" w:hAnsi="宋体" w:cs="宋体"/>
                <w:kern w:val="0"/>
                <w:sz w:val="21"/>
                <w:szCs w:val="21"/>
              </w:rPr>
              <w:t>60分）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rPr>
              <w:t>20分）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产出质量（5分）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产出时效（5分）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产出成本（5分）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rPr>
              <w:t>9</w:t>
            </w:r>
            <w:r>
              <w:rPr>
                <w:rFonts w:hint="eastAsia" w:ascii="仿宋_GB2312" w:hAnsi="宋体" w:cs="宋体"/>
                <w:kern w:val="0"/>
                <w:sz w:val="21"/>
                <w:szCs w:val="21"/>
                <w:lang w:val="en-US" w:eastAsia="zh-CN"/>
              </w:rPr>
              <w:t>6</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numPr>
          <w:ilvl w:val="0"/>
          <w:numId w:val="4"/>
        </w:numPr>
        <w:ind w:firstLine="594" w:firstLineChars="200"/>
        <w:rPr>
          <w:rFonts w:ascii="仿宋_GB2312"/>
          <w:b/>
          <w:szCs w:val="32"/>
        </w:rPr>
      </w:pPr>
      <w:r>
        <w:rPr>
          <w:rFonts w:hint="eastAsia" w:ascii="仿宋_GB2312"/>
          <w:b/>
          <w:szCs w:val="32"/>
        </w:rPr>
        <w:t>绩效评价结果应用建议</w:t>
      </w:r>
      <w:r>
        <w:rPr>
          <w:rFonts w:hint="eastAsia" w:ascii="仿宋_GB2312"/>
          <w:bCs/>
          <w:szCs w:val="32"/>
        </w:rPr>
        <w:t>。</w:t>
      </w:r>
    </w:p>
    <w:p>
      <w:pPr>
        <w:spacing w:line="560" w:lineRule="exact"/>
        <w:ind w:firstLine="594" w:firstLineChars="200"/>
        <w:rPr>
          <w:rFonts w:ascii="仿宋_GB2312" w:hAnsi="仿宋_GB2312" w:cs="仿宋_GB2312"/>
          <w:bCs/>
          <w:szCs w:val="32"/>
        </w:rPr>
      </w:pPr>
      <w:r>
        <w:rPr>
          <w:rFonts w:hint="eastAsia" w:ascii="仿宋_GB2312" w:hAnsi="仿宋_GB2312" w:cs="仿宋_GB2312"/>
          <w:bCs/>
          <w:szCs w:val="32"/>
        </w:rPr>
        <w:t>结合2021年度及以前年度绩效评价结果经验，对于以后的年度预算安排应该更合理科学，完善项目支出预算编制方法，合理利用财政资金，提高财政资金使用效率和效益。</w:t>
      </w:r>
    </w:p>
    <w:p>
      <w:pPr>
        <w:spacing w:line="560" w:lineRule="exact"/>
        <w:ind w:firstLine="594" w:firstLineChars="200"/>
        <w:rPr>
          <w:rFonts w:ascii="仿宋_GB2312"/>
          <w:b/>
          <w:szCs w:val="32"/>
        </w:rPr>
      </w:pPr>
      <w:r>
        <w:rPr>
          <w:rFonts w:hint="eastAsia" w:ascii="仿宋_GB2312" w:hAnsi="仿宋_GB2312" w:cs="仿宋_GB2312"/>
          <w:bCs/>
          <w:szCs w:val="32"/>
        </w:rPr>
        <w:t>对于年度项目支出绩效评价结果，应完善公开体系，便于社会公众查询、监督和建议。</w:t>
      </w:r>
    </w:p>
    <w:p>
      <w:pPr>
        <w:spacing w:line="560" w:lineRule="exact"/>
        <w:ind w:left="594" w:leftChars="200"/>
        <w:rPr>
          <w:rFonts w:asciiTheme="majorHAnsi" w:hAnsiTheme="majorHAnsi" w:cstheme="majorBidi"/>
          <w:bCs/>
          <w:szCs w:val="32"/>
        </w:rPr>
      </w:pPr>
      <w:r>
        <w:rPr>
          <w:rFonts w:hint="eastAsia" w:ascii="仿宋_GB2312"/>
          <w:b/>
          <w:szCs w:val="32"/>
        </w:rPr>
        <w:t>七、主要经验及做法、存在的问题和建议。</w:t>
      </w:r>
      <w:bookmarkStart w:id="1" w:name="_Toc30514902"/>
    </w:p>
    <w:bookmarkEnd w:id="1"/>
    <w:p>
      <w:pPr>
        <w:pStyle w:val="11"/>
        <w:spacing w:after="0" w:line="580" w:lineRule="exact"/>
        <w:ind w:firstLine="594" w:firstLineChars="200"/>
      </w:pPr>
      <w:r>
        <w:rPr>
          <w:rFonts w:hint="eastAsia" w:ascii="Times New Roman" w:hAnsi="Times New Roman" w:cs="Times New Roman"/>
          <w:color w:val="000000" w:themeColor="text1"/>
          <w:szCs w:val="32"/>
        </w:rPr>
        <w:t>园区配套不完善，交通不便、商业招商困难。</w:t>
      </w:r>
      <w:r>
        <w:rPr>
          <w:rFonts w:hint="eastAsia" w:cs="Times New Roman"/>
          <w:color w:val="000000" w:themeColor="text1"/>
          <w:szCs w:val="32"/>
        </w:rPr>
        <w:t>园企服务平台无专项建设资金，运营经验不足，现阶段无法达到孵化中心运营要求；对于孵化中心运营没有完善的服务体系，不具备专业的政策解读与应用的能力；运营团队专业能力不足，项目执行能力低，无法完成园企服务平台所要求的量化指标，最终不能形成有效的成果转换。</w:t>
      </w:r>
      <w:r>
        <w:rPr>
          <w:rFonts w:hint="eastAsia" w:ascii="Times New Roman" w:hAnsi="Times New Roman" w:cs="Times New Roman"/>
          <w:color w:val="000000" w:themeColor="text1"/>
          <w:szCs w:val="32"/>
        </w:rPr>
        <w:t>难吸引各类商业体入驻导致各类商业体</w:t>
      </w:r>
      <w:r>
        <w:rPr>
          <w:rFonts w:hint="eastAsia" w:cs="Times New Roman"/>
          <w:color w:val="000000" w:themeColor="text1"/>
          <w:szCs w:val="32"/>
        </w:rPr>
        <w:t>，</w:t>
      </w:r>
      <w:r>
        <w:rPr>
          <w:rFonts w:hint="eastAsia" w:ascii="Times New Roman" w:hAnsi="Times New Roman" w:cs="Times New Roman"/>
          <w:color w:val="000000" w:themeColor="text1"/>
          <w:szCs w:val="32"/>
        </w:rPr>
        <w:t>没有明显的入驻优势与盈利空间；配套不完善，交通不便</w:t>
      </w:r>
      <w:r>
        <w:rPr>
          <w:rFonts w:hint="eastAsia" w:cs="Times New Roman"/>
          <w:color w:val="000000" w:themeColor="text1"/>
          <w:szCs w:val="32"/>
        </w:rPr>
        <w:t>，</w:t>
      </w:r>
      <w:r>
        <w:rPr>
          <w:rFonts w:hint="eastAsia" w:ascii="Times New Roman" w:hAnsi="Times New Roman" w:cs="Times New Roman"/>
          <w:color w:val="000000" w:themeColor="text1"/>
          <w:szCs w:val="32"/>
        </w:rPr>
        <w:t>入驻企业招聘困难，人员流失</w:t>
      </w:r>
      <w:r>
        <w:rPr>
          <w:rFonts w:hint="eastAsia" w:cs="Times New Roman"/>
          <w:color w:val="000000" w:themeColor="text1"/>
          <w:szCs w:val="32"/>
        </w:rPr>
        <w:t>严重，</w:t>
      </w:r>
      <w:r>
        <w:rPr>
          <w:rFonts w:hint="eastAsia" w:ascii="Times New Roman" w:hAnsi="Times New Roman" w:cs="Times New Roman"/>
          <w:color w:val="000000" w:themeColor="text1"/>
          <w:szCs w:val="32"/>
        </w:rPr>
        <w:t>无法高效的为入驻企业提供便捷的生活及日常办公服务。</w:t>
      </w:r>
      <w:r>
        <w:rPr>
          <w:rFonts w:hint="eastAsia" w:cs="Times New Roman"/>
          <w:color w:val="000000" w:themeColor="text1"/>
          <w:szCs w:val="32"/>
        </w:rPr>
        <w:t>产业聚集效应尚未显现，以商招商吸引力不足；产业招商模式单一，配套设施不足，招商瓶颈问题突出未形成产业聚集效应。</w:t>
      </w:r>
    </w:p>
    <w:p>
      <w:pPr>
        <w:ind w:firstLine="594" w:firstLineChars="200"/>
        <w:rPr>
          <w:rFonts w:ascii="仿宋_GB2312"/>
          <w:b/>
          <w:szCs w:val="32"/>
        </w:rPr>
      </w:pPr>
      <w:r>
        <w:rPr>
          <w:rFonts w:hint="eastAsia" w:ascii="仿宋_GB2312"/>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pPr>
        <w:ind w:left="594" w:leftChars="200"/>
        <w:rPr>
          <w:rFonts w:ascii="仿宋_GB2312"/>
          <w:b/>
          <w:szCs w:val="32"/>
        </w:rPr>
      </w:pPr>
      <w:r>
        <w:rPr>
          <w:rFonts w:hint="eastAsia" w:ascii="仿宋_GB2312"/>
          <w:b/>
          <w:szCs w:val="32"/>
        </w:rPr>
        <w:t>八、其他需说明的问题。</w:t>
      </w:r>
    </w:p>
    <w:p>
      <w:pPr>
        <w:ind w:left="594" w:leftChars="200"/>
        <w:rPr>
          <w:rFonts w:ascii="仿宋_GB2312"/>
          <w:bCs/>
          <w:szCs w:val="32"/>
        </w:rPr>
      </w:pPr>
      <w:r>
        <w:rPr>
          <w:rFonts w:hint="eastAsia" w:ascii="仿宋_GB2312"/>
          <w:bCs/>
          <w:szCs w:val="32"/>
        </w:rPr>
        <w:t>无。</w:t>
      </w:r>
    </w:p>
    <w:p>
      <w:pPr>
        <w:spacing w:line="560" w:lineRule="exact"/>
        <w:jc w:val="both"/>
        <w:rPr>
          <w:rFonts w:ascii="仿宋_GB2312"/>
          <w:szCs w:val="32"/>
        </w:rPr>
      </w:pPr>
      <w:bookmarkStart w:id="2" w:name="_GoBack"/>
      <w:bookmarkEnd w:id="2"/>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43B18715"/>
    <w:multiLevelType w:val="singleLevel"/>
    <w:tmpl w:val="43B1871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4FD0"/>
    <w:rsid w:val="000C61DD"/>
    <w:rsid w:val="00172A27"/>
    <w:rsid w:val="00225503"/>
    <w:rsid w:val="00292960"/>
    <w:rsid w:val="0032382D"/>
    <w:rsid w:val="00347FF6"/>
    <w:rsid w:val="0049685E"/>
    <w:rsid w:val="004F21F0"/>
    <w:rsid w:val="005C2861"/>
    <w:rsid w:val="005C6C18"/>
    <w:rsid w:val="006D0E2A"/>
    <w:rsid w:val="006F3A74"/>
    <w:rsid w:val="00846DD7"/>
    <w:rsid w:val="008A3BA8"/>
    <w:rsid w:val="00902A69"/>
    <w:rsid w:val="00952AB4"/>
    <w:rsid w:val="009C2F5B"/>
    <w:rsid w:val="009E4ECF"/>
    <w:rsid w:val="009F1C47"/>
    <w:rsid w:val="00A31A0E"/>
    <w:rsid w:val="00A50CDE"/>
    <w:rsid w:val="00AF7BA5"/>
    <w:rsid w:val="00B94C43"/>
    <w:rsid w:val="00CD498F"/>
    <w:rsid w:val="00D324B7"/>
    <w:rsid w:val="00D66252"/>
    <w:rsid w:val="00E43427"/>
    <w:rsid w:val="00FF2429"/>
    <w:rsid w:val="02FB2AB8"/>
    <w:rsid w:val="04CA50D0"/>
    <w:rsid w:val="05AE36CA"/>
    <w:rsid w:val="06525C14"/>
    <w:rsid w:val="08563735"/>
    <w:rsid w:val="0D491A00"/>
    <w:rsid w:val="0F4F7876"/>
    <w:rsid w:val="177C1352"/>
    <w:rsid w:val="198F4B69"/>
    <w:rsid w:val="22B90AA8"/>
    <w:rsid w:val="252F7B2C"/>
    <w:rsid w:val="2A957D1D"/>
    <w:rsid w:val="34BA06A5"/>
    <w:rsid w:val="378A5996"/>
    <w:rsid w:val="3AA426C0"/>
    <w:rsid w:val="4181566C"/>
    <w:rsid w:val="4C043779"/>
    <w:rsid w:val="51C05EE5"/>
    <w:rsid w:val="5A3C6978"/>
    <w:rsid w:val="67600811"/>
    <w:rsid w:val="6DD56D9C"/>
    <w:rsid w:val="6E710353"/>
    <w:rsid w:val="789D155E"/>
    <w:rsid w:val="7AFA0FB5"/>
    <w:rsid w:val="7B6F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sz w:val="32"/>
      <w:lang w:val="en-GB"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正文"/>
    <w:basedOn w:val="1"/>
    <w:link w:val="9"/>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9">
    <w:name w:val="*正文 Char"/>
    <w:link w:val="8"/>
    <w:qFormat/>
    <w:uiPriority w:val="0"/>
    <w:rPr>
      <w:rFonts w:ascii="宋体" w:hAnsi="宋体" w:eastAsia="宋体" w:cs="Times New Roman"/>
      <w:snapToGrid w:val="0"/>
      <w:kern w:val="2"/>
      <w:sz w:val="24"/>
      <w:szCs w:val="21"/>
      <w:lang w:val="zh-CN"/>
    </w:rPr>
  </w:style>
  <w:style w:type="paragraph" w:customStyle="1" w:styleId="10">
    <w:name w:val="列出段落1"/>
    <w:unhideWhenUsed/>
    <w:qFormat/>
    <w:uiPriority w:val="34"/>
    <w:pPr>
      <w:ind w:firstLine="420" w:firstLineChars="200"/>
    </w:pPr>
    <w:rPr>
      <w:rFonts w:ascii="Times New Roman" w:hAnsi="Times New Roman" w:eastAsia="宋体" w:cs="Times New Roman"/>
      <w:sz w:val="24"/>
      <w:lang w:val="en-US" w:eastAsia="zh-CN" w:bidi="ar-SA"/>
    </w:rPr>
  </w:style>
  <w:style w:type="paragraph" w:customStyle="1" w:styleId="11">
    <w:name w:val="BodyText"/>
    <w:basedOn w:val="1"/>
    <w:qFormat/>
    <w:uiPriority w:val="0"/>
    <w:pPr>
      <w:spacing w:after="120"/>
      <w:textAlignment w:val="baseline"/>
    </w:pPr>
  </w:style>
  <w:style w:type="character" w:customStyle="1" w:styleId="12">
    <w:name w:val="页眉 Char"/>
    <w:basedOn w:val="7"/>
    <w:link w:val="4"/>
    <w:uiPriority w:val="0"/>
    <w:rPr>
      <w:rFonts w:eastAsia="仿宋_GB2312" w:asciiTheme="minorHAnsi" w:hAnsiTheme="minorHAnsi" w:cstheme="minorBidi"/>
      <w:kern w:val="2"/>
      <w:sz w:val="18"/>
      <w:szCs w:val="18"/>
    </w:rPr>
  </w:style>
  <w:style w:type="character" w:customStyle="1" w:styleId="13">
    <w:name w:val="页脚 Char"/>
    <w:basedOn w:val="7"/>
    <w:link w:val="3"/>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622</Words>
  <Characters>3552</Characters>
  <Lines>29</Lines>
  <Paragraphs>8</Paragraphs>
  <TotalTime>0</TotalTime>
  <ScaleCrop>false</ScaleCrop>
  <LinksUpToDate>false</LinksUpToDate>
  <CharactersWithSpaces>4166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Dell</cp:lastModifiedBy>
  <cp:lastPrinted>2020-03-17T03:50:00Z</cp:lastPrinted>
  <dcterms:modified xsi:type="dcterms:W3CDTF">2022-10-13T08:20:06Z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