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8</w:t>
      </w:r>
      <w:r>
        <w:rPr>
          <w:rFonts w:hint="eastAsia" w:ascii="仿宋_GB2312" w:hAnsi="华文中宋"/>
          <w:bCs/>
          <w:szCs w:val="32"/>
        </w:rPr>
        <w:t>:</w:t>
      </w:r>
    </w:p>
    <w:p>
      <w:pPr>
        <w:rPr>
          <w:rFonts w:ascii="黑体" w:eastAsia="黑体"/>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创新孵化中心入驻企业租赁及办公场地装修项目支出绩效</w:t>
      </w:r>
      <w:r>
        <w:rPr>
          <w:rFonts w:hint="eastAsia" w:ascii="方正小标宋简体" w:hAnsi="方正小标宋简体" w:eastAsia="方正小标宋简体" w:cs="方正小标宋简体"/>
          <w:sz w:val="44"/>
          <w:szCs w:val="44"/>
          <w:lang w:val="en-US" w:eastAsia="zh-CN"/>
        </w:rPr>
        <w:t>自评</w:t>
      </w:r>
      <w:r>
        <w:rPr>
          <w:rFonts w:hint="eastAsia" w:ascii="方正小标宋简体" w:hAnsi="方正小标宋简体" w:eastAsia="方正小标宋简体" w:cs="方正小标宋简体"/>
          <w:sz w:val="44"/>
          <w:szCs w:val="44"/>
        </w:rPr>
        <w:t>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outlineLvl w:val="0"/>
        <w:rPr>
          <w:rFonts w:ascii="仿宋_GB2312" w:hAnsi="仿宋_GB2312" w:cs="仿宋_GB2312"/>
          <w:szCs w:val="32"/>
        </w:rPr>
      </w:pPr>
      <w:r>
        <w:rPr>
          <w:rFonts w:hint="eastAsia" w:ascii="仿宋_GB2312" w:hAnsi="仿宋_GB2312" w:cs="仿宋_GB2312"/>
          <w:szCs w:val="32"/>
        </w:rPr>
        <w:t>昆明呈贡科技信息产业创新孵化中心项目位于呈贡大学城与高新区马金铺片区交界处的昆明呈贡信息产业园区内，占地面积约57亩，总建筑面积约72826.6㎡。主要包括科技创新孵化、研发办公、推广应用中心、综合管理、新成果展示、后勤保障等区域。</w:t>
      </w:r>
      <w:r>
        <w:rPr>
          <w:rFonts w:hint="eastAsia" w:ascii="仿宋_GB2312" w:hAnsi="Times New Roman" w:cs="Times New Roman"/>
          <w:szCs w:val="32"/>
        </w:rPr>
        <w:t>装修投资估算约3402.43万元，装修规模约为37084.79㎡。</w:t>
      </w:r>
      <w:r>
        <w:rPr>
          <w:rFonts w:hint="eastAsia" w:ascii="仿宋_GB2312" w:hAnsi="仿宋_GB2312" w:cs="仿宋_GB2312"/>
          <w:kern w:val="0"/>
          <w:szCs w:val="32"/>
        </w:rPr>
        <w:t>目前已出租4.03万平方米，预计2022年出租面积约5万平方米，用于引进企业的办公场地。租金第一年（2019年）价格为人民币（含税价）：42元/平方米/月，以后每年按2元/平方米/月的涨幅递增，房屋租金从2019年起算，即2019年为42元/平方米/月；2020年为44元/平方米/月；2021年为46元/平方米/月，以此类推。</w:t>
      </w:r>
    </w:p>
    <w:p>
      <w:pPr>
        <w:keepNext/>
        <w:keepLines/>
        <w:numPr>
          <w:ilvl w:val="0"/>
          <w:numId w:val="2"/>
        </w:numPr>
        <w:spacing w:line="560" w:lineRule="exact"/>
        <w:ind w:firstLine="594"/>
        <w:jc w:val="left"/>
        <w:outlineLvl w:val="1"/>
        <w:rPr>
          <w:rFonts w:ascii="仿宋_GB2312" w:eastAsia="楷体" w:hAnsiTheme="majorHAnsi" w:cstheme="majorBidi"/>
          <w:bCs/>
          <w:szCs w:val="32"/>
        </w:rPr>
      </w:pPr>
      <w:bookmarkStart w:id="0" w:name="_Toc30514894"/>
      <w:r>
        <w:rPr>
          <w:rFonts w:hint="eastAsia" w:ascii="仿宋_GB2312" w:eastAsia="楷体" w:hAnsiTheme="majorHAnsi" w:cstheme="majorBidi"/>
          <w:bCs/>
          <w:szCs w:val="32"/>
        </w:rPr>
        <w:t>项目绩效目标。</w:t>
      </w:r>
    </w:p>
    <w:bookmarkEnd w:id="0"/>
    <w:p>
      <w:pPr>
        <w:ind w:firstLine="594" w:firstLineChars="200"/>
        <w:rPr>
          <w:rFonts w:ascii="仿宋_GB2312" w:hAnsi="仿宋_GB2312" w:cs="仿宋_GB2312"/>
          <w:szCs w:val="32"/>
        </w:rPr>
      </w:pPr>
      <w:r>
        <w:rPr>
          <w:rFonts w:hint="eastAsia" w:ascii="仿宋_GB2312" w:hAnsi="仿宋_GB2312" w:cs="仿宋_GB2312"/>
          <w:szCs w:val="32"/>
        </w:rPr>
        <w:t>完成招商引资入驻企业办公场地装修面积8500平方米平均每年引入企业约20家。</w:t>
      </w:r>
    </w:p>
    <w:p>
      <w:pPr>
        <w:ind w:left="594" w:leftChars="200"/>
        <w:rPr>
          <w:rFonts w:ascii="黑体" w:hAnsi="黑体" w:eastAsia="黑体" w:cs="黑体"/>
          <w:bCs/>
          <w:szCs w:val="32"/>
        </w:rPr>
      </w:pPr>
      <w:r>
        <w:rPr>
          <w:rFonts w:hint="eastAsia" w:ascii="黑体" w:hAnsi="黑体" w:eastAsia="黑体" w:cs="黑体"/>
          <w:bCs/>
          <w:szCs w:val="32"/>
        </w:rPr>
        <w:t>二、项目单位绩效报告情况。</w:t>
      </w:r>
    </w:p>
    <w:p>
      <w:pPr>
        <w:spacing w:line="560" w:lineRule="exact"/>
        <w:ind w:firstLine="594" w:firstLineChars="200"/>
        <w:rPr>
          <w:rFonts w:ascii="仿宋_GB2312"/>
          <w:b/>
          <w:szCs w:val="32"/>
        </w:rPr>
      </w:pPr>
      <w:r>
        <w:rPr>
          <w:rFonts w:hint="eastAsia" w:ascii="仿宋_GB2312" w:hAnsi="仿宋_GB2312" w:cs="仿宋_GB2312"/>
          <w:szCs w:val="32"/>
        </w:rPr>
        <w:t>该项目实施单位为</w:t>
      </w:r>
      <w:r>
        <w:rPr>
          <w:rFonts w:hint="eastAsia" w:ascii="仿宋_GB2312" w:hAnsi="Times New Roman" w:cs="Times New Roman"/>
          <w:szCs w:val="32"/>
        </w:rPr>
        <w:t>昆明市智慧城市建设投资有限公司</w:t>
      </w:r>
      <w:r>
        <w:rPr>
          <w:rFonts w:hint="eastAsia" w:ascii="仿宋_GB2312" w:hAnsi="仿宋_GB2312" w:cs="仿宋_GB2312"/>
          <w:szCs w:val="32"/>
        </w:rPr>
        <w:t>，已按要求按时充分向我单位报送绩效自评报告和绩效自评指标评分表。</w:t>
      </w:r>
    </w:p>
    <w:p>
      <w:pPr>
        <w:spacing w:line="560" w:lineRule="exact"/>
        <w:ind w:firstLine="594" w:firstLineChars="200"/>
        <w:rPr>
          <w:rFonts w:ascii="黑体" w:hAnsi="黑体" w:eastAsia="黑体" w:cs="黑体"/>
          <w:b/>
          <w:szCs w:val="32"/>
        </w:rPr>
      </w:pPr>
      <w:r>
        <w:rPr>
          <w:rFonts w:hint="eastAsia" w:ascii="黑体" w:hAnsi="黑体" w:eastAsia="黑体" w:cs="黑体"/>
          <w:b/>
          <w:szCs w:val="32"/>
        </w:rPr>
        <w:t>三、绩效评价工作情况</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（一）绩效评价目的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完善专项资金的管理机制，建立以绩效目标为基础，以绩效运行跟踪监控和绩效评价为手段，以结果应用为保障，以改进预算管理、优化资源配置、控制节约成本为目标，管理科学、运转高效的全过程预算绩效管理体系。</w:t>
      </w:r>
    </w:p>
    <w:p>
      <w:pPr>
        <w:numPr>
          <w:ilvl w:val="0"/>
          <w:numId w:val="3"/>
        </w:numPr>
        <w:spacing w:line="560" w:lineRule="exact"/>
        <w:ind w:firstLine="594" w:firstLineChars="200"/>
        <w:rPr>
          <w:rFonts w:ascii="楷体" w:hAnsi="楷体" w:eastAsia="楷体" w:cs="楷体"/>
          <w:szCs w:val="32"/>
        </w:rPr>
      </w:pPr>
      <w:r>
        <w:rPr>
          <w:rFonts w:hint="eastAsia" w:ascii="楷体" w:hAnsi="楷体" w:eastAsia="楷体" w:cs="楷体"/>
          <w:szCs w:val="32"/>
        </w:rPr>
        <w:t>绩效评价原则、评价指标体系、评价方法</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绩效评价遵循科学规范、公正公开、分级分类、绩效相关的原则，我单位建立了完整、科学合理的评价指标体系：既有包含预算编制和执行情况、财务管理状况、社会效益及经济效益的共性指标，也有适用于本单位具体项目的个性指标。采用的绩效评价方法为现场核查、实地走访、问询等方式，进行实地考评。</w:t>
      </w:r>
    </w:p>
    <w:p>
      <w:pPr>
        <w:spacing w:line="560" w:lineRule="exact"/>
        <w:ind w:firstLine="594" w:firstLineChars="200"/>
        <w:rPr>
          <w:rFonts w:ascii="楷体" w:hAnsi="楷体" w:eastAsia="楷体" w:cs="楷体"/>
          <w:szCs w:val="32"/>
        </w:rPr>
      </w:pPr>
      <w:r>
        <w:rPr>
          <w:rFonts w:hint="eastAsia" w:ascii="楷体" w:hAnsi="楷体" w:eastAsia="楷体" w:cs="楷体"/>
          <w:szCs w:val="32"/>
        </w:rPr>
        <w:t>（三）绩效评价工作过程</w:t>
      </w:r>
    </w:p>
    <w:p>
      <w:pPr>
        <w:spacing w:line="560" w:lineRule="exact"/>
        <w:ind w:firstLine="594" w:firstLineChars="200"/>
        <w:rPr>
          <w:rFonts w:ascii="仿宋_GB2312" w:hAnsi="Times New Roman" w:cs="Times New Roman"/>
          <w:szCs w:val="32"/>
        </w:rPr>
      </w:pPr>
      <w:r>
        <w:rPr>
          <w:rFonts w:ascii="仿宋_GB2312" w:hAnsi="Times New Roman" w:cs="Times New Roman"/>
          <w:szCs w:val="32"/>
        </w:rPr>
        <w:t>1.</w:t>
      </w:r>
      <w:r>
        <w:rPr>
          <w:rFonts w:hint="eastAsia" w:ascii="仿宋_GB2312" w:hAnsi="Times New Roman" w:cs="Times New Roman"/>
          <w:szCs w:val="32"/>
        </w:rPr>
        <w:t>前期准备</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按照绩效自评工作要求，组成以分管财务副主任为组长，各部办负责人为成员的绩效评价工作小组，根据各项目具体情况制定了项目支出绩效评价实施方案。</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2.组织实施</w:t>
      </w:r>
    </w:p>
    <w:p>
      <w:pPr>
        <w:spacing w:line="560" w:lineRule="exact"/>
        <w:ind w:firstLine="594" w:firstLineChars="200"/>
        <w:rPr>
          <w:rFonts w:ascii="仿宋_GB2312" w:hAnsi="Times New Roman" w:cs="Times New Roman"/>
          <w:szCs w:val="32"/>
        </w:rPr>
      </w:pPr>
      <w:r>
        <w:rPr>
          <w:rFonts w:hint="eastAsia" w:ascii="仿宋_GB2312" w:hAnsi="仿宋_GB2312" w:cs="仿宋_GB2312"/>
          <w:szCs w:val="32"/>
        </w:rPr>
        <w:t>采用核查法核查2021年财政预算批复执行及项目支出情况，着重核查了重点项目管理、内部控制建设管理情况，对园区各内设机构及项目实施单位，根据各自职能职责和年初制定的绩效考核目标，进行了绩效考评。</w:t>
      </w:r>
    </w:p>
    <w:p>
      <w:pPr>
        <w:spacing w:line="560" w:lineRule="exact"/>
        <w:ind w:firstLine="594" w:firstLineChars="200"/>
        <w:rPr>
          <w:rFonts w:ascii="仿宋_GB2312" w:hAnsi="Times New Roman" w:cs="Times New Roman"/>
          <w:szCs w:val="32"/>
        </w:rPr>
      </w:pPr>
      <w:r>
        <w:rPr>
          <w:rFonts w:hint="eastAsia" w:ascii="仿宋_GB2312" w:hAnsi="Times New Roman" w:cs="Times New Roman"/>
          <w:szCs w:val="32"/>
        </w:rPr>
        <w:t>3.分析评价</w:t>
      </w:r>
    </w:p>
    <w:p>
      <w:pPr>
        <w:spacing w:line="560" w:lineRule="exact"/>
        <w:ind w:firstLine="594" w:firstLineChars="200"/>
        <w:rPr>
          <w:rFonts w:ascii="Times New Roman" w:hAnsi="Times New Roman" w:eastAsia="黑体" w:cs="Times New Roman"/>
          <w:szCs w:val="32"/>
        </w:rPr>
      </w:pPr>
      <w:r>
        <w:rPr>
          <w:rFonts w:hint="eastAsia" w:ascii="仿宋_GB2312" w:hAnsi="仿宋_GB2312" w:cs="仿宋_GB2312"/>
          <w:szCs w:val="32"/>
        </w:rPr>
        <w:t>对评价过程中收集资料进行归纳，汇总分析，依据设定的项目支出绩效评价指标体系进行了评分，形成了综合性书面报告及评分表。</w:t>
      </w:r>
    </w:p>
    <w:p>
      <w:pPr>
        <w:ind w:firstLine="594" w:firstLineChars="200"/>
        <w:rPr>
          <w:rFonts w:ascii="仿宋_GB2312"/>
          <w:b/>
          <w:szCs w:val="32"/>
        </w:rPr>
      </w:pPr>
      <w:r>
        <w:rPr>
          <w:rFonts w:hint="eastAsia" w:ascii="仿宋_GB2312"/>
          <w:b/>
          <w:szCs w:val="32"/>
        </w:rPr>
        <w:t>四、绩效评价指标分析情况</w:t>
      </w:r>
    </w:p>
    <w:p>
      <w:pPr>
        <w:spacing w:line="560" w:lineRule="exact"/>
        <w:ind w:firstLine="594" w:firstLineChars="200"/>
        <w:outlineLvl w:val="0"/>
        <w:rPr>
          <w:rFonts w:ascii="Times New Roman" w:hAnsi="Times New Roman" w:eastAsia="黑体" w:cs="Times New Roman"/>
          <w:szCs w:val="32"/>
        </w:rPr>
      </w:pPr>
      <w:r>
        <w:rPr>
          <w:rFonts w:hint="eastAsia" w:ascii="楷体" w:hAnsi="楷体" w:eastAsia="楷体" w:cs="楷体"/>
          <w:szCs w:val="32"/>
        </w:rPr>
        <w:t>（一）项目资金情况分析</w:t>
      </w:r>
    </w:p>
    <w:p>
      <w:pPr>
        <w:topLinePunct/>
        <w:spacing w:line="600" w:lineRule="exact"/>
        <w:ind w:firstLine="594" w:firstLineChars="200"/>
        <w:rPr>
          <w:rFonts w:ascii="Times New Roman" w:hAnsi="Times New Roman" w:cs="Times New Roman"/>
          <w:szCs w:val="32"/>
        </w:rPr>
      </w:pPr>
      <w:r>
        <w:rPr>
          <w:rFonts w:hint="eastAsia" w:ascii="仿宋_GB2312"/>
          <w:szCs w:val="32"/>
          <w:lang w:val="en-US" w:eastAsia="zh-CN"/>
        </w:rPr>
        <w:t>昆明呈贡信息产业园区管理委员会</w:t>
      </w:r>
      <w:r>
        <w:rPr>
          <w:rFonts w:ascii="Times New Roman" w:hAnsi="Times New Roman" w:cs="Times New Roman"/>
          <w:szCs w:val="32"/>
        </w:rPr>
        <w:t>已足额拨付了该项目</w:t>
      </w:r>
      <w:r>
        <w:rPr>
          <w:rFonts w:hint="eastAsia" w:ascii="Times New Roman" w:hAnsi="Times New Roman" w:cs="Times New Roman"/>
          <w:szCs w:val="32"/>
        </w:rPr>
        <w:t>装修</w:t>
      </w:r>
      <w:r>
        <w:rPr>
          <w:rFonts w:ascii="Times New Roman" w:hAnsi="Times New Roman" w:cs="Times New Roman"/>
          <w:szCs w:val="32"/>
        </w:rPr>
        <w:t>资金</w:t>
      </w:r>
      <w:r>
        <w:rPr>
          <w:rFonts w:hint="eastAsia" w:ascii="仿宋_GB2312" w:hAnsi="仿宋_GB2312" w:cs="仿宋_GB2312"/>
          <w:szCs w:val="32"/>
        </w:rPr>
        <w:t>1595.00</w:t>
      </w:r>
      <w:r>
        <w:rPr>
          <w:rFonts w:ascii="Times New Roman" w:hAnsi="Times New Roman" w:cs="Times New Roman"/>
          <w:szCs w:val="32"/>
        </w:rPr>
        <w:t>万元</w:t>
      </w:r>
      <w:r>
        <w:rPr>
          <w:rFonts w:hint="eastAsia" w:ascii="Times New Roman" w:hAnsi="Times New Roman" w:cs="Times New Roman"/>
          <w:szCs w:val="32"/>
          <w:lang w:eastAsia="zh-CN"/>
        </w:rPr>
        <w:t>、</w:t>
      </w:r>
      <w:r>
        <w:rPr>
          <w:rFonts w:hint="eastAsia" w:ascii="仿宋_GB2312" w:hAnsi="仿宋_GB2312" w:cs="仿宋_GB2312"/>
          <w:szCs w:val="32"/>
          <w:highlight w:val="none"/>
        </w:rPr>
        <w:t>租金500.00万元</w:t>
      </w:r>
      <w:r>
        <w:rPr>
          <w:rFonts w:ascii="Times New Roman" w:hAnsi="Times New Roman" w:cs="Times New Roman"/>
          <w:szCs w:val="32"/>
          <w:highlight w:val="none"/>
        </w:rPr>
        <w:t>至</w:t>
      </w:r>
      <w:r>
        <w:rPr>
          <w:rFonts w:hint="eastAsia" w:ascii="Times New Roman" w:hAnsi="Times New Roman" w:cs="Times New Roman"/>
          <w:szCs w:val="32"/>
          <w:highlight w:val="none"/>
        </w:rPr>
        <w:t>昆明市智慧城市建设投资</w:t>
      </w:r>
      <w:r>
        <w:rPr>
          <w:rFonts w:ascii="Times New Roman" w:hAnsi="Times New Roman" w:cs="Times New Roman"/>
          <w:szCs w:val="32"/>
          <w:highlight w:val="none"/>
        </w:rPr>
        <w:t>有限公司，</w:t>
      </w:r>
      <w:r>
        <w:rPr>
          <w:rFonts w:hint="eastAsia" w:ascii="仿宋_GB2312" w:hAnsi="仿宋_GB2312" w:cs="仿宋_GB2312"/>
          <w:szCs w:val="32"/>
          <w:highlight w:val="none"/>
        </w:rPr>
        <w:t>无滞留、挤</w:t>
      </w:r>
      <w:r>
        <w:rPr>
          <w:rFonts w:hint="eastAsia" w:ascii="仿宋_GB2312" w:hAnsi="仿宋_GB2312" w:cs="仿宋_GB2312"/>
          <w:szCs w:val="32"/>
        </w:rPr>
        <w:t>占、挪用等违法乱纪情况，资金到位率100%。2021年度租金500万，全部用于支付孵化中心入驻企业房租，包含蜜月追踪、继元物联2019</w:t>
      </w:r>
      <w:bookmarkStart w:id="2" w:name="_GoBack"/>
      <w:bookmarkEnd w:id="2"/>
      <w:r>
        <w:rPr>
          <w:rFonts w:hint="eastAsia" w:ascii="仿宋_GB2312" w:hAnsi="仿宋_GB2312" w:cs="仿宋_GB2312"/>
          <w:szCs w:val="32"/>
          <w:lang w:val="en-US" w:eastAsia="zh-CN"/>
        </w:rPr>
        <w:t>至</w:t>
      </w:r>
      <w:r>
        <w:rPr>
          <w:rFonts w:hint="eastAsia" w:ascii="仿宋_GB2312" w:hAnsi="仿宋_GB2312" w:cs="仿宋_GB2312"/>
          <w:szCs w:val="32"/>
        </w:rPr>
        <w:t>2021年度办公场地租金；昆明网建公司、北京字节跳动、全域旅游公司2022年全年房租；2021年度共计使用装修资金833.246231万元，因已完成装修的办公场地正在进行工程计量</w:t>
      </w:r>
      <w:r>
        <w:rPr>
          <w:rFonts w:hint="eastAsia" w:ascii="仿宋_GB2312" w:hAnsi="Times New Roman" w:cs="Times New Roman"/>
          <w:szCs w:val="32"/>
        </w:rPr>
        <w:t>及工程结算审核工作，</w:t>
      </w:r>
      <w:r>
        <w:rPr>
          <w:rFonts w:hint="eastAsia" w:ascii="仿宋_GB2312" w:hAnsi="仿宋_GB2312" w:cs="仿宋_GB2312"/>
          <w:szCs w:val="32"/>
        </w:rPr>
        <w:t>待工程量及工程费用审核完成后再按照相关程序进行相关款项拨付工作。</w:t>
      </w:r>
    </w:p>
    <w:p>
      <w:pPr>
        <w:spacing w:line="560" w:lineRule="exact"/>
        <w:ind w:firstLine="594" w:firstLineChars="200"/>
        <w:outlineLvl w:val="0"/>
        <w:rPr>
          <w:rFonts w:ascii="Times New Roman" w:hAnsi="Times New Roman" w:cs="Times New Roman"/>
          <w:szCs w:val="32"/>
        </w:rPr>
      </w:pPr>
      <w:r>
        <w:rPr>
          <w:rFonts w:hint="eastAsia" w:ascii="Times New Roman" w:hAnsi="Times New Roman" w:cs="Times New Roman"/>
          <w:szCs w:val="32"/>
        </w:rPr>
        <w:t>昆明市智慧城市建设投资</w:t>
      </w:r>
      <w:r>
        <w:rPr>
          <w:rFonts w:ascii="Times New Roman" w:hAnsi="Times New Roman" w:cs="Times New Roman"/>
          <w:szCs w:val="32"/>
        </w:rPr>
        <w:t>有限公司</w:t>
      </w:r>
      <w:r>
        <w:rPr>
          <w:rFonts w:hint="eastAsia" w:ascii="Times New Roman" w:hAnsi="Times New Roman" w:cs="Times New Roman"/>
          <w:szCs w:val="32"/>
        </w:rPr>
        <w:t>及至云南云上云大数据产业发展有限公司</w:t>
      </w:r>
      <w:r>
        <w:rPr>
          <w:rFonts w:ascii="Times New Roman" w:hAnsi="Times New Roman" w:cs="Times New Roman"/>
          <w:szCs w:val="32"/>
        </w:rPr>
        <w:t>专款专用于</w:t>
      </w:r>
      <w:r>
        <w:rPr>
          <w:rFonts w:hint="eastAsia" w:ascii="Times New Roman" w:hAnsi="Times New Roman" w:cs="Times New Roman"/>
          <w:szCs w:val="32"/>
        </w:rPr>
        <w:t>孵化中心租赁及基础装修项目</w:t>
      </w:r>
      <w:r>
        <w:rPr>
          <w:rFonts w:ascii="Times New Roman" w:hAnsi="Times New Roman" w:cs="Times New Roman"/>
          <w:szCs w:val="32"/>
        </w:rPr>
        <w:t>，对该项目资金的拨付有完整的审批程序和手续，项目的重大开支均经过集体决策审批。该项目实施过程中，除执行国家和地方相关法律、法规和制度外，根据需要制定了相关资金管理办法，且制度执行严格，项目会计核算规范。</w:t>
      </w:r>
    </w:p>
    <w:p>
      <w:pPr>
        <w:spacing w:line="560" w:lineRule="exact"/>
        <w:ind w:firstLine="594" w:firstLineChars="200"/>
        <w:outlineLvl w:val="0"/>
        <w:rPr>
          <w:rFonts w:ascii="楷体_GB2312" w:hAnsi="楷体_GB2312" w:eastAsia="楷体_GB2312" w:cs="楷体_GB2312"/>
          <w:szCs w:val="32"/>
        </w:rPr>
      </w:pPr>
      <w:r>
        <w:rPr>
          <w:rFonts w:hint="eastAsia" w:ascii="楷体_GB2312" w:hAnsi="楷体_GB2312" w:eastAsia="楷体_GB2312" w:cs="楷体_GB2312"/>
          <w:szCs w:val="32"/>
        </w:rPr>
        <w:t>（二）项目实施情况分析。</w:t>
      </w:r>
    </w:p>
    <w:p>
      <w:pPr>
        <w:pStyle w:val="9"/>
        <w:spacing w:before="0" w:beforeAutospacing="0" w:after="0" w:afterAutospacing="0" w:line="580" w:lineRule="exact"/>
        <w:ind w:firstLine="594" w:firstLineChars="200"/>
        <w:rPr>
          <w:rFonts w:hint="eastAsia" w:eastAsia="仿宋_GB2312"/>
          <w:sz w:val="32"/>
          <w:szCs w:val="32"/>
          <w:lang w:eastAsia="zh-CN"/>
        </w:rPr>
      </w:pPr>
      <w:r>
        <w:rPr>
          <w:rFonts w:hint="eastAsia"/>
          <w:sz w:val="32"/>
          <w:szCs w:val="32"/>
        </w:rPr>
        <w:t>昆明呈贡科技创新孵化中心截至2021年12月31日</w:t>
      </w:r>
      <w:r>
        <w:rPr>
          <w:sz w:val="32"/>
          <w:szCs w:val="32"/>
        </w:rPr>
        <w:t>招商引资企业</w:t>
      </w:r>
      <w:r>
        <w:rPr>
          <w:rFonts w:hint="eastAsia"/>
          <w:sz w:val="32"/>
          <w:szCs w:val="32"/>
        </w:rPr>
        <w:t>共计87</w:t>
      </w:r>
      <w:r>
        <w:rPr>
          <w:sz w:val="32"/>
          <w:szCs w:val="32"/>
        </w:rPr>
        <w:t>家</w:t>
      </w:r>
      <w:r>
        <w:rPr>
          <w:rFonts w:hint="eastAsia"/>
          <w:sz w:val="32"/>
          <w:szCs w:val="32"/>
          <w:lang w:eastAsia="zh-CN"/>
        </w:rPr>
        <w:t>。</w:t>
      </w:r>
    </w:p>
    <w:p>
      <w:pPr>
        <w:topLinePunct/>
        <w:spacing w:line="600" w:lineRule="exact"/>
        <w:ind w:firstLine="593"/>
        <w:rPr>
          <w:rFonts w:ascii="仿宋_GB2312" w:hAnsi="仿宋_GB2312" w:cs="仿宋_GB2312"/>
          <w:szCs w:val="32"/>
        </w:rPr>
      </w:pPr>
      <w:r>
        <w:rPr>
          <w:rFonts w:hint="eastAsia" w:ascii="仿宋_GB2312" w:hAnsi="仿宋_GB2312" w:cs="仿宋_GB2312"/>
          <w:szCs w:val="32"/>
        </w:rPr>
        <w:t>项目依法依规完成相关单位招标选聘工作，保质保量完成工程建设任务，并移交入驻企业使用。</w:t>
      </w:r>
    </w:p>
    <w:p>
      <w:pPr>
        <w:ind w:firstLine="594" w:firstLineChars="200"/>
        <w:rPr>
          <w:rFonts w:ascii="仿宋_GB2312" w:hAnsi="仿宋_GB2312" w:cs="仿宋_GB2312"/>
          <w:szCs w:val="32"/>
        </w:rPr>
      </w:pPr>
      <w:r>
        <w:rPr>
          <w:rFonts w:hint="eastAsia" w:ascii="仿宋_GB2312" w:hAnsi="仿宋_GB2312" w:cs="仿宋_GB2312"/>
          <w:szCs w:val="32"/>
        </w:rPr>
        <w:t>按照相关工程建筑管理规范，造价、监理全过程介入，安排专人定期不定期对施工现场进行巡查，若存在问题，及时发现及时整改，确保项目施工顺利完成。</w:t>
      </w:r>
    </w:p>
    <w:p>
      <w:pPr>
        <w:numPr>
          <w:ilvl w:val="0"/>
          <w:numId w:val="3"/>
        </w:numPr>
        <w:spacing w:line="560" w:lineRule="exact"/>
        <w:ind w:firstLine="594" w:firstLineChars="200"/>
        <w:outlineLvl w:val="0"/>
        <w:rPr>
          <w:rFonts w:ascii="仿宋_GB2312"/>
          <w:szCs w:val="32"/>
        </w:rPr>
      </w:pPr>
      <w:r>
        <w:rPr>
          <w:rFonts w:hint="eastAsia" w:ascii="楷体" w:hAnsi="楷体" w:eastAsia="楷体" w:cs="楷体"/>
          <w:szCs w:val="32"/>
        </w:rPr>
        <w:t>项目绩效情况分析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1.项目经济性分析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装修公司采用公开招标的方式选择施工单位。项目施工本着勤俭节约的原则对成本进行控制。</w:t>
      </w:r>
    </w:p>
    <w:p>
      <w:pPr>
        <w:topLinePunct/>
        <w:spacing w:line="600" w:lineRule="exact"/>
        <w:ind w:left="594" w:leftChars="200"/>
        <w:rPr>
          <w:rFonts w:ascii="仿宋_GB2312" w:hAnsi="仿宋_GB2312" w:cs="仿宋_GB2312"/>
          <w:szCs w:val="32"/>
        </w:rPr>
      </w:pPr>
      <w:r>
        <w:rPr>
          <w:rFonts w:hint="eastAsia" w:ascii="仿宋_GB2312" w:hAnsi="仿宋_GB2312" w:cs="仿宋_GB2312"/>
          <w:szCs w:val="32"/>
        </w:rPr>
        <w:t>2.项目效率性分析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项目按照施工计划已完成建设工作，施工质量符合相关规定。</w:t>
      </w:r>
    </w:p>
    <w:p>
      <w:pPr>
        <w:topLinePunct/>
        <w:spacing w:line="600" w:lineRule="exact"/>
        <w:ind w:left="594" w:leftChars="200"/>
        <w:rPr>
          <w:rFonts w:ascii="仿宋_GB2312" w:hAnsi="仿宋_GB2312" w:cs="仿宋_GB2312"/>
          <w:szCs w:val="32"/>
        </w:rPr>
      </w:pPr>
      <w:r>
        <w:rPr>
          <w:rFonts w:hint="eastAsia" w:ascii="仿宋_GB2312" w:hAnsi="仿宋_GB2312" w:cs="仿宋_GB2312"/>
          <w:szCs w:val="32"/>
        </w:rPr>
        <w:t>3.项目有效性分析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项目的资金使用，满足园区入驻企业办公场地需求，为园区下一步招商引资工作奠定基础。</w:t>
      </w:r>
    </w:p>
    <w:p>
      <w:pPr>
        <w:topLinePunct/>
        <w:spacing w:line="600" w:lineRule="exact"/>
        <w:ind w:left="594" w:leftChars="200"/>
        <w:rPr>
          <w:rFonts w:ascii="仿宋_GB2312" w:hAnsi="仿宋_GB2312" w:cs="仿宋_GB2312"/>
          <w:szCs w:val="32"/>
        </w:rPr>
      </w:pPr>
      <w:r>
        <w:rPr>
          <w:rFonts w:hint="eastAsia" w:ascii="仿宋_GB2312" w:hAnsi="仿宋_GB2312" w:cs="仿宋_GB2312"/>
          <w:szCs w:val="32"/>
        </w:rPr>
        <w:t>4.项目可持续性分析</w:t>
      </w:r>
    </w:p>
    <w:p>
      <w:pPr>
        <w:topLinePunct/>
        <w:spacing w:line="600" w:lineRule="exact"/>
        <w:ind w:firstLine="594" w:firstLineChars="200"/>
        <w:rPr>
          <w:rFonts w:ascii="仿宋_GB2312" w:hAnsi="仿宋_GB2312" w:cs="仿宋_GB2312"/>
          <w:szCs w:val="32"/>
        </w:rPr>
      </w:pPr>
      <w:r>
        <w:rPr>
          <w:rFonts w:hint="eastAsia" w:ascii="仿宋_GB2312" w:hAnsi="仿宋_GB2312" w:cs="仿宋_GB2312"/>
          <w:szCs w:val="32"/>
        </w:rPr>
        <w:t>已完成装修场地全部移交入驻企业使用，为园区后续招商引资打下坚实基础。</w:t>
      </w:r>
    </w:p>
    <w:p>
      <w:pPr>
        <w:numPr>
          <w:ilvl w:val="0"/>
          <w:numId w:val="4"/>
        </w:numPr>
        <w:ind w:firstLine="594" w:firstLineChars="200"/>
        <w:rPr>
          <w:rFonts w:ascii="仿宋_GB2312"/>
          <w:b/>
          <w:szCs w:val="32"/>
        </w:rPr>
      </w:pPr>
      <w:r>
        <w:rPr>
          <w:rFonts w:hint="eastAsia" w:ascii="仿宋_GB2312"/>
          <w:b/>
          <w:szCs w:val="32"/>
        </w:rPr>
        <w:t>综合评价情况及评价结论</w:t>
      </w:r>
      <w:r>
        <w:rPr>
          <w:rFonts w:hint="eastAsia" w:ascii="仿宋_GB2312"/>
          <w:bCs/>
          <w:szCs w:val="32"/>
        </w:rPr>
        <w:t>（附相关评分表）</w:t>
      </w:r>
      <w:r>
        <w:rPr>
          <w:rFonts w:hint="eastAsia" w:ascii="仿宋_GB2312"/>
          <w:b/>
          <w:szCs w:val="32"/>
        </w:rPr>
        <w:t>。</w:t>
      </w:r>
    </w:p>
    <w:p>
      <w:pPr>
        <w:spacing w:line="560" w:lineRule="exact"/>
        <w:ind w:firstLine="594" w:firstLineChars="200"/>
        <w:rPr>
          <w:rFonts w:ascii="仿宋_GB2312" w:hAnsi="仿宋_GB2312" w:cs="仿宋_GB2312"/>
          <w:szCs w:val="32"/>
        </w:rPr>
      </w:pPr>
      <w:r>
        <w:rPr>
          <w:rFonts w:hint="eastAsia" w:ascii="仿宋_GB2312" w:hAnsi="仿宋_GB2312" w:cs="仿宋_GB2312"/>
          <w:szCs w:val="32"/>
        </w:rPr>
        <w:t>综合各指标评价之后，该项目绩效评价结果为</w:t>
      </w:r>
      <w:r>
        <w:rPr>
          <w:rFonts w:hint="eastAsia" w:ascii="仿宋_GB2312" w:hAnsi="仿宋_GB2312" w:cs="仿宋_GB2312"/>
          <w:szCs w:val="32"/>
          <w:highlight w:val="none"/>
        </w:rPr>
        <w:t>“</w:t>
      </w:r>
      <w:r>
        <w:rPr>
          <w:rFonts w:hint="eastAsia" w:ascii="仿宋_GB2312" w:hAnsi="仿宋_GB2312" w:cs="仿宋_GB2312"/>
          <w:szCs w:val="32"/>
          <w:highlight w:val="none"/>
          <w:lang w:val="en-US" w:eastAsia="zh-CN"/>
        </w:rPr>
        <w:t>良</w:t>
      </w:r>
      <w:r>
        <w:rPr>
          <w:rFonts w:hint="eastAsia" w:ascii="仿宋_GB2312" w:hAnsi="仿宋_GB2312" w:cs="仿宋_GB2312"/>
          <w:szCs w:val="32"/>
          <w:highlight w:val="none"/>
        </w:rPr>
        <w:t>”，</w:t>
      </w:r>
      <w:r>
        <w:rPr>
          <w:rFonts w:hint="eastAsia" w:ascii="仿宋_GB2312" w:hAnsi="仿宋_GB2312" w:cs="仿宋_GB2312"/>
          <w:szCs w:val="32"/>
        </w:rPr>
        <w:t>评分表见下表附表3。</w:t>
      </w:r>
    </w:p>
    <w:p>
      <w:pPr>
        <w:spacing w:line="600" w:lineRule="exact"/>
        <w:rPr>
          <w:rFonts w:ascii="黑体" w:eastAsia="黑体"/>
          <w:szCs w:val="32"/>
        </w:rPr>
      </w:pPr>
      <w:r>
        <w:rPr>
          <w:rFonts w:hint="eastAsia" w:ascii="黑体" w:eastAsia="黑体"/>
          <w:szCs w:val="32"/>
        </w:rPr>
        <w:t>附件3</w:t>
      </w:r>
    </w:p>
    <w:tbl>
      <w:tblPr>
        <w:tblStyle w:val="11"/>
        <w:tblW w:w="88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16"/>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499" w:hRule="atLeast"/>
          <w:tblHeader/>
        </w:trPr>
        <w:tc>
          <w:tcPr>
            <w:tcW w:w="8847" w:type="dxa"/>
            <w:gridSpan w:val="10"/>
            <w:tcBorders>
              <w:top w:val="nil"/>
              <w:left w:val="nil"/>
              <w:right w:val="nil"/>
            </w:tcBorders>
            <w:vAlign w:val="center"/>
          </w:tcPr>
          <w:p>
            <w:pPr>
              <w:widowControl/>
              <w:spacing w:beforeLines="50" w:afterLines="50"/>
              <w:jc w:val="center"/>
              <w:rPr>
                <w:rFonts w:ascii="黑体" w:hAnsi="宋体" w:eastAsia="黑体" w:cs="宋体"/>
                <w:kern w:val="0"/>
                <w:sz w:val="36"/>
                <w:szCs w:val="36"/>
              </w:rPr>
            </w:pP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907" w:hRule="atLeast"/>
          <w:tblHeader/>
        </w:trPr>
        <w:tc>
          <w:tcPr>
            <w:tcW w:w="616"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3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747"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w:t>
            </w:r>
            <w:r>
              <w:rPr>
                <w:rFonts w:hint="eastAsia" w:ascii="仿宋_GB2312" w:hAnsi="宋体" w:cs="宋体"/>
                <w:kern w:val="0"/>
                <w:sz w:val="21"/>
                <w:szCs w:val="21"/>
              </w:rPr>
              <w:t>0分）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2</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w:t>
            </w:r>
            <w:r>
              <w:rPr>
                <w:rFonts w:hint="eastAsia" w:ascii="仿宋_GB2312" w:hAnsi="宋体" w:cs="宋体"/>
                <w:kern w:val="0"/>
                <w:sz w:val="21"/>
                <w:szCs w:val="21"/>
              </w:rPr>
              <w:t>6分）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资金使用（3分）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虚列套取扣3分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扣3分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超标准开支扣2分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907"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vAlign w:val="center"/>
          </w:tcPr>
          <w:p>
            <w:pPr>
              <w:widowControl/>
              <w:spacing w:line="260" w:lineRule="exact"/>
              <w:ind w:left="187" w:hanging="187"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1</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4</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xml:space="preserve">绩效 </w:t>
            </w:r>
            <w:r>
              <w:rPr>
                <w:rFonts w:ascii="仿宋_GB2312" w:hAnsi="宋体" w:cs="宋体"/>
                <w:kern w:val="0"/>
                <w:sz w:val="21"/>
                <w:szCs w:val="21"/>
              </w:rPr>
              <w:t>(</w:t>
            </w:r>
            <w:r>
              <w:rPr>
                <w:rFonts w:hint="eastAsia" w:ascii="仿宋_GB2312" w:hAnsi="宋体" w:cs="宋体"/>
                <w:kern w:val="0"/>
                <w:sz w:val="21"/>
                <w:szCs w:val="21"/>
              </w:rPr>
              <w:t>60分）</w:t>
            </w:r>
          </w:p>
        </w:tc>
        <w:tc>
          <w:tcPr>
            <w:tcW w:w="728" w:type="dxa"/>
            <w:vMerge w:val="restart"/>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w:t>
            </w:r>
            <w:r>
              <w:rPr>
                <w:rFonts w:hint="eastAsia" w:ascii="仿宋_GB2312" w:hAnsi="宋体" w:cs="宋体"/>
                <w:kern w:val="0"/>
                <w:sz w:val="21"/>
                <w:szCs w:val="21"/>
              </w:rPr>
              <w:t>20分）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产出质量（5分）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产出时效（5分）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产出成本（5分）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3</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restart"/>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6</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8</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Before w:val="1"/>
          <w:wBefore w:w="15" w:type="dxa"/>
          <w:trHeight w:val="879" w:hRule="atLeast"/>
        </w:trPr>
        <w:tc>
          <w:tcPr>
            <w:tcW w:w="616" w:type="dxa"/>
            <w:vMerge w:val="continue"/>
            <w:vAlign w:val="center"/>
          </w:tcPr>
          <w:p>
            <w:pPr>
              <w:widowControl/>
              <w:spacing w:line="260" w:lineRule="exact"/>
              <w:jc w:val="left"/>
              <w:rPr>
                <w:rFonts w:ascii="仿宋_GB2312" w:hAnsi="宋体" w:cs="宋体"/>
                <w:kern w:val="0"/>
                <w:sz w:val="21"/>
                <w:szCs w:val="21"/>
              </w:rPr>
            </w:pPr>
          </w:p>
        </w:tc>
        <w:tc>
          <w:tcPr>
            <w:tcW w:w="728" w:type="dxa"/>
            <w:vMerge w:val="continue"/>
            <w:vAlign w:val="center"/>
          </w:tcPr>
          <w:p>
            <w:pPr>
              <w:widowControl/>
              <w:spacing w:line="260" w:lineRule="exact"/>
              <w:jc w:val="left"/>
              <w:rPr>
                <w:rFonts w:ascii="仿宋_GB2312" w:hAnsi="宋体" w:cs="宋体"/>
                <w:kern w:val="0"/>
                <w:sz w:val="21"/>
                <w:szCs w:val="21"/>
              </w:rPr>
            </w:pPr>
          </w:p>
        </w:tc>
        <w:tc>
          <w:tcPr>
            <w:tcW w:w="1013" w:type="dxa"/>
            <w:gridSpan w:val="3"/>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7</w:t>
            </w:r>
          </w:p>
        </w:tc>
        <w:tc>
          <w:tcPr>
            <w:tcW w:w="2765" w:type="dxa"/>
            <w:gridSpan w:val="2"/>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2356" w:type="dxa"/>
            <w:gridSpan w:val="4"/>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80</w:t>
            </w:r>
          </w:p>
        </w:tc>
        <w:tc>
          <w:tcPr>
            <w:tcW w:w="2775"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numPr>
          <w:ilvl w:val="0"/>
          <w:numId w:val="4"/>
        </w:numPr>
        <w:ind w:firstLine="594" w:firstLineChars="200"/>
        <w:rPr>
          <w:rFonts w:ascii="仿宋_GB2312"/>
          <w:b/>
          <w:szCs w:val="32"/>
        </w:rPr>
      </w:pPr>
      <w:r>
        <w:rPr>
          <w:rFonts w:hint="eastAsia" w:ascii="仿宋_GB2312"/>
          <w:b/>
          <w:szCs w:val="32"/>
        </w:rPr>
        <w:t>绩效评价结果应用建议</w:t>
      </w:r>
      <w:r>
        <w:rPr>
          <w:rFonts w:hint="eastAsia" w:ascii="仿宋_GB2312"/>
          <w:bCs/>
          <w:szCs w:val="32"/>
        </w:rPr>
        <w:t>。</w:t>
      </w:r>
    </w:p>
    <w:p>
      <w:pPr>
        <w:ind w:firstLine="594" w:firstLineChars="200"/>
        <w:rPr>
          <w:rFonts w:ascii="仿宋_GB2312" w:hAnsi="仿宋_GB2312" w:cs="仿宋_GB2312"/>
          <w:szCs w:val="32"/>
        </w:rPr>
      </w:pPr>
      <w:r>
        <w:rPr>
          <w:rFonts w:hint="eastAsia" w:ascii="仿宋_GB2312" w:hAnsi="仿宋_GB2312" w:cs="仿宋_GB2312"/>
          <w:szCs w:val="32"/>
        </w:rPr>
        <w:t>协议签订后，因装修工期问题，无法按时移交企业租赁场地，导致企业房屋租金收缴落实不及时；下一步将提高场地装修进度，及时收取房租，及时落实下一年租金，保证租金到位，同时加强园区基础设施等生态环境的建设提升。</w:t>
      </w:r>
    </w:p>
    <w:p>
      <w:pPr>
        <w:spacing w:line="560" w:lineRule="exact"/>
        <w:ind w:left="594" w:leftChars="200"/>
        <w:rPr>
          <w:rFonts w:asciiTheme="majorHAnsi" w:hAnsiTheme="majorHAnsi" w:cstheme="majorBidi"/>
          <w:bCs/>
          <w:szCs w:val="32"/>
        </w:rPr>
      </w:pPr>
      <w:r>
        <w:rPr>
          <w:rFonts w:hint="eastAsia" w:ascii="仿宋_GB2312"/>
          <w:b/>
          <w:szCs w:val="32"/>
        </w:rPr>
        <w:t>七、主要经验及做法、存在的问题和建议。</w:t>
      </w:r>
      <w:bookmarkStart w:id="1" w:name="_Toc30514902"/>
    </w:p>
    <w:p>
      <w:pPr>
        <w:topLinePunct/>
        <w:spacing w:line="600" w:lineRule="exact"/>
        <w:ind w:firstLine="593"/>
        <w:rPr>
          <w:rFonts w:ascii="仿宋_GB2312" w:hAnsi="仿宋_GB2312" w:cs="仿宋_GB2312"/>
          <w:szCs w:val="32"/>
        </w:rPr>
      </w:pPr>
      <w:r>
        <w:rPr>
          <w:rFonts w:hint="eastAsia" w:ascii="仿宋_GB2312" w:hAnsi="仿宋"/>
        </w:rPr>
        <w:t>1、</w:t>
      </w:r>
      <w:r>
        <w:rPr>
          <w:rFonts w:hint="eastAsia" w:ascii="仿宋_GB2312" w:hAnsi="仿宋_GB2312" w:cs="仿宋_GB2312"/>
          <w:szCs w:val="32"/>
        </w:rPr>
        <w:t>按照相关工程建筑管理规范，造价、监理全过程介入，安排专人定期不定期对施工现场进行巡查，若存在问题，及时发现及时整改，确保项目施工顺利完成。</w:t>
      </w:r>
    </w:p>
    <w:p>
      <w:pPr>
        <w:topLinePunct/>
        <w:ind w:firstLine="594" w:firstLineChars="200"/>
        <w:rPr>
          <w:rFonts w:ascii="仿宋_GB2312" w:hAnsi="仿宋"/>
        </w:rPr>
      </w:pPr>
      <w:r>
        <w:rPr>
          <w:rFonts w:hint="eastAsia" w:ascii="仿宋_GB2312" w:hAnsi="仿宋"/>
        </w:rPr>
        <w:t>2、落实项目技术指标及功能参数是否按前期规划内容执行。</w:t>
      </w:r>
    </w:p>
    <w:bookmarkEnd w:id="1"/>
    <w:p>
      <w:pPr>
        <w:ind w:left="594" w:leftChars="200"/>
        <w:rPr>
          <w:rFonts w:ascii="仿宋_GB2312"/>
          <w:b/>
          <w:szCs w:val="32"/>
        </w:rPr>
      </w:pPr>
      <w:r>
        <w:rPr>
          <w:rFonts w:hint="eastAsia" w:ascii="仿宋_GB2312"/>
          <w:b/>
          <w:szCs w:val="32"/>
        </w:rPr>
        <w:t>八、其他需说明的问题。</w:t>
      </w:r>
    </w:p>
    <w:p>
      <w:pPr>
        <w:ind w:left="594" w:leftChars="200"/>
        <w:rPr>
          <w:rFonts w:ascii="仿宋_GB2312"/>
          <w:bCs/>
          <w:szCs w:val="32"/>
        </w:rPr>
      </w:pPr>
      <w:r>
        <w:rPr>
          <w:rFonts w:hint="eastAsia" w:ascii="仿宋_GB2312"/>
          <w:bCs/>
          <w:szCs w:val="32"/>
        </w:rPr>
        <w:t>无。</w:t>
      </w:r>
    </w:p>
    <w:p>
      <w:pPr>
        <w:topLinePunct/>
        <w:spacing w:line="560" w:lineRule="exact"/>
        <w:ind w:firstLine="594" w:firstLineChars="200"/>
        <w:rPr>
          <w:rFonts w:ascii="Times New Roman" w:hAnsi="Times New Roman" w:cs="Times New Roman"/>
          <w:szCs w:val="32"/>
        </w:rPr>
      </w:pPr>
    </w:p>
    <w:p>
      <w:pPr>
        <w:spacing w:line="560" w:lineRule="exact"/>
        <w:jc w:val="both"/>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8634A"/>
    <w:multiLevelType w:val="singleLevel"/>
    <w:tmpl w:val="8BF8634A"/>
    <w:lvl w:ilvl="0" w:tentative="0">
      <w:start w:val="2"/>
      <w:numFmt w:val="chineseCounting"/>
      <w:suff w:val="nothing"/>
      <w:lvlText w:val="（%1）"/>
      <w:lvlJc w:val="left"/>
      <w:rPr>
        <w:rFonts w:hint="eastAsia"/>
      </w:rPr>
    </w:lvl>
  </w:abstractNum>
  <w:abstractNum w:abstractNumId="1">
    <w:nsid w:val="9F28CCFF"/>
    <w:multiLevelType w:val="singleLevel"/>
    <w:tmpl w:val="9F28CCFF"/>
    <w:lvl w:ilvl="0" w:tentative="0">
      <w:start w:val="5"/>
      <w:numFmt w:val="chineseCounting"/>
      <w:suff w:val="nothing"/>
      <w:lvlText w:val="%1、"/>
      <w:lvlJc w:val="left"/>
      <w:rPr>
        <w:rFonts w:hint="eastAsia"/>
      </w:rPr>
    </w:lvl>
  </w:abstractNum>
  <w:abstractNum w:abstractNumId="2">
    <w:nsid w:val="229CE27D"/>
    <w:multiLevelType w:val="multilevel"/>
    <w:tmpl w:val="229CE27D"/>
    <w:lvl w:ilvl="0" w:tentative="0">
      <w:start w:val="1"/>
      <w:numFmt w:val="chineseCounting"/>
      <w:pStyle w:val="2"/>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tabs>
          <w:tab w:val="left" w:pos="2745"/>
        </w:tabs>
        <w:ind w:firstLine="400"/>
      </w:pPr>
      <w:rPr>
        <w:rFonts w:ascii="华文楷体" w:hAnsi="华文楷体" w:eastAsia="仿宋_GB2312"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3">
    <w:nsid w:val="43B18715"/>
    <w:multiLevelType w:val="singleLevel"/>
    <w:tmpl w:val="43B18715"/>
    <w:lvl w:ilvl="0" w:tentative="0">
      <w:start w:val="2"/>
      <w:numFmt w:val="chineseCounting"/>
      <w:suff w:val="nothing"/>
      <w:lvlText w:val="（%1）"/>
      <w:lvlJc w:val="left"/>
      <w:pPr>
        <w:ind w:left="-2"/>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7C6B"/>
    <w:rsid w:val="000C4FD0"/>
    <w:rsid w:val="000C61DD"/>
    <w:rsid w:val="001130C4"/>
    <w:rsid w:val="00172A27"/>
    <w:rsid w:val="00225503"/>
    <w:rsid w:val="00292960"/>
    <w:rsid w:val="0032382D"/>
    <w:rsid w:val="003434ED"/>
    <w:rsid w:val="003769B1"/>
    <w:rsid w:val="00477A49"/>
    <w:rsid w:val="0049685E"/>
    <w:rsid w:val="004F21F0"/>
    <w:rsid w:val="005C2861"/>
    <w:rsid w:val="005C6C18"/>
    <w:rsid w:val="006D0E2A"/>
    <w:rsid w:val="006F3A74"/>
    <w:rsid w:val="008A3BA8"/>
    <w:rsid w:val="00902A69"/>
    <w:rsid w:val="00952AB4"/>
    <w:rsid w:val="009625BA"/>
    <w:rsid w:val="00993667"/>
    <w:rsid w:val="009C2F5B"/>
    <w:rsid w:val="009E4ECF"/>
    <w:rsid w:val="009F1C47"/>
    <w:rsid w:val="00A31A0E"/>
    <w:rsid w:val="00A50CDE"/>
    <w:rsid w:val="00AF7BA5"/>
    <w:rsid w:val="00B94C43"/>
    <w:rsid w:val="00D324B7"/>
    <w:rsid w:val="00D66252"/>
    <w:rsid w:val="00E43427"/>
    <w:rsid w:val="00FF2429"/>
    <w:rsid w:val="02FB2AB8"/>
    <w:rsid w:val="043855C5"/>
    <w:rsid w:val="05AE36CA"/>
    <w:rsid w:val="06525C14"/>
    <w:rsid w:val="08563735"/>
    <w:rsid w:val="0BBD5551"/>
    <w:rsid w:val="0F4F7876"/>
    <w:rsid w:val="177C1352"/>
    <w:rsid w:val="22B90AA8"/>
    <w:rsid w:val="25951B22"/>
    <w:rsid w:val="26B0746D"/>
    <w:rsid w:val="2720727C"/>
    <w:rsid w:val="2A957D1D"/>
    <w:rsid w:val="34BA06A5"/>
    <w:rsid w:val="35503F40"/>
    <w:rsid w:val="378A5996"/>
    <w:rsid w:val="39C854A1"/>
    <w:rsid w:val="3AA426C0"/>
    <w:rsid w:val="3DD70965"/>
    <w:rsid w:val="43605A2F"/>
    <w:rsid w:val="4CE74F06"/>
    <w:rsid w:val="51C05EE5"/>
    <w:rsid w:val="531830B8"/>
    <w:rsid w:val="56927B6F"/>
    <w:rsid w:val="5A3C6978"/>
    <w:rsid w:val="62B26CF5"/>
    <w:rsid w:val="67600811"/>
    <w:rsid w:val="6DD56D9C"/>
    <w:rsid w:val="6E710353"/>
    <w:rsid w:val="6FED0DBF"/>
    <w:rsid w:val="7873473F"/>
    <w:rsid w:val="789D155E"/>
    <w:rsid w:val="792400DE"/>
    <w:rsid w:val="794A3EB1"/>
    <w:rsid w:val="7B6F2E8B"/>
    <w:rsid w:val="7F3E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qFormat/>
    <w:uiPriority w:val="99"/>
    <w:pPr>
      <w:widowControl w:val="0"/>
      <w:numPr>
        <w:ilvl w:val="0"/>
        <w:numId w:val="1"/>
      </w:numPr>
      <w:tabs>
        <w:tab w:val="left" w:pos="310"/>
      </w:tabs>
      <w:jc w:val="both"/>
      <w:outlineLvl w:val="0"/>
    </w:pPr>
    <w:rPr>
      <w:rFonts w:ascii="华文楷体" w:hAnsi="华文楷体" w:eastAsia="黑体" w:cs="Times New Roman"/>
      <w:sz w:val="32"/>
      <w:lang w:val="en-GB"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tabs>
        <w:tab w:val="left" w:pos="420"/>
      </w:tabs>
      <w:adjustRightInd w:val="0"/>
      <w:spacing w:line="360" w:lineRule="auto"/>
      <w:ind w:firstLine="420"/>
      <w:textAlignment w:val="baseline"/>
    </w:pPr>
    <w:rPr>
      <w:sz w:val="24"/>
    </w:rPr>
  </w:style>
  <w:style w:type="paragraph" w:styleId="5">
    <w:name w:val="Body Text Indent"/>
    <w:basedOn w:val="1"/>
    <w:next w:val="6"/>
    <w:qFormat/>
    <w:uiPriority w:val="0"/>
    <w:pPr>
      <w:ind w:firstLine="425"/>
    </w:pPr>
    <w:rPr>
      <w:rFonts w:eastAsia="楷体_GB2312"/>
      <w:szCs w:val="21"/>
    </w:rPr>
  </w:style>
  <w:style w:type="paragraph" w:styleId="6">
    <w:name w:val="Body Text First Indent 2"/>
    <w:basedOn w:val="5"/>
    <w:qFormat/>
    <w:uiPriority w:val="0"/>
    <w:pPr>
      <w:spacing w:after="120"/>
      <w:ind w:left="420" w:firstLine="0"/>
    </w:pPr>
    <w:rPr>
      <w:rFonts w:ascii="Times New Roman" w:hAnsi="Times New Roman"/>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3"/>
    <w:next w:val="6"/>
    <w:qFormat/>
    <w:uiPriority w:val="99"/>
    <w:pPr>
      <w:ind w:firstLine="420" w:firstLineChars="100"/>
    </w:p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正文"/>
    <w:basedOn w:val="1"/>
    <w:link w:val="15"/>
    <w:qFormat/>
    <w:uiPriority w:val="0"/>
    <w:pPr>
      <w:spacing w:line="360" w:lineRule="auto"/>
      <w:ind w:firstLine="480" w:firstLineChars="200"/>
      <w:jc w:val="left"/>
    </w:pPr>
    <w:rPr>
      <w:rFonts w:ascii="宋体" w:hAnsi="宋体" w:eastAsia="宋体" w:cs="Times New Roman"/>
      <w:snapToGrid w:val="0"/>
      <w:sz w:val="24"/>
      <w:szCs w:val="21"/>
      <w:lang w:val="zh-CN"/>
    </w:rPr>
  </w:style>
  <w:style w:type="character" w:customStyle="1" w:styleId="15">
    <w:name w:val="*正文 Char"/>
    <w:link w:val="14"/>
    <w:qFormat/>
    <w:uiPriority w:val="0"/>
    <w:rPr>
      <w:rFonts w:ascii="宋体" w:hAnsi="宋体" w:eastAsia="宋体" w:cs="Times New Roman"/>
      <w:snapToGrid w:val="0"/>
      <w:kern w:val="2"/>
      <w:sz w:val="24"/>
      <w:szCs w:val="21"/>
      <w:lang w:val="zh-CN"/>
    </w:rPr>
  </w:style>
  <w:style w:type="paragraph" w:customStyle="1" w:styleId="16">
    <w:name w:val="列出段落1"/>
    <w:unhideWhenUsed/>
    <w:qFormat/>
    <w:uiPriority w:val="34"/>
    <w:pPr>
      <w:ind w:firstLine="420" w:firstLineChars="200"/>
    </w:pPr>
    <w:rPr>
      <w:rFonts w:ascii="Times New Roman" w:hAnsi="Times New Roman" w:eastAsia="宋体" w:cs="Times New Roman"/>
      <w:sz w:val="24"/>
      <w:lang w:val="en-US" w:eastAsia="zh-CN" w:bidi="ar-SA"/>
    </w:rPr>
  </w:style>
  <w:style w:type="character" w:customStyle="1" w:styleId="17">
    <w:name w:val="页眉 Char"/>
    <w:basedOn w:val="13"/>
    <w:link w:val="8"/>
    <w:qFormat/>
    <w:uiPriority w:val="0"/>
    <w:rPr>
      <w:rFonts w:eastAsia="仿宋_GB2312" w:asciiTheme="minorHAnsi" w:hAnsiTheme="minorHAnsi" w:cstheme="minorBidi"/>
      <w:kern w:val="2"/>
      <w:sz w:val="18"/>
      <w:szCs w:val="18"/>
    </w:rPr>
  </w:style>
  <w:style w:type="character" w:customStyle="1" w:styleId="18">
    <w:name w:val="页脚 Char"/>
    <w:basedOn w:val="13"/>
    <w:link w:val="7"/>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3361</Characters>
  <Lines>28</Lines>
  <Paragraphs>7</Paragraphs>
  <TotalTime>3</TotalTime>
  <ScaleCrop>false</ScaleCrop>
  <LinksUpToDate>false</LinksUpToDate>
  <CharactersWithSpaces>3943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2020-04-15T01:49:00Z</dcterms:created>
  <dc:creator>jyjcg</dc:creator>
  <cp:lastModifiedBy>Dell</cp:lastModifiedBy>
  <cp:lastPrinted>2020-03-17T03:50:00Z</cp:lastPrinted>
  <dcterms:modified xsi:type="dcterms:W3CDTF">2022-10-14T02:06:06Z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