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7</w:t>
      </w:r>
      <w:r>
        <w:rPr>
          <w:rFonts w:hint="eastAsia" w:ascii="仿宋_GB2312" w:hAnsi="华文中宋"/>
          <w:bCs/>
          <w:szCs w:val="32"/>
        </w:rPr>
        <w:t>:</w:t>
      </w:r>
    </w:p>
    <w:p>
      <w:pPr>
        <w:rPr>
          <w:rFonts w:ascii="黑体" w:eastAsia="黑体"/>
          <w:szCs w:val="32"/>
        </w:rPr>
      </w:pP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华为昆明软件开发云及产业云项目</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支出绩效跟踪</w:t>
      </w:r>
      <w:r>
        <w:rPr>
          <w:rFonts w:hint="eastAsia" w:ascii="方正小标宋简体" w:hAnsi="方正小标宋简体" w:eastAsia="方正小标宋简体" w:cs="方正小标宋简体"/>
          <w:sz w:val="44"/>
          <w:szCs w:val="44"/>
          <w:lang w:val="en-US" w:eastAsia="zh-CN"/>
        </w:rPr>
        <w:t>自评</w:t>
      </w:r>
      <w:r>
        <w:rPr>
          <w:rFonts w:hint="eastAsia" w:ascii="方正小标宋简体" w:hAnsi="方正小标宋简体" w:eastAsia="方正小标宋简体" w:cs="方正小标宋简体"/>
          <w:sz w:val="44"/>
          <w:szCs w:val="44"/>
        </w:rPr>
        <w:t>报告</w:t>
      </w:r>
    </w:p>
    <w:p>
      <w:pPr>
        <w:spacing w:line="600" w:lineRule="exact"/>
        <w:ind w:firstLine="594" w:firstLineChars="200"/>
        <w:rPr>
          <w:rFonts w:ascii="仿宋_GB2312"/>
          <w:b/>
          <w:szCs w:val="32"/>
        </w:rPr>
      </w:pPr>
    </w:p>
    <w:p>
      <w:pPr>
        <w:numPr>
          <w:ilvl w:val="0"/>
          <w:numId w:val="2"/>
        </w:numPr>
        <w:topLinePunct/>
        <w:ind w:firstLine="594" w:firstLineChars="200"/>
        <w:rPr>
          <w:rFonts w:hint="eastAsia" w:ascii="黑体" w:eastAsia="黑体"/>
          <w:szCs w:val="32"/>
        </w:rPr>
      </w:pPr>
      <w:r>
        <w:rPr>
          <w:rFonts w:hint="eastAsia" w:ascii="黑体" w:eastAsia="黑体"/>
          <w:szCs w:val="32"/>
        </w:rPr>
        <w:t>项目基本情况</w:t>
      </w:r>
    </w:p>
    <w:p>
      <w:pPr>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default" w:ascii="Times New Roman" w:hAnsi="Times New Roman" w:eastAsia="楷体_GB2312" w:cs="Times New Roman"/>
          <w:szCs w:val="32"/>
          <w:lang w:eastAsia="zh-CN"/>
        </w:rPr>
        <w:t>（一）</w:t>
      </w:r>
      <w:r>
        <w:rPr>
          <w:rFonts w:hint="default" w:ascii="Times New Roman" w:hAnsi="Times New Roman" w:eastAsia="楷体_GB2312" w:cs="Times New Roman"/>
          <w:szCs w:val="32"/>
        </w:rPr>
        <w:t>项目基本情况简介</w:t>
      </w:r>
    </w:p>
    <w:p>
      <w:pPr>
        <w:ind w:firstLine="594" w:firstLineChars="200"/>
        <w:rPr>
          <w:rFonts w:ascii="仿宋_GB2312" w:hAnsi="仿宋_GB2312" w:cs="仿宋_GB2312"/>
          <w:szCs w:val="32"/>
        </w:rPr>
      </w:pPr>
      <w:bookmarkStart w:id="0" w:name="_Toc30514894"/>
      <w:r>
        <w:rPr>
          <w:rFonts w:hint="eastAsia" w:ascii="仿宋_GB2312" w:hAnsi="仿宋_GB2312" w:cs="仿宋_GB2312"/>
          <w:szCs w:val="32"/>
        </w:rPr>
        <w:t>为发展昆明市软件产业及相关信息服务业，昆明市人民政府和华为软件技术有限公司在2017年10月17日签署了《昆明市人民政府华为软件技术有限公司战略合作协议》，将华为软件开发云及产业云引入昆明市，同时在昆明市建设华为（昆明）软件开发云创新中心。根据战略合作协议要求，昆明呈贡信息产业园区管委会和华为签署了落地合作协议；同时，昆明市智慧城市建设投资有限公司与华为根据战略合作协议及相关会议精神，于2018年3月29日签署云服务销售合同。由昆明市智慧城市建设投资有限公司作为项目运营公司，与华为一起共同推进软件开发云及产业云。</w:t>
      </w:r>
    </w:p>
    <w:p>
      <w:pPr>
        <w:topLinePunct/>
        <w:ind w:firstLine="594" w:firstLineChars="200"/>
        <w:rPr>
          <w:rFonts w:hint="eastAsia" w:ascii="仿宋_GB2312" w:hAnsi="仿宋_GB2312" w:cs="仿宋_GB2312"/>
          <w:bCs/>
          <w:szCs w:val="32"/>
        </w:rPr>
      </w:pPr>
      <w:r>
        <w:rPr>
          <w:rFonts w:ascii="Times New Roman" w:hAnsi="Times New Roman"/>
          <w:bCs/>
          <w:szCs w:val="32"/>
        </w:rPr>
        <w:t>华</w:t>
      </w:r>
      <w:r>
        <w:rPr>
          <w:rFonts w:hint="eastAsia" w:ascii="仿宋_GB2312" w:hAnsi="仿宋_GB2312" w:cs="仿宋_GB2312"/>
          <w:bCs/>
          <w:szCs w:val="32"/>
        </w:rPr>
        <w:t>为昆明软件开发云创新中心是昆明市政府和华为合作助推本地软件发展，促进产业链能力提升，助力软件产业升级转型的载体。现阶段主要开展以下四个方面工作：第一，向昆明市软件企业、高校、个人开发者提供软件开发云及产业云服务资源，并提供技术支持服务；第二，开展各种类型的赋能及品牌活动，打造本地软件产业氛围；第三，联合华为合作伙伴，协助昆明市政府开展各类招商活动，积极推动合作伙伴落地昆明；第四，开放华为软件研发能力，为昆明市培养高质量的软件产业人才。</w:t>
      </w:r>
    </w:p>
    <w:p>
      <w:pPr>
        <w:keepNext/>
        <w:keepLines/>
        <w:pageBreakBefore w:val="0"/>
        <w:widowControl w:val="0"/>
        <w:numPr>
          <w:ilvl w:val="0"/>
          <w:numId w:val="3"/>
        </w:numPr>
        <w:kinsoku/>
        <w:wordWrap/>
        <w:overflowPunct/>
        <w:topLinePunct w:val="0"/>
        <w:autoSpaceDE/>
        <w:autoSpaceDN/>
        <w:bidi w:val="0"/>
        <w:adjustRightInd/>
        <w:snapToGrid/>
        <w:spacing w:line="560" w:lineRule="exact"/>
        <w:ind w:firstLine="594" w:firstLineChars="200"/>
        <w:jc w:val="left"/>
        <w:textAlignment w:val="auto"/>
        <w:outlineLvl w:val="1"/>
        <w:rPr>
          <w:rFonts w:hint="eastAsia" w:ascii="仿宋_GB2312" w:eastAsia="楷体" w:hAnsiTheme="majorHAnsi" w:cstheme="majorBidi"/>
          <w:bCs/>
          <w:kern w:val="2"/>
          <w:sz w:val="32"/>
          <w:szCs w:val="32"/>
          <w:lang w:val="en-US" w:eastAsia="zh-CN" w:bidi="ar-SA"/>
        </w:rPr>
      </w:pPr>
      <w:r>
        <w:rPr>
          <w:rFonts w:hint="eastAsia" w:ascii="仿宋_GB2312" w:eastAsia="楷体" w:hAnsiTheme="majorHAnsi" w:cstheme="majorBidi"/>
          <w:bCs/>
          <w:kern w:val="2"/>
          <w:sz w:val="32"/>
          <w:szCs w:val="32"/>
          <w:lang w:val="en-US" w:eastAsia="zh-CN" w:bidi="ar-SA"/>
        </w:rPr>
        <w:t>项目绩效目标。</w:t>
      </w:r>
    </w:p>
    <w:bookmarkEnd w:id="0"/>
    <w:p>
      <w:pPr>
        <w:ind w:firstLine="594" w:firstLineChars="200"/>
        <w:rPr>
          <w:rFonts w:hint="eastAsia" w:ascii="仿宋_GB2312" w:hAnsi="仿宋_GB2312" w:cs="仿宋_GB2312"/>
          <w:bCs/>
          <w:szCs w:val="32"/>
        </w:rPr>
      </w:pPr>
      <w:r>
        <w:rPr>
          <w:rFonts w:hint="eastAsia" w:ascii="仿宋_GB2312" w:hAnsi="仿宋_GB2312" w:cs="仿宋_GB2312"/>
          <w:bCs/>
          <w:szCs w:val="32"/>
        </w:rPr>
        <w:t>扶持昆明市企业数量不少于160家；合作开展软件开发云实训的高校不少于5家；策划品牌活动不少于4次；组织培训、研讨以及企业现场培训活动，参与人员不少于500人次。</w:t>
      </w:r>
    </w:p>
    <w:p>
      <w:pPr>
        <w:numPr>
          <w:ilvl w:val="0"/>
          <w:numId w:val="0"/>
        </w:numPr>
        <w:ind w:leftChars="200"/>
        <w:rPr>
          <w:rFonts w:hint="eastAsia" w:ascii="黑体" w:hAnsi="黑体" w:eastAsia="黑体" w:cs="黑体"/>
          <w:b w:val="0"/>
          <w:bCs/>
          <w:szCs w:val="32"/>
          <w:highlight w:val="none"/>
        </w:rPr>
      </w:pPr>
      <w:r>
        <w:rPr>
          <w:rFonts w:hint="eastAsia" w:ascii="黑体" w:hAnsi="黑体" w:eastAsia="黑体" w:cs="黑体"/>
          <w:b w:val="0"/>
          <w:bCs/>
          <w:szCs w:val="32"/>
          <w:highlight w:val="none"/>
          <w:lang w:eastAsia="zh-CN"/>
        </w:rPr>
        <w:t>二、</w:t>
      </w:r>
      <w:r>
        <w:rPr>
          <w:rFonts w:hint="eastAsia" w:ascii="黑体" w:hAnsi="黑体" w:eastAsia="黑体" w:cs="黑体"/>
          <w:b w:val="0"/>
          <w:bCs/>
          <w:szCs w:val="32"/>
          <w:highlight w:val="none"/>
        </w:rPr>
        <w:t>项目单位绩效报告情况。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highlight w:val="none"/>
        </w:rPr>
      </w:pPr>
      <w:r>
        <w:rPr>
          <w:rFonts w:hint="eastAsia" w:ascii="仿宋_GB2312" w:hAnsi="仿宋_GB2312" w:eastAsia="仿宋_GB2312" w:cs="仿宋_GB2312"/>
          <w:sz w:val="32"/>
          <w:szCs w:val="32"/>
          <w:lang w:val="en-US" w:eastAsia="zh-CN"/>
        </w:rPr>
        <w:t>该项目实施单位为</w:t>
      </w:r>
      <w:r>
        <w:rPr>
          <w:rFonts w:hint="eastAsia" w:ascii="仿宋_GB2312" w:hAnsi="Times New Roman" w:eastAsia="仿宋_GB2312" w:cs="Times New Roman"/>
          <w:sz w:val="32"/>
          <w:szCs w:val="32"/>
          <w:highlight w:val="none"/>
          <w:lang w:val="en-US" w:eastAsia="zh-CN"/>
        </w:rPr>
        <w:t>昆明市智慧城市建设投资有限公司</w:t>
      </w:r>
      <w:r>
        <w:rPr>
          <w:rFonts w:hint="eastAsia" w:ascii="仿宋_GB2312" w:hAnsi="仿宋_GB2312" w:eastAsia="仿宋_GB2312" w:cs="仿宋_GB2312"/>
          <w:sz w:val="32"/>
          <w:szCs w:val="32"/>
          <w:lang w:val="en-US" w:eastAsia="zh-CN"/>
        </w:rPr>
        <w:t>，已按要求按时充分向我单位报送绩效自评报告和绩效自评指标评分表。</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b/>
          <w:sz w:val="32"/>
          <w:szCs w:val="32"/>
          <w:highlight w:val="none"/>
        </w:rPr>
      </w:pPr>
      <w:r>
        <w:rPr>
          <w:rFonts w:hint="eastAsia" w:ascii="黑体" w:hAnsi="黑体" w:eastAsia="黑体" w:cs="黑体"/>
          <w:b/>
          <w:sz w:val="32"/>
          <w:szCs w:val="32"/>
          <w:highlight w:val="none"/>
        </w:rPr>
        <w:t>三、绩效评价工作情况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一）绩效评价目的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绩效评价原则、评价指标体系、评价方法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仿宋_GB2312" w:hAnsi="Times New Roman" w:eastAsia="仿宋_GB2312" w:cs="Times New Roman"/>
          <w:sz w:val="32"/>
          <w:szCs w:val="32"/>
          <w:highlight w:val="none"/>
          <w:lang w:val="en-US" w:eastAsia="zh-CN"/>
        </w:rPr>
      </w:pPr>
      <w:r>
        <w:rPr>
          <w:rFonts w:hint="default" w:ascii="仿宋_GB2312" w:hAnsi="Times New Roman" w:eastAsia="仿宋_GB2312" w:cs="Times New Roman"/>
          <w:sz w:val="32"/>
          <w:szCs w:val="32"/>
          <w:highlight w:val="none"/>
          <w:lang w:val="en-US" w:eastAsia="zh-CN"/>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实地考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（三）绩效评价工作过程</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rPr>
        <w:t>前期准备</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按照绩效自评工作要求，组成以</w:t>
      </w:r>
      <w:r>
        <w:rPr>
          <w:rFonts w:hint="eastAsia" w:ascii="仿宋_GB2312" w:hAnsi="Times New Roman" w:cs="Times New Roman"/>
          <w:sz w:val="32"/>
          <w:szCs w:val="32"/>
          <w:highlight w:val="none"/>
          <w:lang w:eastAsia="zh-CN"/>
        </w:rPr>
        <w:t>分管财务副主任</w:t>
      </w:r>
      <w:r>
        <w:rPr>
          <w:rFonts w:hint="eastAsia" w:ascii="仿宋_GB2312" w:hAnsi="Times New Roman" w:eastAsia="仿宋_GB2312" w:cs="Times New Roman"/>
          <w:sz w:val="32"/>
          <w:szCs w:val="32"/>
          <w:highlight w:val="none"/>
        </w:rPr>
        <w:t>为组长</w:t>
      </w:r>
      <w:r>
        <w:rPr>
          <w:rFonts w:hint="eastAsia" w:ascii="仿宋_GB2312" w:hAnsi="Times New Roman" w:eastAsia="仿宋_GB2312" w:cs="Times New Roman"/>
          <w:sz w:val="32"/>
          <w:szCs w:val="32"/>
          <w:highlight w:val="none"/>
          <w:lang w:eastAsia="zh-CN"/>
        </w:rPr>
        <w:t>，各部办负责人为成员的</w:t>
      </w:r>
      <w:r>
        <w:rPr>
          <w:rFonts w:hint="eastAsia" w:ascii="仿宋_GB2312" w:hAnsi="Times New Roman" w:eastAsia="仿宋_GB2312" w:cs="Times New Roman"/>
          <w:sz w:val="32"/>
          <w:szCs w:val="32"/>
          <w:highlight w:val="none"/>
        </w:rPr>
        <w:t>绩效评价工作小组，根据</w:t>
      </w:r>
      <w:r>
        <w:rPr>
          <w:rFonts w:hint="eastAsia" w:ascii="仿宋_GB2312" w:hAnsi="Times New Roman" w:eastAsia="仿宋_GB2312" w:cs="Times New Roman"/>
          <w:sz w:val="32"/>
          <w:szCs w:val="32"/>
          <w:highlight w:val="none"/>
          <w:lang w:eastAsia="zh-CN"/>
        </w:rPr>
        <w:t>各项目具体</w:t>
      </w:r>
      <w:r>
        <w:rPr>
          <w:rFonts w:hint="eastAsia" w:ascii="仿宋_GB2312" w:hAnsi="Times New Roman" w:eastAsia="仿宋_GB2312" w:cs="Times New Roman"/>
          <w:sz w:val="32"/>
          <w:szCs w:val="32"/>
          <w:highlight w:val="none"/>
        </w:rPr>
        <w:t>情况制定了</w:t>
      </w:r>
      <w:r>
        <w:rPr>
          <w:rFonts w:hint="eastAsia" w:ascii="仿宋_GB2312" w:hAnsi="Times New Roman" w:eastAsia="仿宋_GB2312" w:cs="Times New Roman"/>
          <w:sz w:val="32"/>
          <w:szCs w:val="32"/>
          <w:highlight w:val="none"/>
          <w:lang w:eastAsia="zh-CN"/>
        </w:rPr>
        <w:t>项目</w:t>
      </w:r>
      <w:r>
        <w:rPr>
          <w:rFonts w:hint="eastAsia" w:ascii="仿宋_GB2312" w:hAnsi="Times New Roman" w:eastAsia="仿宋_GB2312" w:cs="Times New Roman"/>
          <w:sz w:val="32"/>
          <w:szCs w:val="32"/>
          <w:highlight w:val="none"/>
        </w:rPr>
        <w:t>支出绩效评价实施方案。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rPr>
        <w:t>组织实施</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仿宋_GB2312" w:eastAsia="仿宋_GB2312" w:cs="仿宋_GB2312"/>
          <w:sz w:val="32"/>
          <w:szCs w:val="32"/>
        </w:rPr>
        <w:t>采用核查法核查20</w:t>
      </w:r>
      <w:r>
        <w:rPr>
          <w:rFonts w:hint="eastAsia" w:ascii="仿宋_GB2312" w:hAnsi="仿宋_GB2312" w:cs="仿宋_GB2312"/>
          <w:sz w:val="32"/>
          <w:szCs w:val="32"/>
          <w:lang w:val="en-US" w:eastAsia="zh-CN"/>
        </w:rPr>
        <w:t>21</w:t>
      </w:r>
      <w:r>
        <w:rPr>
          <w:rFonts w:hint="eastAsia" w:ascii="仿宋_GB2312" w:hAnsi="仿宋_GB2312" w:eastAsia="仿宋_GB2312" w:cs="仿宋_GB2312"/>
          <w:sz w:val="32"/>
          <w:szCs w:val="32"/>
        </w:rPr>
        <w:t>年财政预算批复执行及项目支出情况，着重核查了重点项目管理、内部控制</w:t>
      </w:r>
      <w:r>
        <w:rPr>
          <w:rFonts w:hint="eastAsia" w:ascii="仿宋_GB2312" w:hAnsi="仿宋_GB2312" w:cs="仿宋_GB2312"/>
          <w:sz w:val="32"/>
          <w:szCs w:val="32"/>
          <w:lang w:eastAsia="zh-CN"/>
        </w:rPr>
        <w:t>建设管理</w:t>
      </w:r>
      <w:r>
        <w:rPr>
          <w:rFonts w:hint="eastAsia" w:ascii="仿宋_GB2312" w:hAnsi="仿宋_GB2312" w:eastAsia="仿宋_GB2312" w:cs="仿宋_GB2312"/>
          <w:sz w:val="32"/>
          <w:szCs w:val="32"/>
        </w:rPr>
        <w:t>情况，对</w:t>
      </w:r>
      <w:r>
        <w:rPr>
          <w:rFonts w:hint="eastAsia" w:ascii="仿宋_GB2312" w:hAnsi="仿宋_GB2312" w:eastAsia="仿宋_GB2312" w:cs="仿宋_GB2312"/>
          <w:sz w:val="32"/>
          <w:szCs w:val="32"/>
          <w:lang w:eastAsia="zh-CN"/>
        </w:rPr>
        <w:t>园区各</w:t>
      </w:r>
      <w:r>
        <w:rPr>
          <w:rFonts w:hint="eastAsia" w:ascii="仿宋_GB2312" w:hAnsi="仿宋_GB2312" w:eastAsia="仿宋_GB2312" w:cs="仿宋_GB2312"/>
          <w:sz w:val="32"/>
          <w:szCs w:val="32"/>
        </w:rPr>
        <w:t>内设机构</w:t>
      </w:r>
      <w:r>
        <w:rPr>
          <w:rFonts w:hint="eastAsia" w:ascii="仿宋_GB2312" w:hAnsi="仿宋_GB2312" w:eastAsia="仿宋_GB2312" w:cs="仿宋_GB2312"/>
          <w:sz w:val="32"/>
          <w:szCs w:val="32"/>
          <w:lang w:eastAsia="zh-CN"/>
        </w:rPr>
        <w:t>及项目实施单位</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各自</w:t>
      </w:r>
      <w:r>
        <w:rPr>
          <w:rFonts w:hint="eastAsia" w:ascii="仿宋_GB2312" w:hAnsi="仿宋_GB2312" w:eastAsia="仿宋_GB2312" w:cs="仿宋_GB2312"/>
          <w:sz w:val="32"/>
          <w:szCs w:val="32"/>
        </w:rPr>
        <w:t>职能</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和年初制定的绩效考核目标，进行了绩效考评。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分析评价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eastAsia" w:ascii="仿宋_GB2312" w:hAnsi="仿宋_GB2312" w:eastAsia="仿宋_GB2312" w:cs="仿宋_GB2312"/>
          <w:sz w:val="32"/>
          <w:szCs w:val="32"/>
        </w:rPr>
        <w:t>对评价过程中收集资料进行归纳，汇总分析，依据设定的项目支出绩效评价指标体系进行了评分，形成了综合性书面报告</w:t>
      </w:r>
      <w:r>
        <w:rPr>
          <w:rFonts w:hint="eastAsia" w:ascii="仿宋_GB2312" w:hAnsi="仿宋_GB2312" w:eastAsia="仿宋_GB2312" w:cs="仿宋_GB2312"/>
          <w:sz w:val="32"/>
          <w:szCs w:val="32"/>
          <w:lang w:eastAsia="zh-CN"/>
        </w:rPr>
        <w:t>及评分表</w:t>
      </w:r>
      <w:r>
        <w:rPr>
          <w:rFonts w:hint="eastAsia" w:ascii="仿宋_GB2312" w:hAnsi="仿宋_GB2312" w:eastAsia="仿宋_GB2312" w:cs="仿宋_GB2312"/>
          <w:sz w:val="32"/>
          <w:szCs w:val="32"/>
        </w:rPr>
        <w:t>。</w:t>
      </w:r>
    </w:p>
    <w:p>
      <w:pPr>
        <w:ind w:firstLine="594" w:firstLineChars="200"/>
        <w:rPr>
          <w:rFonts w:ascii="仿宋_GB2312"/>
          <w:b/>
          <w:szCs w:val="32"/>
          <w:highlight w:val="none"/>
        </w:rPr>
      </w:pPr>
      <w:r>
        <w:rPr>
          <w:rFonts w:hint="eastAsia" w:ascii="仿宋_GB2312"/>
          <w:b/>
          <w:szCs w:val="32"/>
          <w:highlight w:val="none"/>
        </w:rPr>
        <w:t>四、绩效评价指标分析情况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黑体" w:cs="Times New Roman"/>
          <w:szCs w:val="32"/>
          <w:lang w:eastAsia="zh-CN"/>
        </w:rPr>
      </w:pPr>
      <w:r>
        <w:rPr>
          <w:rFonts w:hint="eastAsia" w:ascii="楷体" w:hAnsi="楷体" w:eastAsia="楷体" w:cs="楷体"/>
          <w:sz w:val="32"/>
          <w:szCs w:val="32"/>
          <w:highlight w:val="none"/>
        </w:rPr>
        <w:t>（一）项目资金情况分析</w:t>
      </w:r>
    </w:p>
    <w:p>
      <w:pPr>
        <w:ind w:firstLine="594" w:firstLineChars="200"/>
        <w:rPr>
          <w:rFonts w:hint="default" w:ascii="Times New Roman" w:hAnsi="Times New Roman" w:eastAsia="仿宋_GB2312" w:cs="Times New Roman"/>
          <w:sz w:val="32"/>
          <w:szCs w:val="32"/>
          <w:highlight w:val="none"/>
          <w:lang w:val="en-US" w:eastAsia="zh-CN"/>
        </w:rPr>
      </w:pPr>
      <w:r>
        <w:rPr>
          <w:rFonts w:hint="eastAsia" w:ascii="仿宋_GB2312"/>
          <w:szCs w:val="32"/>
          <w:lang w:val="en-US" w:eastAsia="zh-CN"/>
        </w:rPr>
        <w:t>昆明呈贡信息产业园区管理委员会</w:t>
      </w:r>
      <w:r>
        <w:rPr>
          <w:rFonts w:hint="default" w:ascii="Times New Roman" w:hAnsi="Times New Roman" w:eastAsia="仿宋_GB2312" w:cs="Times New Roman"/>
          <w:sz w:val="32"/>
          <w:szCs w:val="32"/>
          <w:highlight w:val="none"/>
          <w:lang w:val="en-US" w:eastAsia="zh-CN"/>
        </w:rPr>
        <w:t>已足额拨付了该项目资金</w:t>
      </w:r>
      <w:r>
        <w:rPr>
          <w:rFonts w:hint="eastAsia" w:ascii="Times New Roman" w:hAnsi="Times New Roman" w:cs="Times New Roman"/>
          <w:sz w:val="32"/>
          <w:szCs w:val="32"/>
          <w:highlight w:val="none"/>
          <w:lang w:val="en-US" w:eastAsia="zh-CN"/>
        </w:rPr>
        <w:t>3000</w:t>
      </w:r>
      <w:r>
        <w:rPr>
          <w:rFonts w:hint="default" w:ascii="Times New Roman" w:hAnsi="Times New Roman" w:eastAsia="仿宋_GB2312" w:cs="Times New Roman"/>
          <w:sz w:val="32"/>
          <w:szCs w:val="32"/>
          <w:highlight w:val="none"/>
          <w:lang w:val="en-US" w:eastAsia="zh-CN"/>
        </w:rPr>
        <w:t>万元至</w:t>
      </w:r>
      <w:r>
        <w:rPr>
          <w:rFonts w:hint="eastAsia" w:ascii="Times New Roman" w:hAnsi="Times New Roman" w:cs="Times New Roman"/>
          <w:sz w:val="32"/>
          <w:szCs w:val="32"/>
          <w:highlight w:val="none"/>
          <w:lang w:val="en-US" w:eastAsia="zh-CN"/>
        </w:rPr>
        <w:t>昆明市智慧城市建设投资</w:t>
      </w:r>
      <w:r>
        <w:rPr>
          <w:rFonts w:hint="default" w:ascii="Times New Roman" w:hAnsi="Times New Roman" w:eastAsia="仿宋_GB2312" w:cs="Times New Roman"/>
          <w:sz w:val="32"/>
          <w:szCs w:val="32"/>
          <w:highlight w:val="none"/>
          <w:lang w:val="en-US" w:eastAsia="zh-CN"/>
        </w:rPr>
        <w:t>有限公司，无滞留、挤占、挪用等违法乱纪情况，资金到位率100%。</w:t>
      </w:r>
    </w:p>
    <w:p>
      <w:pPr>
        <w:ind w:firstLine="594" w:firstLineChars="200"/>
        <w:rPr>
          <w:rFonts w:ascii="仿宋_GB2312" w:hAnsi="仿宋_GB2312" w:cs="仿宋_GB2312"/>
          <w:szCs w:val="32"/>
        </w:rPr>
      </w:pPr>
      <w:r>
        <w:rPr>
          <w:rFonts w:hint="eastAsia" w:ascii="Times New Roman" w:hAnsi="Times New Roman" w:cs="Times New Roman"/>
          <w:sz w:val="32"/>
          <w:szCs w:val="32"/>
          <w:highlight w:val="none"/>
          <w:lang w:val="en-US" w:eastAsia="zh-CN"/>
        </w:rPr>
        <w:t>昆明市智慧城市建设投资</w:t>
      </w:r>
      <w:r>
        <w:rPr>
          <w:rFonts w:hint="default" w:ascii="Times New Roman" w:hAnsi="Times New Roman" w:eastAsia="仿宋_GB2312" w:cs="Times New Roman"/>
          <w:sz w:val="32"/>
          <w:szCs w:val="32"/>
          <w:highlight w:val="none"/>
          <w:lang w:val="en-US" w:eastAsia="zh-CN"/>
        </w:rPr>
        <w:t>有限公司专款专用于华为昆明软件开发云及产业云项目，</w:t>
      </w:r>
      <w:r>
        <w:rPr>
          <w:rFonts w:hint="default" w:ascii="Times New Roman" w:hAnsi="Times New Roman" w:eastAsia="仿宋_GB2312" w:cs="Times New Roman"/>
          <w:sz w:val="32"/>
          <w:szCs w:val="32"/>
          <w:highlight w:val="none"/>
        </w:rPr>
        <w:t>对该项目资金的拨付有完整的审批程序和手续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项目的重大开支</w:t>
      </w:r>
      <w:r>
        <w:rPr>
          <w:rFonts w:hint="default" w:ascii="Times New Roman" w:hAnsi="Times New Roman" w:eastAsia="仿宋_GB2312" w:cs="Times New Roman"/>
          <w:sz w:val="32"/>
          <w:szCs w:val="32"/>
          <w:highlight w:val="none"/>
          <w:lang w:eastAsia="zh-CN"/>
        </w:rPr>
        <w:t>均</w:t>
      </w:r>
      <w:r>
        <w:rPr>
          <w:rFonts w:hint="default" w:ascii="Times New Roman" w:hAnsi="Times New Roman" w:eastAsia="仿宋_GB2312" w:cs="Times New Roman"/>
          <w:sz w:val="32"/>
          <w:szCs w:val="32"/>
          <w:highlight w:val="none"/>
        </w:rPr>
        <w:t>经过集体决策</w:t>
      </w:r>
      <w:r>
        <w:rPr>
          <w:rFonts w:hint="default" w:ascii="Times New Roman" w:hAnsi="Times New Roman" w:eastAsia="仿宋_GB2312" w:cs="Times New Roman"/>
          <w:sz w:val="32"/>
          <w:szCs w:val="32"/>
          <w:highlight w:val="none"/>
          <w:lang w:eastAsia="zh-CN"/>
        </w:rPr>
        <w:t>审批</w:t>
      </w:r>
      <w:r>
        <w:rPr>
          <w:rFonts w:hint="default" w:ascii="Times New Roman" w:hAnsi="Times New Roman" w:eastAsia="仿宋_GB2312" w:cs="Times New Roman"/>
          <w:sz w:val="32"/>
          <w:szCs w:val="32"/>
          <w:highlight w:val="none"/>
        </w:rPr>
        <w:t>。</w:t>
      </w: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该项目实施过程中，除执行国家和地方相关法律、法规和制度外，根据需要制定了相关资金管理办法，且制度执行严格，项目会计核算规范。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0"/>
        <w:rPr>
          <w:rFonts w:hint="eastAsia" w:ascii="楷体_GB2312" w:hAnsi="楷体_GB2312" w:eastAsia="楷体_GB2312" w:cs="楷体_GB2312"/>
          <w:szCs w:val="32"/>
          <w:highlight w:val="none"/>
          <w:lang w:eastAsia="zh-CN"/>
        </w:rPr>
      </w:pPr>
      <w:r>
        <w:rPr>
          <w:rFonts w:hint="eastAsia" w:ascii="楷体_GB2312" w:hAnsi="楷体_GB2312" w:eastAsia="楷体_GB2312" w:cs="楷体_GB2312"/>
          <w:szCs w:val="32"/>
          <w:highlight w:val="none"/>
          <w:lang w:eastAsia="zh-CN"/>
        </w:rPr>
        <w:t>（二）</w:t>
      </w:r>
      <w:r>
        <w:rPr>
          <w:rFonts w:hint="eastAsia" w:ascii="楷体_GB2312" w:hAnsi="楷体_GB2312" w:eastAsia="楷体_GB2312" w:cs="楷体_GB2312"/>
          <w:szCs w:val="32"/>
          <w:highlight w:val="none"/>
        </w:rPr>
        <w:t>项目实施情况分析</w:t>
      </w:r>
      <w:r>
        <w:rPr>
          <w:rFonts w:hint="eastAsia" w:ascii="楷体_GB2312" w:hAnsi="楷体_GB2312" w:eastAsia="楷体_GB2312" w:cs="楷体_GB231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该项目在实施过程中，项目单位的组织结构健全、人员分工明确，场地、信息支撑等落实到位。该项目无调整事项，按计划开工，按计划进度开展，按计划完工，也制定和严格执行了相关项目管理制度。</w:t>
      </w:r>
    </w:p>
    <w:p>
      <w:pPr>
        <w:pStyle w:val="30"/>
        <w:numPr>
          <w:ilvl w:val="0"/>
          <w:numId w:val="0"/>
        </w:numPr>
        <w:topLinePunct/>
        <w:ind w:left="593" w:leftChars="0"/>
        <w:rPr>
          <w:rFonts w:ascii="仿宋_GB2312"/>
          <w:szCs w:val="32"/>
        </w:rPr>
      </w:pPr>
      <w:r>
        <w:rPr>
          <w:rFonts w:ascii="仿宋_GB2312"/>
          <w:szCs w:val="32"/>
        </w:rPr>
        <w:t>项目管理情况</w:t>
      </w:r>
    </w:p>
    <w:p>
      <w:pPr>
        <w:topLinePunct/>
        <w:ind w:firstLine="594" w:firstLineChars="200"/>
        <w:rPr>
          <w:rFonts w:ascii="仿宋_GB2312" w:hAnsi="仿宋" w:cs="仿宋_GB2312"/>
          <w:szCs w:val="32"/>
        </w:rPr>
      </w:pPr>
      <w:r>
        <w:rPr>
          <w:rFonts w:hint="eastAsia" w:ascii="仿宋_GB2312" w:hAnsi="仿宋" w:cs="仿宋_GB2312"/>
          <w:szCs w:val="32"/>
        </w:rPr>
        <w:t>华为软件开发云和产业云资源申请、审核和开通流程如下：</w:t>
      </w:r>
    </w:p>
    <w:p>
      <w:pPr>
        <w:topLinePunct/>
        <w:ind w:firstLine="594" w:firstLineChars="200"/>
        <w:rPr>
          <w:rFonts w:ascii="仿宋_GB2312" w:hAnsi="仿宋" w:cs="仿宋_GB2312"/>
          <w:szCs w:val="32"/>
        </w:rPr>
      </w:pPr>
      <w:r>
        <w:drawing>
          <wp:inline distT="0" distB="0" distL="0" distR="0">
            <wp:extent cx="5274310" cy="3482975"/>
            <wp:effectExtent l="0" t="0" r="254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74310" cy="3483452"/>
                    </a:xfrm>
                    <a:prstGeom prst="rect">
                      <a:avLst/>
                    </a:prstGeom>
                  </pic:spPr>
                </pic:pic>
              </a:graphicData>
            </a:graphic>
          </wp:inline>
        </w:drawing>
      </w:r>
    </w:p>
    <w:p>
      <w:pPr>
        <w:topLinePunct/>
        <w:ind w:firstLine="594" w:firstLineChars="200"/>
        <w:rPr>
          <w:rFonts w:ascii="仿宋_GB2312"/>
          <w:szCs w:val="32"/>
        </w:rPr>
      </w:pPr>
      <w:r>
        <w:rPr>
          <w:rFonts w:hint="eastAsia" w:ascii="仿宋_GB2312"/>
          <w:szCs w:val="32"/>
        </w:rPr>
        <w:t>流程①：由申请对象（企业、高校/培训机构、个人开发者/团队）向运营公司递交“华为软件开发云服务申请表”和/或“华为产业云服务申请表”，运营公司收到后在10个工作日内反馈是否通过审核。如果是属于“一事一议”范畴，需根据具体情况，10个工作日内给予进展说明，并在昆明呈贡信息产业园区管理委员会决策后5日内向申请对象反馈是否通过审核，可开通的资源。</w:t>
      </w:r>
    </w:p>
    <w:p>
      <w:pPr>
        <w:topLinePunct/>
        <w:ind w:firstLine="594" w:firstLineChars="200"/>
        <w:rPr>
          <w:rFonts w:ascii="仿宋_GB2312"/>
          <w:szCs w:val="32"/>
        </w:rPr>
      </w:pPr>
      <w:r>
        <w:rPr>
          <w:rFonts w:hint="eastAsia" w:ascii="仿宋_GB2312"/>
          <w:szCs w:val="32"/>
        </w:rPr>
        <w:t>流程</w:t>
      </w:r>
      <w:r>
        <w:rPr>
          <w:rFonts w:ascii="仿宋_GB2312" w:hAnsi="仿宋" w:cs="仿宋_GB2312"/>
          <w:szCs w:val="32"/>
        </w:rPr>
        <w:drawing>
          <wp:inline distT="0" distB="0" distL="0" distR="0">
            <wp:extent cx="247650" cy="21971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4231" cy="235080"/>
                    </a:xfrm>
                    <a:prstGeom prst="rect">
                      <a:avLst/>
                    </a:prstGeom>
                    <a:noFill/>
                  </pic:spPr>
                </pic:pic>
              </a:graphicData>
            </a:graphic>
          </wp:inline>
        </w:drawing>
      </w:r>
      <w:r>
        <w:rPr>
          <w:rFonts w:hint="eastAsia" w:ascii="仿宋_GB2312"/>
          <w:szCs w:val="32"/>
        </w:rPr>
        <w:t xml:space="preserve"> ：运营公司根据“申请流程”审核申请对象资质和申请内容，如果符合申请流程，则通过审核，拨付资源，交华为创新中心开通云资源。</w:t>
      </w:r>
    </w:p>
    <w:p>
      <w:pPr>
        <w:topLinePunct/>
        <w:ind w:firstLine="594" w:firstLineChars="200"/>
        <w:rPr>
          <w:rFonts w:ascii="仿宋_GB2312"/>
          <w:szCs w:val="32"/>
        </w:rPr>
      </w:pPr>
      <w:r>
        <w:rPr>
          <w:rFonts w:hint="eastAsia" w:ascii="仿宋_GB2312"/>
          <w:szCs w:val="32"/>
        </w:rPr>
        <w:t xml:space="preserve">流程 </w:t>
      </w:r>
      <w:r>
        <w:rPr>
          <w:rFonts w:ascii="仿宋_GB2312" w:hAnsi="仿宋" w:cs="仿宋_GB2312"/>
          <w:szCs w:val="32"/>
        </w:rPr>
        <w:drawing>
          <wp:inline distT="0" distB="0" distL="0" distR="0">
            <wp:extent cx="247650" cy="227965"/>
            <wp:effectExtent l="0" t="0" r="0" b="6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271868" cy="250723"/>
                    </a:xfrm>
                    <a:prstGeom prst="rect">
                      <a:avLst/>
                    </a:prstGeom>
                  </pic:spPr>
                </pic:pic>
              </a:graphicData>
            </a:graphic>
          </wp:inline>
        </w:drawing>
      </w:r>
      <w:r>
        <w:rPr>
          <w:rFonts w:hint="eastAsia" w:ascii="仿宋_GB2312"/>
          <w:szCs w:val="32"/>
        </w:rPr>
        <w:t>：运营公司根据“申请流程”审核申请对象资质和申请内容，将符合“一事一议”条件的申请提交昆明呈贡信息产业园区管委会“一事一议”决策。</w:t>
      </w:r>
    </w:p>
    <w:p>
      <w:pPr>
        <w:topLinePunct/>
        <w:ind w:firstLine="594" w:firstLineChars="200"/>
        <w:rPr>
          <w:rFonts w:ascii="仿宋_GB2312"/>
          <w:szCs w:val="32"/>
        </w:rPr>
      </w:pPr>
      <w:r>
        <w:rPr>
          <w:rFonts w:hint="eastAsia" w:ascii="仿宋_GB2312"/>
          <w:szCs w:val="32"/>
        </w:rPr>
        <w:t>流程</w:t>
      </w:r>
      <w:r>
        <w:rPr>
          <w:rFonts w:ascii="仿宋_GB2312" w:hAnsi="仿宋" w:cs="仿宋_GB2312"/>
          <w:szCs w:val="32"/>
        </w:rPr>
        <w:drawing>
          <wp:inline distT="0" distB="0" distL="0" distR="0">
            <wp:extent cx="246380" cy="227330"/>
            <wp:effectExtent l="0" t="0" r="1270" b="127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6386" cy="264111"/>
                    </a:xfrm>
                    <a:prstGeom prst="rect">
                      <a:avLst/>
                    </a:prstGeom>
                    <a:noFill/>
                  </pic:spPr>
                </pic:pic>
              </a:graphicData>
            </a:graphic>
          </wp:inline>
        </w:drawing>
      </w:r>
      <w:r>
        <w:rPr>
          <w:rFonts w:hint="eastAsia" w:ascii="仿宋_GB2312"/>
          <w:szCs w:val="32"/>
        </w:rPr>
        <w:t xml:space="preserve"> ：运营公司根据“申请流程”审核申请对象资质和申请内容，如果完全不符合，则驳回申请，告知申请对象不符合的原因。</w:t>
      </w:r>
    </w:p>
    <w:p>
      <w:pPr>
        <w:topLinePunct/>
        <w:ind w:firstLine="594" w:firstLineChars="200"/>
        <w:rPr>
          <w:rFonts w:ascii="仿宋_GB2312"/>
          <w:szCs w:val="32"/>
        </w:rPr>
      </w:pPr>
      <w:r>
        <w:rPr>
          <w:rFonts w:hint="eastAsia" w:ascii="仿宋_GB2312"/>
          <w:szCs w:val="32"/>
        </w:rPr>
        <w:t>流程③：昆明呈贡信息产业园区管理委员会将决策意见反馈给运营公司，运营公司根据决策意见进入流程</w:t>
      </w:r>
      <w:r>
        <w:rPr>
          <w:rFonts w:ascii="仿宋_GB2312" w:hAnsi="仿宋" w:cs="仿宋_GB2312"/>
          <w:szCs w:val="32"/>
        </w:rPr>
        <w:drawing>
          <wp:inline distT="0" distB="0" distL="0" distR="0">
            <wp:extent cx="247650" cy="219710"/>
            <wp:effectExtent l="0" t="0" r="0" b="889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4231" cy="235080"/>
                    </a:xfrm>
                    <a:prstGeom prst="rect">
                      <a:avLst/>
                    </a:prstGeom>
                    <a:noFill/>
                  </pic:spPr>
                </pic:pic>
              </a:graphicData>
            </a:graphic>
          </wp:inline>
        </w:drawing>
      </w:r>
      <w:r>
        <w:rPr>
          <w:rFonts w:hint="eastAsia" w:ascii="仿宋_GB2312"/>
          <w:szCs w:val="32"/>
        </w:rPr>
        <w:t xml:space="preserve"> 或 </w:t>
      </w:r>
      <w:r>
        <w:rPr>
          <w:rFonts w:ascii="仿宋_GB2312" w:hAnsi="仿宋" w:cs="仿宋_GB2312"/>
          <w:szCs w:val="32"/>
        </w:rPr>
        <w:drawing>
          <wp:inline distT="0" distB="0" distL="0" distR="0">
            <wp:extent cx="247650" cy="2279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271868" cy="250723"/>
                    </a:xfrm>
                    <a:prstGeom prst="rect">
                      <a:avLst/>
                    </a:prstGeom>
                  </pic:spPr>
                </pic:pic>
              </a:graphicData>
            </a:graphic>
          </wp:inline>
        </w:drawing>
      </w:r>
      <w:r>
        <w:rPr>
          <w:rFonts w:hint="eastAsia" w:ascii="仿宋_GB2312"/>
          <w:szCs w:val="32"/>
        </w:rPr>
        <w:t>。</w:t>
      </w:r>
    </w:p>
    <w:p>
      <w:pPr>
        <w:topLinePunct/>
        <w:ind w:firstLine="594" w:firstLineChars="200"/>
        <w:rPr>
          <w:rFonts w:ascii="仿宋_GB2312"/>
          <w:szCs w:val="32"/>
        </w:rPr>
      </w:pPr>
      <w:r>
        <w:rPr>
          <w:rFonts w:hint="eastAsia" w:ascii="仿宋_GB2312"/>
          <w:szCs w:val="32"/>
        </w:rPr>
        <w:t>流程④：华为创新中心根据运营公司的的审核结果，开通云资源。</w:t>
      </w:r>
    </w:p>
    <w:p>
      <w:pPr>
        <w:topLinePunct/>
        <w:ind w:firstLine="594" w:firstLineChars="200"/>
        <w:rPr>
          <w:rFonts w:ascii="仿宋_GB2312"/>
          <w:szCs w:val="32"/>
        </w:rPr>
      </w:pPr>
      <w:r>
        <w:rPr>
          <w:rFonts w:hint="eastAsia" w:ascii="仿宋_GB2312"/>
          <w:szCs w:val="32"/>
        </w:rPr>
        <w:t>相关主体责任说明：</w:t>
      </w:r>
    </w:p>
    <w:p>
      <w:pPr>
        <w:topLinePunct/>
        <w:ind w:firstLine="594" w:firstLineChars="200"/>
        <w:rPr>
          <w:rFonts w:ascii="仿宋_GB2312"/>
          <w:szCs w:val="32"/>
        </w:rPr>
      </w:pPr>
      <w:r>
        <w:rPr>
          <w:rFonts w:hint="eastAsia" w:ascii="仿宋_GB2312"/>
          <w:b/>
          <w:szCs w:val="32"/>
        </w:rPr>
        <w:t>昆明呈贡信息产业园区管理委员会：</w:t>
      </w:r>
      <w:r>
        <w:rPr>
          <w:rFonts w:hint="eastAsia" w:ascii="仿宋_GB2312"/>
          <w:szCs w:val="32"/>
        </w:rPr>
        <w:t>批准“申请流程”，并对提交的“一事一议”申请进行决策。</w:t>
      </w:r>
    </w:p>
    <w:p>
      <w:pPr>
        <w:topLinePunct/>
        <w:ind w:firstLine="594" w:firstLineChars="200"/>
        <w:rPr>
          <w:rFonts w:ascii="仿宋_GB2312"/>
          <w:szCs w:val="32"/>
        </w:rPr>
      </w:pPr>
      <w:r>
        <w:rPr>
          <w:rFonts w:hint="eastAsia" w:ascii="仿宋_GB2312"/>
          <w:szCs w:val="32"/>
        </w:rPr>
        <w:t>昆明市智慧城市建设投资有限公司：负责根据发布的申请流程进行审核，根据审核情况分别按照流程 、 和 处理。</w:t>
      </w:r>
    </w:p>
    <w:p>
      <w:pPr>
        <w:topLinePunct/>
        <w:ind w:firstLine="594" w:firstLineChars="200"/>
        <w:rPr>
          <w:rFonts w:ascii="仿宋_GB2312"/>
          <w:szCs w:val="32"/>
        </w:rPr>
      </w:pPr>
      <w:r>
        <w:rPr>
          <w:rFonts w:hint="eastAsia" w:ascii="仿宋_GB2312"/>
          <w:szCs w:val="32"/>
        </w:rPr>
        <w:t>申请对象：向运营公司提交申请材料：华为软件开发云服务申请表和/或华为产业云服务申请表。如果审核通过，及时配合华为创新中心开通云资源，并按规定使用获得的云服务资源。</w:t>
      </w:r>
    </w:p>
    <w:p>
      <w:pPr>
        <w:ind w:firstLine="594" w:firstLineChars="200"/>
        <w:rPr>
          <w:rFonts w:hint="eastAsia" w:ascii="仿宋_GB2312" w:hAnsi="仿宋_GB2312" w:cs="仿宋_GB2312"/>
          <w:szCs w:val="32"/>
        </w:rPr>
      </w:pPr>
      <w:r>
        <w:rPr>
          <w:rFonts w:hint="eastAsia" w:ascii="仿宋_GB2312"/>
          <w:szCs w:val="32"/>
        </w:rPr>
        <w:t>华为昆明软件开发云创新中心：根据运营公司的审核结果，开通云资源，并培训、支持申请对象使用华为软件开发云和/或华为产业云。</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594" w:firstLineChars="200"/>
        <w:textAlignment w:val="auto"/>
        <w:outlineLvl w:val="0"/>
        <w:rPr>
          <w:rFonts w:ascii="仿宋_GB2312"/>
          <w:szCs w:val="32"/>
        </w:rPr>
      </w:pPr>
      <w:r>
        <w:rPr>
          <w:rFonts w:hint="eastAsia" w:ascii="楷体" w:hAnsi="楷体" w:eastAsia="楷体" w:cs="楷体"/>
          <w:sz w:val="32"/>
          <w:szCs w:val="32"/>
        </w:rPr>
        <w:t>项目绩效情况分析</w:t>
      </w:r>
    </w:p>
    <w:p>
      <w:pPr>
        <w:topLinePunct/>
        <w:ind w:firstLine="594" w:firstLineChars="200"/>
        <w:rPr>
          <w:rFonts w:ascii="仿宋_GB2312"/>
          <w:szCs w:val="32"/>
        </w:rPr>
      </w:pPr>
      <w:r>
        <w:rPr>
          <w:rFonts w:hint="eastAsia" w:ascii="仿宋_GB2312"/>
          <w:szCs w:val="32"/>
        </w:rPr>
        <w:t>助力企业数字化转型升级篇</w:t>
      </w:r>
    </w:p>
    <w:p>
      <w:pPr>
        <w:topLinePunct/>
        <w:ind w:firstLine="594" w:firstLineChars="200"/>
        <w:rPr>
          <w:rFonts w:ascii="仿宋_GB2312"/>
          <w:szCs w:val="32"/>
        </w:rPr>
      </w:pPr>
      <w:r>
        <w:rPr>
          <w:rFonts w:hint="eastAsia" w:ascii="仿宋_GB2312"/>
          <w:szCs w:val="32"/>
        </w:rPr>
        <w:t>1. 企业技术赋能及交流：2021年累计扶持昆明市内企业227家、3个个人及高校7家；企业使用软件开发云平台开发项目累计1761个，项目成员数3089个。拜访重点企业及高校862家/次，与重点扶持企业开展数字化转型交流会30余场，技术专题培训会63余场，累计涉及580人次。</w:t>
      </w:r>
    </w:p>
    <w:p>
      <w:pPr>
        <w:topLinePunct/>
        <w:ind w:firstLine="594" w:firstLineChars="200"/>
        <w:rPr>
          <w:rFonts w:ascii="仿宋_GB2312"/>
          <w:szCs w:val="32"/>
        </w:rPr>
      </w:pPr>
      <w:r>
        <w:rPr>
          <w:rFonts w:hint="eastAsia" w:ascii="仿宋_GB2312"/>
          <w:szCs w:val="32"/>
        </w:rPr>
        <w:t>2. 联合解决方案：与十余家家重点扶持企业孵化行业解决方案，行业领域涵盖泛政府、互联网、农业、文化旅游、食品制造、医药、零售以及小语种等各行业企业。</w:t>
      </w:r>
    </w:p>
    <w:p>
      <w:pPr>
        <w:topLinePunct/>
        <w:ind w:firstLine="594" w:firstLineChars="200"/>
        <w:rPr>
          <w:rFonts w:ascii="仿宋_GB2312"/>
          <w:szCs w:val="32"/>
        </w:rPr>
      </w:pPr>
      <w:r>
        <w:rPr>
          <w:rFonts w:hint="eastAsia" w:ascii="仿宋_GB2312"/>
          <w:szCs w:val="32"/>
        </w:rPr>
        <w:t>构建“产教融合”人才培养新模式</w:t>
      </w:r>
    </w:p>
    <w:p>
      <w:pPr>
        <w:topLinePunct/>
        <w:ind w:firstLine="594" w:firstLineChars="200"/>
        <w:rPr>
          <w:rFonts w:ascii="仿宋_GB2312"/>
          <w:szCs w:val="32"/>
        </w:rPr>
      </w:pPr>
      <w:r>
        <w:rPr>
          <w:rFonts w:hint="eastAsia" w:ascii="仿宋_GB2312"/>
          <w:szCs w:val="32"/>
        </w:rPr>
        <w:t>华为（昆明）数字经济学院累计与昆明市内13家高校、6家中职院校、404家企业建立合作，联合高校共建专业7个，培养双师型教师84名，培养数字化人才1983人；其中889人获得华为工程师认证，70人达到中级Java开发工程师能力水平；调研企业740家，深入分析企业岗位2506个，形成企业岗位画像712个（注：岗位画像来源于整个行业对某一岗位的标准需求），建立企业人才需求库，含7322个岗位需求；开展35场就业指导，19场行业知识讲座，举办23场人才双选会，线下推荐450名学员到企业实习就业，最终企业录取408人；举办云南省大学生物联网大赛、华为ICT大赛、呈贡区青年创新创业大赛，覆盖5000+人；开展品牌活动13场。</w:t>
      </w:r>
    </w:p>
    <w:p>
      <w:pPr>
        <w:topLinePunct/>
        <w:ind w:firstLine="594" w:firstLineChars="200"/>
        <w:rPr>
          <w:rFonts w:ascii="仿宋_GB2312"/>
          <w:szCs w:val="32"/>
        </w:rPr>
      </w:pPr>
      <w:r>
        <w:rPr>
          <w:rFonts w:hint="eastAsia" w:ascii="仿宋_GB2312"/>
          <w:szCs w:val="32"/>
        </w:rPr>
        <w:t>打造城市新名片服务</w:t>
      </w:r>
    </w:p>
    <w:p>
      <w:pPr>
        <w:topLinePunct/>
        <w:ind w:firstLine="594" w:firstLineChars="200"/>
        <w:rPr>
          <w:rFonts w:ascii="仿宋_GB2312"/>
          <w:szCs w:val="32"/>
        </w:rPr>
      </w:pPr>
      <w:r>
        <w:rPr>
          <w:rFonts w:hint="eastAsia" w:ascii="仿宋_GB2312"/>
          <w:szCs w:val="32"/>
        </w:rPr>
        <w:t>1. 品牌活动：2021年累计开展品牌活动17次，覆盖近8000人次，媒体报道56次；</w:t>
      </w:r>
    </w:p>
    <w:p>
      <w:pPr>
        <w:topLinePunct/>
        <w:ind w:firstLine="594" w:firstLineChars="200"/>
        <w:rPr>
          <w:rFonts w:ascii="仿宋_GB2312"/>
          <w:szCs w:val="32"/>
        </w:rPr>
      </w:pPr>
      <w:r>
        <w:rPr>
          <w:rFonts w:hint="eastAsia" w:ascii="仿宋_GB2312"/>
          <w:szCs w:val="32"/>
        </w:rPr>
        <w:t>2. 展厅接待：2021年累计接待政企及高校团组展厅参观33批次，各类参观客户达435人次。</w:t>
      </w:r>
    </w:p>
    <w:p>
      <w:pPr>
        <w:topLinePunct/>
        <w:ind w:firstLine="594" w:firstLineChars="200"/>
        <w:rPr>
          <w:rFonts w:ascii="仿宋_GB2312"/>
          <w:szCs w:val="32"/>
        </w:rPr>
      </w:pPr>
      <w:r>
        <w:rPr>
          <w:rFonts w:hint="eastAsia" w:ascii="仿宋_GB2312"/>
          <w:szCs w:val="32"/>
        </w:rPr>
        <w:t>活跃产业氛围篇</w:t>
      </w:r>
    </w:p>
    <w:p>
      <w:pPr>
        <w:topLinePunct/>
        <w:ind w:firstLine="594" w:firstLineChars="200"/>
        <w:rPr>
          <w:rFonts w:ascii="仿宋_GB2312"/>
          <w:szCs w:val="32"/>
        </w:rPr>
      </w:pPr>
      <w:r>
        <w:rPr>
          <w:rFonts w:hint="eastAsia" w:ascii="仿宋_GB2312"/>
          <w:szCs w:val="32"/>
        </w:rPr>
        <w:t>2021年累计组织外出招商考察以及生态伙伴对接活动11次，推荐70家合作伙伴与昆明市对接。</w:t>
      </w:r>
    </w:p>
    <w:p>
      <w:pPr>
        <w:numPr>
          <w:ilvl w:val="0"/>
          <w:numId w:val="0"/>
        </w:numPr>
        <w:ind w:firstLine="594" w:firstLineChars="200"/>
        <w:rPr>
          <w:rFonts w:hint="eastAsia" w:ascii="仿宋_GB2312"/>
          <w:b/>
          <w:szCs w:val="32"/>
        </w:rPr>
      </w:pPr>
      <w:r>
        <w:rPr>
          <w:rFonts w:hint="eastAsia" w:ascii="黑体" w:hAnsi="黑体" w:eastAsia="黑体" w:cs="黑体"/>
          <w:szCs w:val="32"/>
          <w:lang w:eastAsia="zh-CN"/>
        </w:rPr>
        <w:t>五、</w:t>
      </w:r>
      <w:r>
        <w:rPr>
          <w:rFonts w:hint="eastAsia" w:ascii="仿宋_GB2312"/>
          <w:b/>
          <w:szCs w:val="32"/>
        </w:rPr>
        <w:t>综合评价情况及评价结论</w:t>
      </w:r>
      <w:r>
        <w:rPr>
          <w:rFonts w:hint="eastAsia" w:ascii="仿宋_GB2312"/>
          <w:bCs/>
          <w:szCs w:val="32"/>
        </w:rPr>
        <w:t>（附相关评分表）</w:t>
      </w:r>
      <w:r>
        <w:rPr>
          <w:rFonts w:hint="eastAsia" w:ascii="仿宋_GB2312"/>
          <w:b/>
          <w:szCs w:val="32"/>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综合各指标评价之后，该项目绩效评价结果为“</w:t>
      </w:r>
      <w:r>
        <w:rPr>
          <w:rFonts w:hint="eastAsia" w:ascii="仿宋_GB2312" w:hAnsi="仿宋_GB2312" w:cs="仿宋_GB2312"/>
          <w:sz w:val="32"/>
          <w:szCs w:val="32"/>
          <w:lang w:val="en-US" w:eastAsia="zh-CN"/>
        </w:rPr>
        <w:t>优</w:t>
      </w:r>
      <w:r>
        <w:rPr>
          <w:rFonts w:hint="eastAsia" w:ascii="仿宋_GB2312" w:hAnsi="仿宋_GB2312" w:eastAsia="仿宋_GB2312" w:cs="仿宋_GB2312"/>
          <w:sz w:val="32"/>
          <w:szCs w:val="32"/>
          <w:lang w:val="en-US" w:eastAsia="zh-CN"/>
        </w:rPr>
        <w:t>”，评分表见下表附表</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w:t>
      </w:r>
    </w:p>
    <w:p>
      <w:pPr>
        <w:spacing w:line="600" w:lineRule="exact"/>
        <w:rPr>
          <w:rFonts w:hint="eastAsia" w:ascii="黑体" w:eastAsia="黑体"/>
          <w:szCs w:val="32"/>
        </w:rPr>
      </w:pPr>
      <w:r>
        <w:rPr>
          <w:rFonts w:hint="eastAsia" w:ascii="黑体" w:eastAsia="黑体"/>
          <w:szCs w:val="32"/>
        </w:rPr>
        <w:t>附件3：</w:t>
      </w:r>
    </w:p>
    <w:tbl>
      <w:tblPr>
        <w:tblStyle w:val="15"/>
        <w:tblW w:w="9439"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
        <w:gridCol w:w="486"/>
        <w:gridCol w:w="574"/>
        <w:gridCol w:w="787"/>
        <w:gridCol w:w="12"/>
        <w:gridCol w:w="488"/>
        <w:gridCol w:w="18"/>
        <w:gridCol w:w="2176"/>
        <w:gridCol w:w="6"/>
        <w:gridCol w:w="2437"/>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496" w:hRule="atLeast"/>
          <w:tblHeader/>
        </w:trPr>
        <w:tc>
          <w:tcPr>
            <w:tcW w:w="6984" w:type="dxa"/>
            <w:gridSpan w:val="9"/>
            <w:tcBorders>
              <w:top w:val="nil"/>
              <w:left w:val="nil"/>
              <w:right w:val="nil"/>
            </w:tcBorders>
            <w:vAlign w:val="center"/>
          </w:tcPr>
          <w:p>
            <w:pPr>
              <w:widowControl/>
              <w:spacing w:before="223" w:beforeLines="50" w:after="223"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c>
          <w:tcPr>
            <w:tcW w:w="2443" w:type="dxa"/>
            <w:tcBorders>
              <w:top w:val="nil"/>
              <w:left w:val="nil"/>
              <w:right w:val="nil"/>
            </w:tcBorders>
          </w:tcPr>
          <w:p>
            <w:pPr>
              <w:widowControl/>
              <w:spacing w:before="223" w:beforeLines="50" w:after="223" w:afterLines="50"/>
              <w:jc w:val="center"/>
              <w:rPr>
                <w:rFonts w:hint="eastAsia" w:ascii="黑体" w:hAnsi="宋体" w:eastAsia="黑体" w:cs="宋体"/>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903" w:hRule="atLeast"/>
          <w:tblHeader/>
        </w:trPr>
        <w:tc>
          <w:tcPr>
            <w:tcW w:w="48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574"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799"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506"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17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2443"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c>
          <w:tcPr>
            <w:tcW w:w="2443" w:type="dxa"/>
            <w:vAlign w:val="center"/>
          </w:tcPr>
          <w:p>
            <w:pPr>
              <w:widowControl/>
              <w:spacing w:line="260" w:lineRule="exact"/>
              <w:rPr>
                <w:rFonts w:hint="eastAsia" w:ascii="仿宋_GB2312" w:hAnsi="宋体" w:cs="宋体"/>
                <w:b/>
                <w:kern w:val="0"/>
                <w:sz w:val="21"/>
                <w:szCs w:val="21"/>
              </w:rPr>
            </w:pPr>
            <w:r>
              <w:rPr>
                <w:rFonts w:hint="eastAsia" w:ascii="仿宋_GB2312" w:hAnsi="宋体" w:cs="宋体"/>
                <w:b/>
                <w:kern w:val="0"/>
                <w:sz w:val="21"/>
                <w:szCs w:val="21"/>
              </w:rPr>
              <w:t>自评说明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903" w:hRule="atLeast"/>
        </w:trPr>
        <w:tc>
          <w:tcPr>
            <w:tcW w:w="48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574"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4</w:t>
            </w:r>
          </w:p>
        </w:tc>
        <w:tc>
          <w:tcPr>
            <w:tcW w:w="2182"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2437" w:type="dxa"/>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c>
          <w:tcPr>
            <w:tcW w:w="2443" w:type="dxa"/>
            <w:vAlign w:val="center"/>
          </w:tcPr>
          <w:p>
            <w:pPr>
              <w:spacing w:line="260" w:lineRule="exact"/>
              <w:rPr>
                <w:rFonts w:hint="eastAsia" w:ascii="仿宋_GB2312" w:hAnsi="宋体" w:cs="宋体"/>
                <w:kern w:val="0"/>
                <w:sz w:val="21"/>
                <w:szCs w:val="21"/>
              </w:rPr>
            </w:pPr>
            <w:r>
              <w:rPr>
                <w:rFonts w:hint="eastAsia" w:ascii="仿宋_GB2312" w:hAnsi="宋体" w:cs="宋体"/>
                <w:kern w:val="0"/>
                <w:sz w:val="21"/>
                <w:szCs w:val="21"/>
              </w:rPr>
              <w:t>1、华为承诺软件开发云服务第一年扶持昆明市企业数量不少于160家。</w:t>
            </w:r>
          </w:p>
          <w:p>
            <w:pPr>
              <w:spacing w:line="260" w:lineRule="exact"/>
              <w:rPr>
                <w:rFonts w:hint="eastAsia" w:ascii="仿宋_GB2312" w:hAnsi="宋体" w:cs="宋体"/>
                <w:kern w:val="0"/>
                <w:sz w:val="21"/>
                <w:szCs w:val="21"/>
              </w:rPr>
            </w:pPr>
            <w:r>
              <w:rPr>
                <w:rFonts w:hint="eastAsia" w:ascii="仿宋_GB2312" w:hAnsi="宋体" w:cs="宋体"/>
                <w:kern w:val="0"/>
                <w:sz w:val="21"/>
                <w:szCs w:val="21"/>
              </w:rPr>
              <w:t>2、合作开展软件开发云实训的高校不少于3家。</w:t>
            </w:r>
          </w:p>
          <w:p>
            <w:pPr>
              <w:spacing w:line="260" w:lineRule="exact"/>
              <w:rPr>
                <w:rFonts w:hint="eastAsia" w:ascii="仿宋_GB2312" w:hAnsi="宋体" w:cs="宋体"/>
                <w:kern w:val="0"/>
                <w:sz w:val="21"/>
                <w:szCs w:val="21"/>
              </w:rPr>
            </w:pPr>
            <w:r>
              <w:rPr>
                <w:rFonts w:hint="eastAsia" w:ascii="仿宋_GB2312" w:hAnsi="宋体" w:cs="宋体"/>
                <w:kern w:val="0"/>
                <w:sz w:val="21"/>
                <w:szCs w:val="21"/>
              </w:rPr>
              <w:t>3、华为承诺每年策划品牌活动不少于四次。</w:t>
            </w:r>
          </w:p>
          <w:p>
            <w:pPr>
              <w:spacing w:line="260" w:lineRule="exact"/>
              <w:rPr>
                <w:rFonts w:hint="eastAsia" w:ascii="仿宋_GB2312" w:hAnsi="宋体" w:cs="宋体"/>
                <w:kern w:val="0"/>
                <w:sz w:val="21"/>
                <w:szCs w:val="21"/>
              </w:rPr>
            </w:pPr>
            <w:r>
              <w:rPr>
                <w:rFonts w:hint="eastAsia" w:ascii="仿宋_GB2312" w:hAnsi="宋体" w:cs="宋体"/>
                <w:kern w:val="0"/>
                <w:sz w:val="21"/>
                <w:szCs w:val="21"/>
              </w:rPr>
              <w:t>4、每年组织的培训、研讨及企业现场培训活动参加人员不少于500人次。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903"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4</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c>
          <w:tcPr>
            <w:tcW w:w="2443" w:type="dxa"/>
            <w:vMerge w:val="restart"/>
            <w:vAlign w:val="center"/>
          </w:tcPr>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项目立项依据：</w:t>
            </w:r>
          </w:p>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1、《昆明市人民政府华为软件技术有限公司战略合作协议》</w:t>
            </w:r>
          </w:p>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2、《昆明市人民政府常务会议纪要》（2017年第10期）</w:t>
            </w:r>
          </w:p>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3、《关于专题研究昆明市与华为公司软件产业发展合作有关事项的会议纪要》（第5期）</w:t>
            </w:r>
          </w:p>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4、《昆明呈贡信息产业园区管理委员会与华为软件技术有限公司合作协议书》</w:t>
            </w:r>
          </w:p>
          <w:p>
            <w:pPr>
              <w:widowControl/>
              <w:spacing w:line="260" w:lineRule="exact"/>
              <w:rPr>
                <w:rFonts w:ascii="仿宋_GB2312" w:hAnsi="宋体" w:cs="宋体"/>
                <w:kern w:val="0"/>
                <w:sz w:val="21"/>
                <w:szCs w:val="21"/>
              </w:rPr>
            </w:pPr>
            <w:r>
              <w:rPr>
                <w:rFonts w:hint="eastAsia" w:ascii="仿宋_GB2312" w:hAnsi="宋体" w:cs="宋体"/>
                <w:kern w:val="0"/>
                <w:sz w:val="21"/>
                <w:szCs w:val="21"/>
              </w:rPr>
              <w:t>5、《昆明市智慧城市建设投资有限公司与华为软件技术有限公司华为云服务销售合同》</w:t>
            </w:r>
          </w:p>
          <w:p>
            <w:pPr>
              <w:spacing w:line="260" w:lineRule="exact"/>
              <w:rPr>
                <w:rFonts w:hint="eastAsia" w:ascii="仿宋_GB2312" w:hAnsi="宋体" w:cs="宋体"/>
                <w:kern w:val="0"/>
                <w:sz w:val="21"/>
                <w:szCs w:val="21"/>
              </w:rPr>
            </w:pPr>
            <w:r>
              <w:rPr>
                <w:rFonts w:hint="eastAsia" w:ascii="仿宋_GB2312" w:hAnsi="宋体" w:cs="宋体"/>
                <w:kern w:val="0"/>
                <w:sz w:val="21"/>
                <w:szCs w:val="21"/>
              </w:rPr>
              <w:t>《华为昆明软件开发云创新中心专项资金管理办法》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33"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4</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c>
          <w:tcPr>
            <w:tcW w:w="2443" w:type="dxa"/>
            <w:vMerge w:val="continue"/>
            <w:vAlign w:val="center"/>
          </w:tcPr>
          <w:p>
            <w:pPr>
              <w:widowControl/>
              <w:spacing w:line="260" w:lineRule="exact"/>
              <w:rPr>
                <w:rFonts w:hint="eastAsia" w:ascii="仿宋_GB2312"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903"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3</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c>
          <w:tcPr>
            <w:tcW w:w="2443" w:type="dxa"/>
            <w:vMerge w:val="restart"/>
            <w:vAlign w:val="center"/>
          </w:tcPr>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《华为昆明软件开发云创新中心专项资金管理办法》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903"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c>
          <w:tcPr>
            <w:tcW w:w="2443" w:type="dxa"/>
            <w:vMerge w:val="continue"/>
            <w:vAlign w:val="center"/>
          </w:tcPr>
          <w:p>
            <w:pPr>
              <w:widowControl/>
              <w:spacing w:line="260" w:lineRule="exact"/>
              <w:rPr>
                <w:rFonts w:hint="eastAsia" w:ascii="仿宋_GB2312"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743" w:hRule="atLeast"/>
        </w:trPr>
        <w:tc>
          <w:tcPr>
            <w:tcW w:w="48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rPr>
              <w:t>0分）</w:t>
            </w:r>
          </w:p>
        </w:tc>
        <w:tc>
          <w:tcPr>
            <w:tcW w:w="57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（4分）</w:t>
            </w: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（2分）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2</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c>
          <w:tcPr>
            <w:tcW w:w="2443" w:type="dxa"/>
            <w:vMerge w:val="restart"/>
            <w:vAlign w:val="center"/>
          </w:tcPr>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1、到位率100%</w:t>
            </w:r>
          </w:p>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2、202</w:t>
            </w:r>
            <w:r>
              <w:rPr>
                <w:rFonts w:ascii="仿宋_GB2312" w:hAnsi="宋体" w:cs="宋体"/>
                <w:kern w:val="0"/>
                <w:sz w:val="21"/>
                <w:szCs w:val="21"/>
              </w:rPr>
              <w:t>1</w:t>
            </w:r>
            <w:r>
              <w:rPr>
                <w:rFonts w:hint="eastAsia" w:ascii="仿宋_GB2312" w:hAnsi="宋体" w:cs="宋体"/>
                <w:kern w:val="0"/>
                <w:sz w:val="21"/>
                <w:szCs w:val="21"/>
              </w:rPr>
              <w:t>年,在年度内资金已划拨完成。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903"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2</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c>
          <w:tcPr>
            <w:tcW w:w="2443" w:type="dxa"/>
            <w:vMerge w:val="continue"/>
            <w:vAlign w:val="center"/>
          </w:tcPr>
          <w:p>
            <w:pPr>
              <w:widowControl/>
              <w:spacing w:line="260" w:lineRule="exact"/>
              <w:rPr>
                <w:rFonts w:hint="eastAsia" w:ascii="仿宋_GB2312"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903"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rPr>
              <w:t>6分）</w:t>
            </w: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资金使用（3分）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3</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虚列套取扣3分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扣3分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超标准开支扣2分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超预算扣2分</w:t>
            </w:r>
          </w:p>
        </w:tc>
        <w:tc>
          <w:tcPr>
            <w:tcW w:w="2443" w:type="dxa"/>
            <w:vAlign w:val="center"/>
          </w:tcPr>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严格按照合同约定使用资金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903"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c>
          <w:tcPr>
            <w:tcW w:w="2443" w:type="dxa"/>
            <w:vAlign w:val="center"/>
          </w:tcPr>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《昆明市华为软件开发云及产业云的申请流程》</w:t>
            </w:r>
          </w:p>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《华为昆明软件开发云创新中心专项资金管理办法》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903"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1</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2437" w:type="dxa"/>
            <w:vAlign w:val="center"/>
          </w:tcPr>
          <w:p>
            <w:pPr>
              <w:widowControl/>
              <w:spacing w:line="260" w:lineRule="exact"/>
              <w:ind w:left="210" w:hanging="187"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c>
          <w:tcPr>
            <w:tcW w:w="2443" w:type="dxa"/>
            <w:vAlign w:val="center"/>
          </w:tcPr>
          <w:p>
            <w:pPr>
              <w:widowControl/>
              <w:spacing w:line="260" w:lineRule="exact"/>
              <w:ind w:left="210" w:hanging="187" w:hangingChars="100"/>
              <w:rPr>
                <w:rFonts w:hint="eastAsia" w:ascii="仿宋_GB2312" w:hAnsi="宋体" w:cs="宋体"/>
                <w:kern w:val="0"/>
                <w:sz w:val="21"/>
                <w:szCs w:val="21"/>
              </w:rPr>
            </w:pPr>
            <w:r>
              <w:rPr>
                <w:rFonts w:hint="eastAsia" w:ascii="仿宋_GB2312" w:hAnsi="宋体" w:cs="宋体"/>
                <w:kern w:val="0"/>
                <w:sz w:val="21"/>
                <w:szCs w:val="21"/>
              </w:rPr>
              <w:t>1、昆明呈贡信息产业园区管理委员会：批准“申请流程”，并对提交的“一事一议”申请进行决策。</w:t>
            </w:r>
          </w:p>
          <w:p>
            <w:pPr>
              <w:widowControl/>
              <w:spacing w:line="260" w:lineRule="exact"/>
              <w:ind w:left="210" w:hanging="187" w:hangingChars="100"/>
              <w:rPr>
                <w:rFonts w:hint="eastAsia" w:ascii="仿宋_GB2312" w:hAnsi="宋体" w:cs="宋体"/>
                <w:kern w:val="0"/>
                <w:sz w:val="21"/>
                <w:szCs w:val="21"/>
              </w:rPr>
            </w:pPr>
            <w:r>
              <w:rPr>
                <w:rFonts w:hint="eastAsia" w:ascii="仿宋_GB2312" w:hAnsi="宋体" w:cs="宋体"/>
                <w:kern w:val="0"/>
                <w:sz w:val="21"/>
                <w:szCs w:val="21"/>
              </w:rPr>
              <w:t>2、昆明市智慧城市建设投资有限公司：负责根据发布的申请流程进行审核，根据审核情况分别按照流程处理。</w:t>
            </w:r>
          </w:p>
          <w:p>
            <w:pPr>
              <w:widowControl/>
              <w:spacing w:line="260" w:lineRule="exact"/>
              <w:ind w:left="210" w:hanging="187" w:hangingChars="100"/>
              <w:rPr>
                <w:rFonts w:hint="eastAsia" w:ascii="仿宋_GB2312" w:hAnsi="宋体" w:cs="宋体"/>
                <w:kern w:val="0"/>
                <w:sz w:val="21"/>
                <w:szCs w:val="21"/>
              </w:rPr>
            </w:pPr>
            <w:r>
              <w:rPr>
                <w:rFonts w:hint="eastAsia" w:ascii="仿宋_GB2312" w:hAnsi="宋体" w:cs="宋体"/>
                <w:kern w:val="0"/>
                <w:sz w:val="21"/>
                <w:szCs w:val="21"/>
              </w:rPr>
              <w:t>3、申请对象：向运营公司提交申请材料,如果审核通过，及时配合华为创新中心开通云资源，并按规定使用获得的云服务资源。</w:t>
            </w:r>
          </w:p>
          <w:p>
            <w:pPr>
              <w:widowControl/>
              <w:spacing w:line="260" w:lineRule="exact"/>
              <w:ind w:left="210" w:hanging="187" w:hangingChars="100"/>
              <w:rPr>
                <w:rFonts w:hint="eastAsia" w:ascii="仿宋_GB2312" w:hAnsi="宋体" w:cs="宋体"/>
                <w:kern w:val="0"/>
                <w:sz w:val="21"/>
                <w:szCs w:val="21"/>
              </w:rPr>
            </w:pPr>
            <w:r>
              <w:rPr>
                <w:rFonts w:hint="eastAsia" w:ascii="仿宋_GB2312" w:hAnsi="宋体" w:cs="宋体"/>
                <w:kern w:val="0"/>
                <w:sz w:val="21"/>
                <w:szCs w:val="21"/>
              </w:rPr>
              <w:t>4、华为昆明软件开发云创新中心：根据运营公司的审核结果，开通云资源，并培训、支持申请对象使用华为云。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57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3</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c>
          <w:tcPr>
            <w:tcW w:w="2443" w:type="dxa"/>
            <w:vAlign w:val="center"/>
          </w:tcPr>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1、202</w:t>
            </w:r>
            <w:r>
              <w:rPr>
                <w:rFonts w:ascii="仿宋_GB2312" w:hAnsi="宋体" w:cs="宋体"/>
                <w:kern w:val="0"/>
                <w:sz w:val="21"/>
                <w:szCs w:val="21"/>
              </w:rPr>
              <w:t>1</w:t>
            </w:r>
            <w:r>
              <w:rPr>
                <w:rFonts w:hint="eastAsia" w:ascii="仿宋_GB2312" w:hAnsi="宋体" w:cs="宋体"/>
                <w:kern w:val="0"/>
                <w:sz w:val="21"/>
                <w:szCs w:val="21"/>
              </w:rPr>
              <w:t>年,在年度内资金已划拨完成。</w:t>
            </w:r>
          </w:p>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2、202</w:t>
            </w:r>
            <w:r>
              <w:rPr>
                <w:rFonts w:ascii="仿宋_GB2312" w:hAnsi="宋体" w:cs="宋体"/>
                <w:kern w:val="0"/>
                <w:sz w:val="21"/>
                <w:szCs w:val="21"/>
              </w:rPr>
              <w:t>1</w:t>
            </w:r>
            <w:r>
              <w:rPr>
                <w:rFonts w:hint="eastAsia" w:ascii="仿宋_GB2312" w:hAnsi="宋体" w:cs="宋体"/>
                <w:kern w:val="0"/>
                <w:sz w:val="21"/>
                <w:szCs w:val="21"/>
              </w:rPr>
              <w:t>年，全额完成协议和合同要求。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6</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c>
          <w:tcPr>
            <w:tcW w:w="2443" w:type="dxa"/>
            <w:vAlign w:val="center"/>
          </w:tcPr>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《昆明市华为软件开发云及产业云的申请流程》</w:t>
            </w:r>
          </w:p>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《华为昆明软件开发云创新中心专项资金管理办法》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xml:space="preserve">绩效 </w:t>
            </w:r>
            <w:r>
              <w:rPr>
                <w:rFonts w:ascii="仿宋_GB2312" w:hAnsi="宋体" w:cs="宋体"/>
                <w:kern w:val="0"/>
                <w:sz w:val="21"/>
                <w:szCs w:val="21"/>
              </w:rPr>
              <w:t>(</w:t>
            </w:r>
            <w:r>
              <w:rPr>
                <w:rFonts w:hint="eastAsia" w:ascii="仿宋_GB2312" w:hAnsi="宋体" w:cs="宋体"/>
                <w:kern w:val="0"/>
                <w:sz w:val="21"/>
                <w:szCs w:val="21"/>
              </w:rPr>
              <w:t>60分）</w:t>
            </w:r>
          </w:p>
        </w:tc>
        <w:tc>
          <w:tcPr>
            <w:tcW w:w="57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rPr>
              <w:t>20分）</w:t>
            </w: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c>
          <w:tcPr>
            <w:tcW w:w="2443" w:type="dxa"/>
            <w:vAlign w:val="center"/>
          </w:tcPr>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1、每年提供 3000万的软件开发云服务及相关配套服务</w:t>
            </w:r>
          </w:p>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2、扶持昆明市企业数量</w:t>
            </w:r>
            <w:r>
              <w:rPr>
                <w:rFonts w:ascii="仿宋_GB2312" w:hAnsi="宋体" w:cs="宋体"/>
                <w:kern w:val="0"/>
                <w:sz w:val="21"/>
                <w:szCs w:val="21"/>
              </w:rPr>
              <w:t>227</w:t>
            </w:r>
            <w:r>
              <w:rPr>
                <w:rFonts w:hint="eastAsia" w:ascii="仿宋_GB2312" w:hAnsi="宋体" w:cs="宋体"/>
                <w:kern w:val="0"/>
                <w:sz w:val="21"/>
                <w:szCs w:val="21"/>
              </w:rPr>
              <w:t>家</w:t>
            </w:r>
          </w:p>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3、合作开展软件开发云实训的高校7家</w:t>
            </w:r>
          </w:p>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4、策划品牌活动1</w:t>
            </w:r>
            <w:r>
              <w:rPr>
                <w:rFonts w:ascii="仿宋_GB2312" w:hAnsi="宋体" w:cs="宋体"/>
                <w:kern w:val="0"/>
                <w:sz w:val="21"/>
                <w:szCs w:val="21"/>
              </w:rPr>
              <w:t>3</w:t>
            </w:r>
            <w:r>
              <w:rPr>
                <w:rFonts w:hint="eastAsia" w:ascii="仿宋_GB2312" w:hAnsi="宋体" w:cs="宋体"/>
                <w:kern w:val="0"/>
                <w:sz w:val="21"/>
                <w:szCs w:val="21"/>
              </w:rPr>
              <w:t>次</w:t>
            </w:r>
          </w:p>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5、组织培训、研讨以及企业现场培训活动，参与人员不少于580人次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产出质量（5分）</w:t>
            </w:r>
          </w:p>
        </w:tc>
        <w:tc>
          <w:tcPr>
            <w:tcW w:w="50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对照绩效目标，按实际产出质量率计算得分（5分）</w:t>
            </w:r>
          </w:p>
        </w:tc>
        <w:tc>
          <w:tcPr>
            <w:tcW w:w="2443" w:type="dxa"/>
            <w:vAlign w:val="center"/>
          </w:tcPr>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1、接受扶持的企业人员能够熟练使用软件开发云进行软件开发云。</w:t>
            </w:r>
          </w:p>
          <w:p>
            <w:pPr>
              <w:widowControl/>
              <w:spacing w:line="260" w:lineRule="exact"/>
              <w:rPr>
                <w:rFonts w:hint="eastAsia" w:ascii="仿宋_GB2312" w:hAnsi="宋体" w:cs="宋体"/>
                <w:kern w:val="0"/>
                <w:sz w:val="21"/>
                <w:szCs w:val="21"/>
              </w:rPr>
            </w:pPr>
            <w:r>
              <w:rPr>
                <w:rFonts w:ascii="仿宋_GB2312" w:hAnsi="宋体" w:cs="宋体"/>
                <w:kern w:val="0"/>
                <w:sz w:val="21"/>
                <w:szCs w:val="21"/>
              </w:rPr>
              <w:t>2</w:t>
            </w:r>
            <w:r>
              <w:rPr>
                <w:rFonts w:hint="eastAsia" w:ascii="仿宋_GB2312" w:hAnsi="宋体" w:cs="宋体"/>
                <w:kern w:val="0"/>
                <w:sz w:val="21"/>
                <w:szCs w:val="21"/>
              </w:rPr>
              <w:t>、根据每次品牌活动的策划，达到预期效果，反映良好.</w:t>
            </w:r>
          </w:p>
          <w:p>
            <w:pPr>
              <w:widowControl/>
              <w:spacing w:line="260" w:lineRule="exact"/>
              <w:rPr>
                <w:rFonts w:hint="eastAsia" w:ascii="仿宋_GB2312" w:hAnsi="宋体" w:cs="宋体"/>
                <w:kern w:val="0"/>
                <w:sz w:val="21"/>
                <w:szCs w:val="21"/>
              </w:rPr>
            </w:pPr>
            <w:r>
              <w:rPr>
                <w:rFonts w:ascii="仿宋_GB2312" w:hAnsi="宋体" w:cs="宋体"/>
                <w:kern w:val="0"/>
                <w:sz w:val="21"/>
                <w:szCs w:val="21"/>
              </w:rPr>
              <w:t>3</w:t>
            </w:r>
            <w:r>
              <w:rPr>
                <w:rFonts w:hint="eastAsia" w:ascii="仿宋_GB2312" w:hAnsi="宋体" w:cs="宋体"/>
                <w:kern w:val="0"/>
                <w:sz w:val="21"/>
                <w:szCs w:val="21"/>
              </w:rPr>
              <w:t>、参加培训的人员能够掌握华为软件开发云的使用，能够基于华为软件进行软件开发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产出时效（5分）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对照绩效目标，按实际产出时效率计算得分（5分）</w:t>
            </w:r>
          </w:p>
        </w:tc>
        <w:tc>
          <w:tcPr>
            <w:tcW w:w="2443" w:type="dxa"/>
            <w:vAlign w:val="center"/>
          </w:tcPr>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截止当前，已全额完成协议和合同中约定要求。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产出成本（5分）</w:t>
            </w:r>
          </w:p>
        </w:tc>
        <w:tc>
          <w:tcPr>
            <w:tcW w:w="50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对照绩效目标，按实际产出成本率计算得分（5分）</w:t>
            </w:r>
          </w:p>
        </w:tc>
        <w:tc>
          <w:tcPr>
            <w:tcW w:w="2443" w:type="dxa"/>
            <w:vAlign w:val="center"/>
          </w:tcPr>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在没有增加成本的情况下，部分指标超额完成既定目标。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restart"/>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c>
          <w:tcPr>
            <w:tcW w:w="2443" w:type="dxa"/>
            <w:vAlign w:val="center"/>
          </w:tcPr>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1、每年提供 3000万的软件开发云服务及相关配套服务</w:t>
            </w:r>
          </w:p>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2、扶持昆明市企业数量</w:t>
            </w:r>
            <w:r>
              <w:rPr>
                <w:rFonts w:ascii="仿宋_GB2312" w:hAnsi="宋体" w:cs="宋体"/>
                <w:kern w:val="0"/>
                <w:sz w:val="21"/>
                <w:szCs w:val="21"/>
              </w:rPr>
              <w:t>227</w:t>
            </w:r>
            <w:r>
              <w:rPr>
                <w:rFonts w:hint="eastAsia" w:ascii="仿宋_GB2312" w:hAnsi="宋体" w:cs="宋体"/>
                <w:kern w:val="0"/>
                <w:sz w:val="21"/>
                <w:szCs w:val="21"/>
              </w:rPr>
              <w:t>家</w:t>
            </w:r>
          </w:p>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3、合作开展软件开发云实训的高校7家</w:t>
            </w:r>
          </w:p>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4、策划品牌活动1</w:t>
            </w:r>
            <w:r>
              <w:rPr>
                <w:rFonts w:ascii="仿宋_GB2312" w:hAnsi="宋体" w:cs="宋体"/>
                <w:kern w:val="0"/>
                <w:sz w:val="21"/>
                <w:szCs w:val="21"/>
              </w:rPr>
              <w:t>3</w:t>
            </w:r>
            <w:r>
              <w:rPr>
                <w:rFonts w:hint="eastAsia" w:ascii="仿宋_GB2312" w:hAnsi="宋体" w:cs="宋体"/>
                <w:kern w:val="0"/>
                <w:sz w:val="21"/>
                <w:szCs w:val="21"/>
              </w:rPr>
              <w:t>次</w:t>
            </w:r>
          </w:p>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5、组织培训、研讨以及企业现场培训活动，参与人员不少于580人次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8</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c>
          <w:tcPr>
            <w:tcW w:w="2443" w:type="dxa"/>
            <w:vAlign w:val="center"/>
          </w:tcPr>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华为昆明软件开发云创新中心积极开展软件产业峰会、专题讲座、技术沙龙、接待省内外政企团组等工作，极大提高了华为昆明软件开发云创新中心的品牌影响力。通过昆明市与华为公司的共同努力，华为昆明软件开发云创新中心已逐渐成为昆明市软件产业的一张新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8</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c>
          <w:tcPr>
            <w:tcW w:w="2443" w:type="dxa"/>
            <w:vAlign w:val="center"/>
          </w:tcPr>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完全无污染，零排放。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8</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c>
          <w:tcPr>
            <w:tcW w:w="2443" w:type="dxa"/>
            <w:vAlign w:val="center"/>
          </w:tcPr>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软件产业将持续牵引传统产业升级转型。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2" w:type="dxa"/>
          <w:trHeight w:val="875" w:hRule="atLeast"/>
        </w:trPr>
        <w:tc>
          <w:tcPr>
            <w:tcW w:w="486" w:type="dxa"/>
            <w:vMerge w:val="continue"/>
            <w:vAlign w:val="center"/>
          </w:tcPr>
          <w:p>
            <w:pPr>
              <w:widowControl/>
              <w:spacing w:line="260" w:lineRule="exact"/>
              <w:jc w:val="left"/>
              <w:rPr>
                <w:rFonts w:ascii="仿宋_GB2312" w:hAnsi="宋体" w:cs="宋体"/>
                <w:kern w:val="0"/>
                <w:sz w:val="21"/>
                <w:szCs w:val="21"/>
              </w:rPr>
            </w:pPr>
          </w:p>
        </w:tc>
        <w:tc>
          <w:tcPr>
            <w:tcW w:w="574" w:type="dxa"/>
            <w:vMerge w:val="continue"/>
            <w:vAlign w:val="center"/>
          </w:tcPr>
          <w:p>
            <w:pPr>
              <w:widowControl/>
              <w:spacing w:line="260" w:lineRule="exact"/>
              <w:jc w:val="left"/>
              <w:rPr>
                <w:rFonts w:ascii="仿宋_GB2312" w:hAnsi="宋体" w:cs="宋体"/>
                <w:kern w:val="0"/>
                <w:sz w:val="21"/>
                <w:szCs w:val="21"/>
              </w:rPr>
            </w:pPr>
          </w:p>
        </w:tc>
        <w:tc>
          <w:tcPr>
            <w:tcW w:w="799"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50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8</w:t>
            </w:r>
          </w:p>
        </w:tc>
        <w:tc>
          <w:tcPr>
            <w:tcW w:w="2182"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2437"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c>
          <w:tcPr>
            <w:tcW w:w="2443" w:type="dxa"/>
            <w:vAlign w:val="center"/>
          </w:tcPr>
          <w:p>
            <w:pPr>
              <w:widowControl/>
              <w:spacing w:line="260" w:lineRule="exact"/>
              <w:rPr>
                <w:rFonts w:hint="eastAsia" w:ascii="仿宋_GB2312" w:hAnsi="宋体" w:cs="宋体"/>
                <w:kern w:val="0"/>
                <w:sz w:val="21"/>
                <w:szCs w:val="21"/>
              </w:rPr>
            </w:pPr>
            <w:r>
              <w:rPr>
                <w:rFonts w:hint="eastAsia" w:ascii="仿宋_GB2312" w:hAnsi="宋体" w:cs="宋体"/>
                <w:kern w:val="0"/>
                <w:sz w:val="21"/>
                <w:szCs w:val="21"/>
              </w:rPr>
              <w:t>针对企业开展满意度问卷调查，企业满意度高。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trPr>
        <w:tc>
          <w:tcPr>
            <w:tcW w:w="1859" w:type="dxa"/>
            <w:gridSpan w:val="4"/>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500"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95</w:t>
            </w:r>
          </w:p>
        </w:tc>
        <w:tc>
          <w:tcPr>
            <w:tcW w:w="2194"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2443"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2443" w:type="dxa"/>
            <w:vAlign w:val="center"/>
          </w:tcPr>
          <w:p>
            <w:pPr>
              <w:widowControl/>
              <w:spacing w:line="260" w:lineRule="exact"/>
              <w:rPr>
                <w:rFonts w:hint="eastAsia" w:ascii="仿宋_GB2312" w:hAnsi="宋体" w:cs="宋体"/>
                <w:kern w:val="0"/>
                <w:sz w:val="21"/>
                <w:szCs w:val="21"/>
              </w:rPr>
            </w:pPr>
          </w:p>
        </w:tc>
      </w:tr>
    </w:tbl>
    <w:p>
      <w:pPr>
        <w:numPr>
          <w:ilvl w:val="0"/>
          <w:numId w:val="0"/>
        </w:numPr>
        <w:ind w:leftChars="200"/>
        <w:rPr>
          <w:rFonts w:hint="eastAsia" w:ascii="仿宋_GB2312"/>
          <w:b/>
          <w:szCs w:val="32"/>
        </w:rPr>
      </w:pPr>
      <w:r>
        <w:rPr>
          <w:rFonts w:hint="eastAsia" w:ascii="仿宋_GB2312"/>
          <w:b/>
          <w:szCs w:val="32"/>
          <w:lang w:eastAsia="zh-CN"/>
        </w:rPr>
        <w:t>六、</w:t>
      </w:r>
      <w:r>
        <w:rPr>
          <w:rFonts w:hint="eastAsia" w:ascii="仿宋_GB2312"/>
          <w:b/>
          <w:szCs w:val="32"/>
        </w:rPr>
        <w:t>绩效评价结果应用建议</w:t>
      </w:r>
      <w:r>
        <w:rPr>
          <w:rFonts w:hint="eastAsia" w:ascii="仿宋_GB2312"/>
          <w:bCs/>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结合20</w:t>
      </w:r>
      <w:r>
        <w:rPr>
          <w:rFonts w:hint="eastAsia" w:ascii="仿宋_GB2312" w:hAnsi="仿宋_GB2312" w:cs="仿宋_GB2312"/>
          <w:b w:val="0"/>
          <w:bCs/>
          <w:sz w:val="32"/>
          <w:szCs w:val="32"/>
          <w:lang w:val="en-US" w:eastAsia="zh-CN"/>
        </w:rPr>
        <w:t>21</w:t>
      </w:r>
      <w:r>
        <w:rPr>
          <w:rFonts w:hint="eastAsia" w:ascii="仿宋_GB2312" w:hAnsi="仿宋_GB2312" w:eastAsia="仿宋_GB2312" w:cs="仿宋_GB2312"/>
          <w:b w:val="0"/>
          <w:bCs/>
          <w:sz w:val="32"/>
          <w:szCs w:val="32"/>
        </w:rPr>
        <w:t>年度及以前年度绩效评价结果经验，对于以后的年度预算安排应该更合理科学，完善项目支出预算编制方法，合理利用财政资金，提高财政资金使用效率和效益。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rPr>
      </w:pPr>
      <w:r>
        <w:rPr>
          <w:rFonts w:hint="eastAsia" w:ascii="仿宋_GB2312" w:hAnsi="仿宋_GB2312" w:eastAsia="仿宋_GB2312" w:cs="仿宋_GB2312"/>
          <w:b w:val="0"/>
          <w:bCs/>
          <w:sz w:val="32"/>
          <w:szCs w:val="32"/>
        </w:rPr>
        <w:t>对于年度项目支出绩效评价结果，应完善公开体系，便于社会公众查询、监督和建议。</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eastAsia="仿宋_GB2312" w:asciiTheme="majorHAnsi" w:hAnsiTheme="majorHAnsi" w:cstheme="majorBidi"/>
          <w:bCs/>
          <w:kern w:val="2"/>
          <w:sz w:val="32"/>
          <w:szCs w:val="32"/>
          <w:lang w:val="en-US" w:eastAsia="zh-CN" w:bidi="ar-SA"/>
        </w:rPr>
      </w:pPr>
      <w:r>
        <w:rPr>
          <w:rFonts w:hint="eastAsia" w:ascii="仿宋_GB2312"/>
          <w:b/>
          <w:szCs w:val="32"/>
          <w:lang w:eastAsia="zh-CN"/>
        </w:rPr>
        <w:t>七、</w:t>
      </w:r>
      <w:r>
        <w:rPr>
          <w:rFonts w:hint="eastAsia" w:ascii="仿宋_GB2312"/>
          <w:b/>
          <w:szCs w:val="32"/>
        </w:rPr>
        <w:t>主要经验及做法、存在的问题和建议</w:t>
      </w:r>
      <w:r>
        <w:rPr>
          <w:rFonts w:hint="eastAsia" w:ascii="仿宋_GB2312"/>
          <w:b/>
          <w:szCs w:val="32"/>
          <w:lang w:eastAsia="zh-CN"/>
        </w:rPr>
        <w:t>。</w:t>
      </w:r>
      <w:bookmarkStart w:id="1" w:name="_Toc30514902"/>
    </w:p>
    <w:bookmarkEnd w:id="1"/>
    <w:p>
      <w:pPr>
        <w:ind w:firstLine="594" w:firstLineChars="200"/>
      </w:pPr>
      <w:r>
        <w:rPr>
          <w:rFonts w:hint="eastAsia"/>
        </w:rPr>
        <w:t>与</w:t>
      </w:r>
      <w:r>
        <w:t>昆明市本地</w:t>
      </w:r>
      <w:r>
        <w:rPr>
          <w:rFonts w:hint="eastAsia"/>
        </w:rPr>
        <w:t>软件</w:t>
      </w:r>
      <w:r>
        <w:t>产业相关企业</w:t>
      </w:r>
      <w:r>
        <w:rPr>
          <w:rFonts w:hint="eastAsia"/>
        </w:rPr>
        <w:t>加强深度合作，树立标杆，共同提升企业软件研发能力；针对云南省特色行业，发展行业应用软件，打造特色行业品牌效应；结合昆明市政府关于“人才培养”的相关政策，加大人才培养力度。一方面与昆明市内各大高校合作，通过联合授课、开展暑期培训班、共建实训基地等方式，培养软件研发人才。另一方面，向本地软件企业提供软件研发涉及到的各个领域的精细化培训服务</w:t>
      </w:r>
      <w:r>
        <w:rPr>
          <w:rFonts w:hint="eastAsia"/>
          <w:lang w:eastAsia="zh-CN"/>
        </w:rPr>
        <w:t>；</w:t>
      </w:r>
      <w:r>
        <w:rPr>
          <w:rFonts w:hint="eastAsia"/>
        </w:rPr>
        <w:t>协助昆明市政府组织各类招商引资活动，邀请昆明市政府与华为合作伙伴对接，促进优秀企业落地昆明。组织本地合作伙伴走进华为参观交流，推荐优秀企业成为华为生态合作伙伴，帮助企业提升影响力，扩大业务范围。</w:t>
      </w:r>
    </w:p>
    <w:p>
      <w:pPr>
        <w:numPr>
          <w:ilvl w:val="0"/>
          <w:numId w:val="0"/>
        </w:numPr>
        <w:ind w:leftChars="200"/>
        <w:rPr>
          <w:rFonts w:hint="eastAsia" w:ascii="仿宋_GB2312"/>
          <w:b/>
          <w:szCs w:val="32"/>
        </w:rPr>
      </w:pPr>
      <w:r>
        <w:rPr>
          <w:rFonts w:hint="eastAsia" w:ascii="仿宋_GB2312"/>
          <w:b/>
          <w:szCs w:val="32"/>
          <w:lang w:eastAsia="zh-CN"/>
        </w:rPr>
        <w:t>八、</w:t>
      </w:r>
      <w:r>
        <w:rPr>
          <w:rFonts w:hint="eastAsia" w:ascii="仿宋_GB2312"/>
          <w:b/>
          <w:szCs w:val="32"/>
        </w:rPr>
        <w:t>其他需说明的问题。</w:t>
      </w:r>
    </w:p>
    <w:p>
      <w:pPr>
        <w:numPr>
          <w:ilvl w:val="0"/>
          <w:numId w:val="0"/>
        </w:numPr>
        <w:ind w:leftChars="200"/>
        <w:rPr>
          <w:rFonts w:hint="eastAsia" w:ascii="仿宋_GB2312" w:eastAsia="仿宋_GB2312"/>
          <w:b w:val="0"/>
          <w:bCs/>
          <w:szCs w:val="32"/>
          <w:lang w:eastAsia="zh-CN"/>
        </w:rPr>
      </w:pPr>
      <w:r>
        <w:rPr>
          <w:rFonts w:hint="eastAsia" w:ascii="仿宋_GB2312"/>
          <w:b w:val="0"/>
          <w:bCs/>
          <w:szCs w:val="32"/>
          <w:lang w:eastAsia="zh-CN"/>
        </w:rPr>
        <w:t>无。</w:t>
      </w:r>
    </w:p>
    <w:p>
      <w:pPr>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lang w:eastAsia="zh-CN"/>
        </w:rPr>
      </w:pPr>
    </w:p>
    <w:p>
      <w:pPr>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仿宋_GB2312" w:cs="Times New Roman"/>
        </w:rPr>
      </w:pPr>
    </w:p>
    <w:p>
      <w:pPr>
        <w:ind w:firstLine="594" w:firstLineChars="200"/>
        <w:rPr>
          <w:rFonts w:hint="eastAsia" w:ascii="Times New Roman" w:hAnsi="Times New Roman" w:eastAsia="仿宋_GB2312" w:cs="Times New Roman"/>
          <w:sz w:val="32"/>
          <w:szCs w:val="32"/>
          <w:highlight w:val="none"/>
          <w:lang w:val="en-US" w:eastAsia="zh-CN"/>
        </w:rPr>
      </w:pPr>
    </w:p>
    <w:p>
      <w:pPr>
        <w:ind w:firstLine="594" w:firstLineChars="200"/>
        <w:rPr>
          <w:rFonts w:hint="eastAsia" w:ascii="仿宋_GB2312"/>
          <w:szCs w:val="32"/>
        </w:rPr>
      </w:pPr>
    </w:p>
    <w:p>
      <w:pPr>
        <w:ind w:firstLine="594" w:firstLineChars="200"/>
      </w:pPr>
    </w:p>
    <w:sectPr>
      <w:footerReference r:id="rId4" w:type="default"/>
      <w:headerReference r:id="rId3" w:type="even"/>
      <w:pgSz w:w="11906" w:h="16838"/>
      <w:pgMar w:top="1723" w:right="1800" w:bottom="1723" w:left="1800" w:header="851" w:footer="992" w:gutter="0"/>
      <w:pgNumType w:fmt="numberInDash"/>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caps/>
        <w:color w:val="000000" w:themeColor="text1"/>
        <w14:textFill>
          <w14:solidFill>
            <w14:schemeClr w14:val="tx1"/>
          </w14:solidFill>
        </w14:textFill>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rPr>
                              <w:rFonts w:hint="default" w:ascii="Times New Roman" w:hAnsi="Times New Roman" w:cs="Times New Roman"/>
                              <w:caps/>
                              <w:color w:val="000000" w:themeColor="text1"/>
                              <w:sz w:val="30"/>
                              <w:szCs w:val="30"/>
                              <w14:textFill>
                                <w14:solidFill>
                                  <w14:schemeClr w14:val="tx1"/>
                                </w14:solidFill>
                              </w14:textFill>
                            </w:rPr>
                            <w:fldChar w:fldCharType="begin"/>
                          </w:r>
                          <w:r>
                            <w:rPr>
                              <w:rFonts w:hint="default" w:ascii="Times New Roman" w:hAnsi="Times New Roman" w:cs="Times New Roman"/>
                              <w:caps/>
                              <w:color w:val="000000" w:themeColor="text1"/>
                              <w:sz w:val="30"/>
                              <w:szCs w:val="30"/>
                              <w14:textFill>
                                <w14:solidFill>
                                  <w14:schemeClr w14:val="tx1"/>
                                </w14:solidFill>
                              </w14:textFill>
                            </w:rPr>
                            <w:instrText xml:space="preserve">PAGE   \* MERGEFORMAT</w:instrText>
                          </w:r>
                          <w:r>
                            <w:rPr>
                              <w:rFonts w:hint="default" w:ascii="Times New Roman" w:hAnsi="Times New Roman" w:cs="Times New Roman"/>
                              <w:caps/>
                              <w:color w:val="000000" w:themeColor="text1"/>
                              <w:sz w:val="30"/>
                              <w:szCs w:val="30"/>
                              <w14:textFill>
                                <w14:solidFill>
                                  <w14:schemeClr w14:val="tx1"/>
                                </w14:solidFill>
                              </w14:textFill>
                            </w:rPr>
                            <w:fldChar w:fldCharType="separate"/>
                          </w:r>
                          <w:r>
                            <w:rPr>
                              <w:rFonts w:hint="default" w:ascii="Times New Roman" w:hAnsi="Times New Roman" w:cs="Times New Roman"/>
                              <w:caps/>
                              <w:color w:val="000000" w:themeColor="text1"/>
                              <w:sz w:val="30"/>
                              <w:szCs w:val="30"/>
                              <w:lang w:val="zh-CN"/>
                              <w14:textFill>
                                <w14:solidFill>
                                  <w14:schemeClr w14:val="tx1"/>
                                </w14:solidFill>
                              </w14:textFill>
                            </w:rPr>
                            <w:t>7</w:t>
                          </w:r>
                          <w:r>
                            <w:rPr>
                              <w:rFonts w:hint="default" w:ascii="Times New Roman" w:hAnsi="Times New Roman" w:cs="Times New Roman"/>
                              <w:caps/>
                              <w:color w:val="000000" w:themeColor="text1"/>
                              <w:sz w:val="30"/>
                              <w:szCs w:val="30"/>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2"/>
                      <w:jc w:val="center"/>
                    </w:pPr>
                    <w:r>
                      <w:rPr>
                        <w:rFonts w:hint="default" w:ascii="Times New Roman" w:hAnsi="Times New Roman" w:cs="Times New Roman"/>
                        <w:caps/>
                        <w:color w:val="000000" w:themeColor="text1"/>
                        <w:sz w:val="30"/>
                        <w:szCs w:val="30"/>
                        <w14:textFill>
                          <w14:solidFill>
                            <w14:schemeClr w14:val="tx1"/>
                          </w14:solidFill>
                        </w14:textFill>
                      </w:rPr>
                      <w:fldChar w:fldCharType="begin"/>
                    </w:r>
                    <w:r>
                      <w:rPr>
                        <w:rFonts w:hint="default" w:ascii="Times New Roman" w:hAnsi="Times New Roman" w:cs="Times New Roman"/>
                        <w:caps/>
                        <w:color w:val="000000" w:themeColor="text1"/>
                        <w:sz w:val="30"/>
                        <w:szCs w:val="30"/>
                        <w14:textFill>
                          <w14:solidFill>
                            <w14:schemeClr w14:val="tx1"/>
                          </w14:solidFill>
                        </w14:textFill>
                      </w:rPr>
                      <w:instrText xml:space="preserve">PAGE   \* MERGEFORMAT</w:instrText>
                    </w:r>
                    <w:r>
                      <w:rPr>
                        <w:rFonts w:hint="default" w:ascii="Times New Roman" w:hAnsi="Times New Roman" w:cs="Times New Roman"/>
                        <w:caps/>
                        <w:color w:val="000000" w:themeColor="text1"/>
                        <w:sz w:val="30"/>
                        <w:szCs w:val="30"/>
                        <w14:textFill>
                          <w14:solidFill>
                            <w14:schemeClr w14:val="tx1"/>
                          </w14:solidFill>
                        </w14:textFill>
                      </w:rPr>
                      <w:fldChar w:fldCharType="separate"/>
                    </w:r>
                    <w:r>
                      <w:rPr>
                        <w:rFonts w:hint="default" w:ascii="Times New Roman" w:hAnsi="Times New Roman" w:cs="Times New Roman"/>
                        <w:caps/>
                        <w:color w:val="000000" w:themeColor="text1"/>
                        <w:sz w:val="30"/>
                        <w:szCs w:val="30"/>
                        <w:lang w:val="zh-CN"/>
                        <w14:textFill>
                          <w14:solidFill>
                            <w14:schemeClr w14:val="tx1"/>
                          </w14:solidFill>
                        </w14:textFill>
                      </w:rPr>
                      <w:t>7</w:t>
                    </w:r>
                    <w:r>
                      <w:rPr>
                        <w:rFonts w:hint="default" w:ascii="Times New Roman" w:hAnsi="Times New Roman" w:cs="Times New Roman"/>
                        <w:caps/>
                        <w:color w:val="000000" w:themeColor="text1"/>
                        <w:sz w:val="30"/>
                        <w:szCs w:val="30"/>
                        <w14:textFill>
                          <w14:solidFill>
                            <w14:schemeClr w14:val="tx1"/>
                          </w14:solidFill>
                        </w14:textFill>
                      </w:rP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华为昆明软件开发云创新中心介绍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8634A"/>
    <w:multiLevelType w:val="singleLevel"/>
    <w:tmpl w:val="8BF8634A"/>
    <w:lvl w:ilvl="0" w:tentative="0">
      <w:start w:val="2"/>
      <w:numFmt w:val="chineseCounting"/>
      <w:suff w:val="nothing"/>
      <w:lvlText w:val="（%1）"/>
      <w:lvlJc w:val="left"/>
      <w:rPr>
        <w:rFonts w:hint="eastAsia"/>
      </w:rPr>
    </w:lvl>
  </w:abstractNum>
  <w:abstractNum w:abstractNumId="1">
    <w:nsid w:val="357E6BD6"/>
    <w:multiLevelType w:val="multilevel"/>
    <w:tmpl w:val="357E6BD6"/>
    <w:lvl w:ilvl="0" w:tentative="0">
      <w:start w:val="1"/>
      <w:numFmt w:val="chineseCountingThousand"/>
      <w:pStyle w:val="2"/>
      <w:suff w:val="nothing"/>
      <w:lvlText w:val="第%1章"/>
      <w:lvlJc w:val="left"/>
      <w:pPr>
        <w:ind w:left="142"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2">
    <w:nsid w:val="43B18715"/>
    <w:multiLevelType w:val="singleLevel"/>
    <w:tmpl w:val="43B18715"/>
    <w:lvl w:ilvl="0" w:tentative="0">
      <w:start w:val="2"/>
      <w:numFmt w:val="chineseCounting"/>
      <w:suff w:val="nothing"/>
      <w:lvlText w:val="（%1）"/>
      <w:lvlJc w:val="left"/>
      <w:rPr>
        <w:rFonts w:hint="eastAsia"/>
      </w:rPr>
    </w:lvl>
  </w:abstractNum>
  <w:abstractNum w:abstractNumId="3">
    <w:nsid w:val="760A7D33"/>
    <w:multiLevelType w:val="singleLevel"/>
    <w:tmpl w:val="760A7D33"/>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50"/>
    <w:rsid w:val="00013916"/>
    <w:rsid w:val="000219E6"/>
    <w:rsid w:val="001E0D61"/>
    <w:rsid w:val="002413AE"/>
    <w:rsid w:val="00281320"/>
    <w:rsid w:val="003401D3"/>
    <w:rsid w:val="003A2B3A"/>
    <w:rsid w:val="003A2FB4"/>
    <w:rsid w:val="0044192C"/>
    <w:rsid w:val="00450909"/>
    <w:rsid w:val="00457180"/>
    <w:rsid w:val="00476E7B"/>
    <w:rsid w:val="00482CAD"/>
    <w:rsid w:val="00485BB6"/>
    <w:rsid w:val="005D1A64"/>
    <w:rsid w:val="0062206C"/>
    <w:rsid w:val="006A7C52"/>
    <w:rsid w:val="007268DF"/>
    <w:rsid w:val="00846594"/>
    <w:rsid w:val="00930176"/>
    <w:rsid w:val="00A954D6"/>
    <w:rsid w:val="00AD2790"/>
    <w:rsid w:val="00B87E79"/>
    <w:rsid w:val="00BD5BE1"/>
    <w:rsid w:val="00CA09BB"/>
    <w:rsid w:val="00CC2350"/>
    <w:rsid w:val="00CD1FC0"/>
    <w:rsid w:val="00D70E6F"/>
    <w:rsid w:val="00D81336"/>
    <w:rsid w:val="00DB7F10"/>
    <w:rsid w:val="00E77698"/>
    <w:rsid w:val="00EE78C1"/>
    <w:rsid w:val="00F42754"/>
    <w:rsid w:val="00F6548D"/>
    <w:rsid w:val="030D66F7"/>
    <w:rsid w:val="05AE36CA"/>
    <w:rsid w:val="0897336A"/>
    <w:rsid w:val="0CAD398A"/>
    <w:rsid w:val="1C4F6355"/>
    <w:rsid w:val="223F0577"/>
    <w:rsid w:val="236E14BE"/>
    <w:rsid w:val="2E471E82"/>
    <w:rsid w:val="378A5996"/>
    <w:rsid w:val="3A733584"/>
    <w:rsid w:val="3ABA524C"/>
    <w:rsid w:val="40777EA8"/>
    <w:rsid w:val="47411A94"/>
    <w:rsid w:val="4B061836"/>
    <w:rsid w:val="5A3C6978"/>
    <w:rsid w:val="5B736902"/>
    <w:rsid w:val="5FEE119C"/>
    <w:rsid w:val="67600811"/>
    <w:rsid w:val="6AA53D04"/>
    <w:rsid w:val="6E096087"/>
    <w:rsid w:val="6E0C6790"/>
    <w:rsid w:val="741929EC"/>
    <w:rsid w:val="74C33CCF"/>
    <w:rsid w:val="7B036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20"/>
    <w:qFormat/>
    <w:uiPriority w:val="9"/>
    <w:pPr>
      <w:keepNext/>
      <w:keepLines/>
      <w:widowControl/>
      <w:numPr>
        <w:ilvl w:val="0"/>
        <w:numId w:val="1"/>
      </w:numPr>
      <w:spacing w:before="340" w:after="330" w:line="578" w:lineRule="auto"/>
      <w:jc w:val="left"/>
      <w:outlineLvl w:val="0"/>
    </w:pPr>
    <w:rPr>
      <w:rFonts w:eastAsiaTheme="minorEastAsia"/>
      <w:b/>
      <w:bCs/>
      <w:kern w:val="44"/>
      <w:sz w:val="44"/>
      <w:szCs w:val="44"/>
    </w:rPr>
  </w:style>
  <w:style w:type="paragraph" w:styleId="3">
    <w:name w:val="heading 2"/>
    <w:basedOn w:val="1"/>
    <w:next w:val="1"/>
    <w:link w:val="21"/>
    <w:unhideWhenUsed/>
    <w:qFormat/>
    <w:uiPriority w:val="0"/>
    <w:pPr>
      <w:keepNext/>
      <w:keepLines/>
      <w:widowControl/>
      <w:numPr>
        <w:ilvl w:val="1"/>
        <w:numId w:val="1"/>
      </w:numPr>
      <w:spacing w:before="260" w:after="260" w:line="416" w:lineRule="auto"/>
      <w:jc w:val="left"/>
      <w:outlineLvl w:val="1"/>
    </w:pPr>
    <w:rPr>
      <w:rFonts w:asciiTheme="majorHAnsi" w:hAnsiTheme="majorHAnsi" w:eastAsiaTheme="majorEastAsia" w:cstheme="majorBidi"/>
      <w:b/>
      <w:bCs/>
      <w:szCs w:val="32"/>
    </w:rPr>
  </w:style>
  <w:style w:type="paragraph" w:styleId="4">
    <w:name w:val="heading 3"/>
    <w:basedOn w:val="1"/>
    <w:next w:val="1"/>
    <w:link w:val="22"/>
    <w:unhideWhenUsed/>
    <w:qFormat/>
    <w:uiPriority w:val="0"/>
    <w:pPr>
      <w:keepNext/>
      <w:keepLines/>
      <w:widowControl/>
      <w:numPr>
        <w:ilvl w:val="2"/>
        <w:numId w:val="1"/>
      </w:numPr>
      <w:spacing w:before="260" w:after="260" w:line="416" w:lineRule="auto"/>
      <w:jc w:val="left"/>
      <w:outlineLvl w:val="2"/>
    </w:pPr>
    <w:rPr>
      <w:rFonts w:eastAsiaTheme="minorEastAsia"/>
      <w:b/>
      <w:bCs/>
      <w:szCs w:val="32"/>
    </w:rPr>
  </w:style>
  <w:style w:type="paragraph" w:styleId="5">
    <w:name w:val="heading 4"/>
    <w:basedOn w:val="1"/>
    <w:next w:val="1"/>
    <w:link w:val="23"/>
    <w:unhideWhenUsed/>
    <w:qFormat/>
    <w:uiPriority w:val="9"/>
    <w:pPr>
      <w:keepNext/>
      <w:keepLines/>
      <w:widowControl/>
      <w:numPr>
        <w:ilvl w:val="3"/>
        <w:numId w:val="1"/>
      </w:numPr>
      <w:spacing w:before="280" w:after="290" w:line="376" w:lineRule="auto"/>
      <w:jc w:val="left"/>
      <w:outlineLvl w:val="3"/>
    </w:pPr>
    <w:rPr>
      <w:rFonts w:asciiTheme="majorHAnsi" w:hAnsiTheme="majorHAnsi" w:eastAsiaTheme="majorEastAsia" w:cstheme="majorBidi"/>
      <w:b/>
      <w:bCs/>
      <w:sz w:val="28"/>
      <w:szCs w:val="28"/>
    </w:rPr>
  </w:style>
  <w:style w:type="paragraph" w:styleId="6">
    <w:name w:val="heading 5"/>
    <w:basedOn w:val="1"/>
    <w:next w:val="1"/>
    <w:link w:val="24"/>
    <w:semiHidden/>
    <w:unhideWhenUsed/>
    <w:qFormat/>
    <w:uiPriority w:val="9"/>
    <w:pPr>
      <w:keepNext/>
      <w:keepLines/>
      <w:widowControl/>
      <w:numPr>
        <w:ilvl w:val="4"/>
        <w:numId w:val="1"/>
      </w:numPr>
      <w:spacing w:before="280" w:after="290" w:line="376" w:lineRule="auto"/>
      <w:jc w:val="left"/>
      <w:outlineLvl w:val="4"/>
    </w:pPr>
    <w:rPr>
      <w:rFonts w:eastAsiaTheme="minorEastAsia"/>
      <w:b/>
      <w:bCs/>
      <w:sz w:val="28"/>
      <w:szCs w:val="28"/>
    </w:rPr>
  </w:style>
  <w:style w:type="paragraph" w:styleId="7">
    <w:name w:val="heading 6"/>
    <w:basedOn w:val="1"/>
    <w:next w:val="1"/>
    <w:link w:val="25"/>
    <w:semiHidden/>
    <w:unhideWhenUsed/>
    <w:qFormat/>
    <w:uiPriority w:val="9"/>
    <w:pPr>
      <w:keepNext/>
      <w:keepLines/>
      <w:widowControl/>
      <w:numPr>
        <w:ilvl w:val="5"/>
        <w:numId w:val="1"/>
      </w:numPr>
      <w:spacing w:before="240" w:after="64" w:line="320" w:lineRule="auto"/>
      <w:jc w:val="left"/>
      <w:outlineLvl w:val="5"/>
    </w:pPr>
    <w:rPr>
      <w:rFonts w:asciiTheme="majorHAnsi" w:hAnsiTheme="majorHAnsi" w:eastAsiaTheme="majorEastAsia" w:cstheme="majorBidi"/>
      <w:b/>
      <w:bCs/>
      <w:sz w:val="24"/>
      <w:szCs w:val="24"/>
    </w:rPr>
  </w:style>
  <w:style w:type="paragraph" w:styleId="8">
    <w:name w:val="heading 7"/>
    <w:basedOn w:val="1"/>
    <w:next w:val="1"/>
    <w:link w:val="26"/>
    <w:semiHidden/>
    <w:unhideWhenUsed/>
    <w:qFormat/>
    <w:uiPriority w:val="9"/>
    <w:pPr>
      <w:keepNext/>
      <w:keepLines/>
      <w:widowControl/>
      <w:numPr>
        <w:ilvl w:val="6"/>
        <w:numId w:val="1"/>
      </w:numPr>
      <w:spacing w:before="240" w:after="64" w:line="320" w:lineRule="auto"/>
      <w:jc w:val="left"/>
      <w:outlineLvl w:val="6"/>
    </w:pPr>
    <w:rPr>
      <w:rFonts w:eastAsiaTheme="minorEastAsia"/>
      <w:b/>
      <w:bCs/>
      <w:sz w:val="24"/>
      <w:szCs w:val="24"/>
    </w:rPr>
  </w:style>
  <w:style w:type="paragraph" w:styleId="9">
    <w:name w:val="heading 8"/>
    <w:basedOn w:val="1"/>
    <w:next w:val="1"/>
    <w:link w:val="27"/>
    <w:semiHidden/>
    <w:unhideWhenUsed/>
    <w:qFormat/>
    <w:uiPriority w:val="9"/>
    <w:pPr>
      <w:keepNext/>
      <w:keepLines/>
      <w:widowControl/>
      <w:numPr>
        <w:ilvl w:val="7"/>
        <w:numId w:val="1"/>
      </w:numPr>
      <w:spacing w:before="240" w:after="64" w:line="320" w:lineRule="auto"/>
      <w:jc w:val="left"/>
      <w:outlineLvl w:val="7"/>
    </w:pPr>
    <w:rPr>
      <w:rFonts w:asciiTheme="majorHAnsi" w:hAnsiTheme="majorHAnsi" w:eastAsiaTheme="majorEastAsia" w:cstheme="majorBidi"/>
      <w:sz w:val="24"/>
      <w:szCs w:val="24"/>
    </w:rPr>
  </w:style>
  <w:style w:type="paragraph" w:styleId="10">
    <w:name w:val="heading 9"/>
    <w:basedOn w:val="1"/>
    <w:next w:val="1"/>
    <w:link w:val="28"/>
    <w:semiHidden/>
    <w:unhideWhenUsed/>
    <w:qFormat/>
    <w:uiPriority w:val="9"/>
    <w:pPr>
      <w:keepNext/>
      <w:keepLines/>
      <w:widowControl/>
      <w:numPr>
        <w:ilvl w:val="8"/>
        <w:numId w:val="1"/>
      </w:numPr>
      <w:spacing w:before="240" w:after="64" w:line="320" w:lineRule="auto"/>
      <w:jc w:val="left"/>
      <w:outlineLvl w:val="8"/>
    </w:pPr>
    <w:rPr>
      <w:rFonts w:asciiTheme="majorHAnsi" w:hAnsiTheme="majorHAnsi" w:eastAsiaTheme="majorEastAsia" w:cstheme="majorBidi"/>
      <w:sz w:val="21"/>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31"/>
    <w:qFormat/>
    <w:uiPriority w:val="0"/>
    <w:rPr>
      <w:sz w:val="18"/>
      <w:szCs w:val="18"/>
    </w:rPr>
  </w:style>
  <w:style w:type="paragraph" w:styleId="12">
    <w:name w:val="footer"/>
    <w:basedOn w:val="1"/>
    <w:link w:val="19"/>
    <w:qFormat/>
    <w:uiPriority w:val="99"/>
    <w:pPr>
      <w:tabs>
        <w:tab w:val="center" w:pos="4153"/>
        <w:tab w:val="right" w:pos="8306"/>
      </w:tabs>
      <w:snapToGrid w:val="0"/>
      <w:jc w:val="left"/>
    </w:pPr>
    <w:rPr>
      <w:sz w:val="18"/>
      <w:szCs w:val="18"/>
    </w:rPr>
  </w:style>
  <w:style w:type="paragraph" w:styleId="13">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39"/>
    <w:pPr>
      <w:spacing w:line="360" w:lineRule="auto"/>
    </w:pPr>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眉 字符"/>
    <w:basedOn w:val="17"/>
    <w:link w:val="13"/>
    <w:qFormat/>
    <w:uiPriority w:val="99"/>
    <w:rPr>
      <w:rFonts w:eastAsia="仿宋_GB2312"/>
      <w:kern w:val="2"/>
      <w:sz w:val="18"/>
      <w:szCs w:val="18"/>
    </w:rPr>
  </w:style>
  <w:style w:type="character" w:customStyle="1" w:styleId="19">
    <w:name w:val="页脚 字符"/>
    <w:basedOn w:val="17"/>
    <w:link w:val="12"/>
    <w:qFormat/>
    <w:uiPriority w:val="99"/>
    <w:rPr>
      <w:rFonts w:eastAsia="仿宋_GB2312"/>
      <w:kern w:val="2"/>
      <w:sz w:val="18"/>
      <w:szCs w:val="18"/>
    </w:rPr>
  </w:style>
  <w:style w:type="character" w:customStyle="1" w:styleId="20">
    <w:name w:val="标题 1 字符"/>
    <w:basedOn w:val="17"/>
    <w:link w:val="2"/>
    <w:qFormat/>
    <w:uiPriority w:val="9"/>
    <w:rPr>
      <w:b/>
      <w:bCs/>
      <w:kern w:val="44"/>
      <w:sz w:val="44"/>
      <w:szCs w:val="44"/>
    </w:rPr>
  </w:style>
  <w:style w:type="character" w:customStyle="1" w:styleId="21">
    <w:name w:val="标题 2 字符"/>
    <w:basedOn w:val="17"/>
    <w:link w:val="3"/>
    <w:qFormat/>
    <w:uiPriority w:val="0"/>
    <w:rPr>
      <w:rFonts w:asciiTheme="majorHAnsi" w:hAnsiTheme="majorHAnsi" w:eastAsiaTheme="majorEastAsia" w:cstheme="majorBidi"/>
      <w:b/>
      <w:bCs/>
      <w:kern w:val="2"/>
      <w:sz w:val="32"/>
      <w:szCs w:val="32"/>
    </w:rPr>
  </w:style>
  <w:style w:type="character" w:customStyle="1" w:styleId="22">
    <w:name w:val="标题 3 字符"/>
    <w:basedOn w:val="17"/>
    <w:link w:val="4"/>
    <w:qFormat/>
    <w:uiPriority w:val="0"/>
    <w:rPr>
      <w:b/>
      <w:bCs/>
      <w:kern w:val="2"/>
      <w:sz w:val="32"/>
      <w:szCs w:val="32"/>
    </w:rPr>
  </w:style>
  <w:style w:type="character" w:customStyle="1" w:styleId="23">
    <w:name w:val="标题 4 字符"/>
    <w:basedOn w:val="17"/>
    <w:link w:val="5"/>
    <w:qFormat/>
    <w:uiPriority w:val="9"/>
    <w:rPr>
      <w:rFonts w:asciiTheme="majorHAnsi" w:hAnsiTheme="majorHAnsi" w:eastAsiaTheme="majorEastAsia" w:cstheme="majorBidi"/>
      <w:b/>
      <w:bCs/>
      <w:kern w:val="2"/>
      <w:sz w:val="28"/>
      <w:szCs w:val="28"/>
    </w:rPr>
  </w:style>
  <w:style w:type="character" w:customStyle="1" w:styleId="24">
    <w:name w:val="标题 5 字符"/>
    <w:basedOn w:val="17"/>
    <w:link w:val="6"/>
    <w:semiHidden/>
    <w:qFormat/>
    <w:uiPriority w:val="9"/>
    <w:rPr>
      <w:b/>
      <w:bCs/>
      <w:kern w:val="2"/>
      <w:sz w:val="28"/>
      <w:szCs w:val="28"/>
    </w:rPr>
  </w:style>
  <w:style w:type="character" w:customStyle="1" w:styleId="25">
    <w:name w:val="标题 6 字符"/>
    <w:basedOn w:val="17"/>
    <w:link w:val="7"/>
    <w:semiHidden/>
    <w:qFormat/>
    <w:uiPriority w:val="9"/>
    <w:rPr>
      <w:rFonts w:asciiTheme="majorHAnsi" w:hAnsiTheme="majorHAnsi" w:eastAsiaTheme="majorEastAsia" w:cstheme="majorBidi"/>
      <w:b/>
      <w:bCs/>
      <w:kern w:val="2"/>
      <w:sz w:val="24"/>
      <w:szCs w:val="24"/>
    </w:rPr>
  </w:style>
  <w:style w:type="character" w:customStyle="1" w:styleId="26">
    <w:name w:val="标题 7 字符"/>
    <w:basedOn w:val="17"/>
    <w:link w:val="8"/>
    <w:semiHidden/>
    <w:qFormat/>
    <w:uiPriority w:val="9"/>
    <w:rPr>
      <w:b/>
      <w:bCs/>
      <w:kern w:val="2"/>
      <w:sz w:val="24"/>
      <w:szCs w:val="24"/>
    </w:rPr>
  </w:style>
  <w:style w:type="character" w:customStyle="1" w:styleId="27">
    <w:name w:val="标题 8 字符"/>
    <w:basedOn w:val="17"/>
    <w:link w:val="9"/>
    <w:semiHidden/>
    <w:qFormat/>
    <w:uiPriority w:val="9"/>
    <w:rPr>
      <w:rFonts w:asciiTheme="majorHAnsi" w:hAnsiTheme="majorHAnsi" w:eastAsiaTheme="majorEastAsia" w:cstheme="majorBidi"/>
      <w:kern w:val="2"/>
      <w:sz w:val="24"/>
      <w:szCs w:val="24"/>
    </w:rPr>
  </w:style>
  <w:style w:type="character" w:customStyle="1" w:styleId="28">
    <w:name w:val="标题 9 字符"/>
    <w:basedOn w:val="17"/>
    <w:link w:val="10"/>
    <w:semiHidden/>
    <w:qFormat/>
    <w:uiPriority w:val="9"/>
    <w:rPr>
      <w:rFonts w:asciiTheme="majorHAnsi" w:hAnsiTheme="majorHAnsi" w:eastAsiaTheme="majorEastAsia" w:cstheme="majorBidi"/>
      <w:kern w:val="2"/>
      <w:sz w:val="21"/>
      <w:szCs w:val="21"/>
    </w:rPr>
  </w:style>
  <w:style w:type="character" w:customStyle="1" w:styleId="29">
    <w:name w:val="description"/>
    <w:basedOn w:val="17"/>
    <w:qFormat/>
    <w:uiPriority w:val="0"/>
  </w:style>
  <w:style w:type="paragraph" w:styleId="30">
    <w:name w:val="List Paragraph"/>
    <w:basedOn w:val="1"/>
    <w:qFormat/>
    <w:uiPriority w:val="99"/>
    <w:pPr>
      <w:ind w:firstLine="420" w:firstLineChars="200"/>
    </w:pPr>
  </w:style>
  <w:style w:type="character" w:customStyle="1" w:styleId="31">
    <w:name w:val="批注框文本 字符"/>
    <w:basedOn w:val="17"/>
    <w:link w:val="11"/>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7</Pages>
  <Words>432</Words>
  <Characters>2465</Characters>
  <Lines>20</Lines>
  <Paragraphs>5</Paragraphs>
  <TotalTime>0</TotalTime>
  <ScaleCrop>false</ScaleCrop>
  <LinksUpToDate>false</LinksUpToDate>
  <CharactersWithSpaces>2892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2019-07-15T01:17:00Z</dcterms:created>
  <dc:creator>jyjcg</dc:creator>
  <cp:lastModifiedBy>Dell</cp:lastModifiedBy>
  <cp:lastPrinted>2019-03-21T07:08:00Z</cp:lastPrinted>
  <dcterms:modified xsi:type="dcterms:W3CDTF">2022-10-14T03:29:36Z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_2015_ms_pID_725343">
    <vt:lpwstr>(3)esCGCJe3Xr+aYbYYla2ZQCkB/o3Diy8VuqmEICjAS2/8b8PkspG0xA1lw4eyhbaQLVY9JuKz
pAQfILf92k8hJUrfmLfZSvfC6TURnvBIfjCZv/w2/r5Y2QQdWUx5kN/6poWJJZVbFocUwD8d
w1MahL4tQZiSHo2eD/CQ/SB1DQIgnLatw2OKLukVCDbZugmgone6RqRgS9DGOTx5M2HPcW6V
s7Fu2w3GHGIdJ+wOHV</vt:lpwstr>
  </property>
  <property fmtid="{D5CDD505-2E9C-101B-9397-08002B2CF9AE}" pid="4" name="_2015_ms_pID_7253431">
    <vt:lpwstr>4E/GzvmdZfTuRPpDXsRa+duvlfjyJzckzBaQZFtLFvJ8+xgfXkgcpv
PXz0exqmfUYmRnLX3kC+HbX86D51hWvdoPj+aqhrq6S0jACVK61HW04mh/zHtcVJbHEGnl2E
21XYPJk8CQFaGvvIlJ65Xxpd7ZPBZSES19udN31BIxabqPCuZ+1Jd08hLV3YH1qjAIKxLddd
P+GMmEQoGx+6Zti/elUj9w9kop2YrzH6LiM7</vt:lpwstr>
  </property>
  <property fmtid="{D5CDD505-2E9C-101B-9397-08002B2CF9AE}" pid="5" name="_2015_ms_pID_7253432">
    <vt:lpwstr>0A==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1553157615</vt:lpwstr>
  </property>
  <property fmtid="{D5CDD505-2E9C-101B-9397-08002B2CF9AE}" pid="10" name="ICV">
    <vt:lpwstr>D629E1868BF44923AE41804C6DD57B3A</vt:lpwstr>
  </property>
</Properties>
</file>