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ind w:firstLine="2248" w:firstLineChars="700"/>
        <w:jc w:val="both"/>
        <w:rPr>
          <w:rFonts w:ascii="宋体" w:hAnsi="宋体"/>
          <w:kern w:val="0"/>
          <w:szCs w:val="32"/>
          <w:lang w:val="zh-CN"/>
        </w:rPr>
      </w:pPr>
      <w:bookmarkStart w:id="0" w:name="_Toc287988779"/>
      <w:bookmarkStart w:id="1" w:name="_Toc282549822"/>
      <w:bookmarkStart w:id="2" w:name="_Toc14130"/>
      <w:bookmarkStart w:id="3" w:name="_Toc287988947"/>
      <w:r>
        <w:rPr>
          <w:rFonts w:ascii="宋体" w:hAnsi="宋体"/>
          <w:kern w:val="0"/>
          <w:szCs w:val="32"/>
          <w:lang w:val="zh-CN"/>
        </w:rPr>
        <w:t>第</w:t>
      </w:r>
      <w:r>
        <w:rPr>
          <w:rFonts w:hint="eastAsia" w:ascii="宋体" w:hAnsi="宋体"/>
          <w:kern w:val="0"/>
          <w:szCs w:val="32"/>
          <w:lang w:val="zh-CN"/>
        </w:rPr>
        <w:t>一</w:t>
      </w:r>
      <w:r>
        <w:rPr>
          <w:rFonts w:ascii="宋体" w:hAnsi="宋体"/>
          <w:kern w:val="0"/>
          <w:szCs w:val="32"/>
          <w:lang w:val="zh-CN"/>
        </w:rPr>
        <w:t xml:space="preserve">部分  </w:t>
      </w:r>
      <w:r>
        <w:rPr>
          <w:rFonts w:hint="eastAsia" w:ascii="宋体" w:hAnsi="宋体"/>
          <w:kern w:val="0"/>
          <w:szCs w:val="32"/>
          <w:lang w:val="zh-CN"/>
        </w:rPr>
        <w:t>比选申请文件</w:t>
      </w:r>
      <w:r>
        <w:rPr>
          <w:rFonts w:ascii="宋体" w:hAnsi="宋体"/>
          <w:kern w:val="0"/>
          <w:szCs w:val="32"/>
          <w:lang w:val="zh-CN"/>
        </w:rPr>
        <w:t>格式</w:t>
      </w:r>
      <w:bookmarkEnd w:id="0"/>
      <w:bookmarkEnd w:id="1"/>
      <w:bookmarkEnd w:id="2"/>
      <w:bookmarkEnd w:id="3"/>
    </w:p>
    <w:p>
      <w:pPr>
        <w:spacing w:line="360" w:lineRule="auto"/>
        <w:ind w:right="160" w:firstLine="800"/>
        <w:jc w:val="right"/>
        <w:rPr>
          <w:rFonts w:ascii="宋体" w:hAnsi="宋体"/>
          <w:b/>
          <w:sz w:val="32"/>
          <w:szCs w:val="32"/>
          <w:bdr w:val="single" w:color="auto" w:sz="4" w:space="0"/>
        </w:rPr>
      </w:pPr>
    </w:p>
    <w:p>
      <w:pPr>
        <w:spacing w:line="360" w:lineRule="auto"/>
        <w:jc w:val="center"/>
        <w:rPr>
          <w:rFonts w:hint="eastAsia" w:ascii="宋体" w:hAnsi="宋体" w:eastAsia="宋体"/>
          <w:b/>
          <w:bCs/>
          <w:sz w:val="48"/>
          <w:szCs w:val="48"/>
          <w:lang w:eastAsia="zh-CN"/>
        </w:rPr>
      </w:pPr>
      <w:r>
        <w:rPr>
          <w:rFonts w:hint="eastAsia" w:ascii="宋体" w:hAnsi="宋体"/>
          <w:b/>
          <w:bCs/>
          <w:sz w:val="48"/>
          <w:szCs w:val="48"/>
          <w:lang w:eastAsia="zh-CN"/>
        </w:rPr>
        <w:t>昆明市呈贡区水务局XXXXXX项目选取招标代理机构</w:t>
      </w:r>
    </w:p>
    <w:p>
      <w:pPr>
        <w:ind w:firstLine="2108"/>
        <w:jc w:val="center"/>
        <w:rPr>
          <w:rFonts w:ascii="宋体" w:hAnsi="宋体"/>
          <w:sz w:val="84"/>
          <w:szCs w:val="84"/>
        </w:rPr>
      </w:pPr>
    </w:p>
    <w:p>
      <w:pPr>
        <w:ind w:firstLine="2108"/>
        <w:rPr>
          <w:rFonts w:ascii="宋体" w:hAnsi="宋体"/>
          <w:sz w:val="84"/>
          <w:szCs w:val="84"/>
        </w:rPr>
      </w:pPr>
    </w:p>
    <w:p>
      <w:pPr>
        <w:jc w:val="center"/>
        <w:rPr>
          <w:rFonts w:ascii="宋体" w:hAnsi="宋体"/>
          <w:sz w:val="84"/>
          <w:szCs w:val="84"/>
        </w:rPr>
      </w:pPr>
      <w:r>
        <w:rPr>
          <w:rFonts w:hint="eastAsia" w:ascii="宋体" w:hAnsi="宋体"/>
          <w:sz w:val="84"/>
          <w:szCs w:val="84"/>
        </w:rPr>
        <w:t>比选申请文件</w:t>
      </w:r>
    </w:p>
    <w:p>
      <w:pPr>
        <w:jc w:val="center"/>
        <w:rPr>
          <w:sz w:val="28"/>
          <w:szCs w:val="28"/>
        </w:rPr>
      </w:pPr>
      <w:r>
        <w:rPr>
          <w:sz w:val="28"/>
          <w:szCs w:val="28"/>
        </w:rPr>
        <w:t>项目编号：</w:t>
      </w:r>
    </w:p>
    <w:p>
      <w:pPr>
        <w:ind w:firstLine="1800"/>
        <w:jc w:val="center"/>
        <w:rPr>
          <w:rFonts w:ascii="宋体" w:hAnsi="宋体"/>
          <w:b/>
          <w:sz w:val="72"/>
          <w:szCs w:val="72"/>
        </w:rPr>
      </w:pPr>
    </w:p>
    <w:p>
      <w:pPr>
        <w:ind w:firstLine="1800"/>
        <w:jc w:val="center"/>
        <w:rPr>
          <w:rFonts w:ascii="宋体" w:hAnsi="宋体"/>
          <w:b/>
          <w:sz w:val="72"/>
          <w:szCs w:val="72"/>
        </w:rPr>
      </w:pPr>
    </w:p>
    <w:p>
      <w:pPr>
        <w:ind w:firstLine="1800"/>
        <w:jc w:val="center"/>
        <w:rPr>
          <w:rFonts w:ascii="宋体" w:hAnsi="宋体"/>
          <w:b/>
          <w:sz w:val="72"/>
          <w:szCs w:val="72"/>
        </w:rPr>
      </w:pPr>
    </w:p>
    <w:p>
      <w:pPr>
        <w:snapToGrid w:val="0"/>
        <w:spacing w:line="480" w:lineRule="auto"/>
        <w:ind w:firstLine="1165"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ascii="宋体" w:hAnsi="宋体"/>
          <w:b/>
          <w:sz w:val="30"/>
        </w:rPr>
      </w:pPr>
      <w:r>
        <w:rPr>
          <w:rFonts w:ascii="宋体" w:hAnsi="宋体"/>
          <w:b/>
          <w:sz w:val="30"/>
        </w:rPr>
        <w:t>法 定 代 表 人</w:t>
      </w:r>
    </w:p>
    <w:p>
      <w:pPr>
        <w:snapToGrid w:val="0"/>
        <w:ind w:firstLine="1177"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ascii="宋体" w:hAnsi="宋体" w:eastAsia="宋体"/>
        </w:rPr>
      </w:pPr>
      <w:bookmarkStart w:id="4" w:name="_Toc287988780"/>
      <w:bookmarkStart w:id="5" w:name="_Toc282549823"/>
      <w:bookmarkStart w:id="6" w:name="_Toc287988948"/>
      <w:bookmarkStart w:id="7" w:name="_Toc255204951"/>
      <w:bookmarkStart w:id="8" w:name="_Toc282376911"/>
      <w:bookmarkStart w:id="9" w:name="_Toc244667421"/>
      <w:bookmarkStart w:id="10" w:name="_Toc251834987"/>
      <w:bookmarkStart w:id="11" w:name="_Toc242845627"/>
      <w:r>
        <w:rPr>
          <w:rFonts w:ascii="宋体" w:hAnsi="宋体" w:eastAsia="宋体"/>
        </w:rPr>
        <w:br w:type="page"/>
      </w:r>
    </w:p>
    <w:p>
      <w:pPr>
        <w:pStyle w:val="3"/>
        <w:spacing w:line="360" w:lineRule="auto"/>
        <w:ind w:firstLine="803"/>
        <w:jc w:val="center"/>
        <w:rPr>
          <w:rFonts w:ascii="宋体" w:hAnsi="宋体" w:eastAsia="宋体"/>
        </w:rPr>
      </w:pPr>
      <w:bookmarkStart w:id="12" w:name="_Toc15110"/>
      <w:bookmarkStart w:id="13" w:name="_Toc27586"/>
      <w:r>
        <w:rPr>
          <w:rFonts w:ascii="宋体" w:hAnsi="宋体" w:eastAsia="宋体"/>
        </w:rPr>
        <w:t>（一）</w:t>
      </w:r>
      <w:r>
        <w:rPr>
          <w:rFonts w:hint="eastAsia" w:ascii="宋体" w:hAnsi="宋体" w:eastAsia="宋体"/>
        </w:rPr>
        <w:t>比选申请文件</w:t>
      </w:r>
      <w:r>
        <w:rPr>
          <w:rFonts w:ascii="宋体" w:hAnsi="宋体" w:eastAsia="宋体"/>
        </w:rPr>
        <w:t>竞标函部分格式</w:t>
      </w:r>
      <w:bookmarkEnd w:id="4"/>
      <w:bookmarkEnd w:id="5"/>
      <w:bookmarkEnd w:id="6"/>
      <w:bookmarkEnd w:id="7"/>
      <w:bookmarkEnd w:id="8"/>
      <w:bookmarkEnd w:id="9"/>
      <w:bookmarkEnd w:id="10"/>
      <w:bookmarkEnd w:id="12"/>
      <w:bookmarkEnd w:id="13"/>
    </w:p>
    <w:bookmarkEnd w:id="11"/>
    <w:p>
      <w:pPr>
        <w:pStyle w:val="4"/>
        <w:ind w:firstLine="703"/>
        <w:jc w:val="center"/>
        <w:rPr>
          <w:rFonts w:ascii="宋体" w:hAnsi="宋体"/>
          <w:sz w:val="28"/>
          <w:szCs w:val="28"/>
        </w:rPr>
      </w:pPr>
      <w:bookmarkStart w:id="14" w:name="_Toc19188"/>
      <w:bookmarkStart w:id="15" w:name="_Toc13968"/>
      <w:bookmarkStart w:id="16" w:name="_Toc268254565"/>
      <w:bookmarkStart w:id="17" w:name="_Toc287988949"/>
      <w:bookmarkStart w:id="18" w:name="_Toc287988781"/>
      <w:bookmarkStart w:id="19" w:name="_Toc251834988"/>
      <w:bookmarkStart w:id="20" w:name="_Toc282376912"/>
      <w:bookmarkStart w:id="21" w:name="_Toc244667423"/>
      <w:bookmarkStart w:id="22" w:name="_Toc255204952"/>
      <w:bookmarkStart w:id="23" w:name="_Toc282549824"/>
      <w:bookmarkStart w:id="24" w:name="_Toc140100146"/>
      <w:bookmarkStart w:id="25" w:name="_Toc173485754"/>
      <w:r>
        <w:rPr>
          <w:rFonts w:ascii="宋体" w:hAnsi="宋体"/>
          <w:sz w:val="28"/>
          <w:szCs w:val="28"/>
        </w:rPr>
        <w:t>一、</w:t>
      </w:r>
      <w:r>
        <w:rPr>
          <w:rFonts w:hint="eastAsia" w:ascii="宋体" w:hAnsi="宋体"/>
          <w:sz w:val="28"/>
          <w:szCs w:val="28"/>
        </w:rPr>
        <w:t>竞标函</w:t>
      </w:r>
      <w:bookmarkEnd w:id="14"/>
      <w:bookmarkEnd w:id="15"/>
      <w:bookmarkEnd w:id="16"/>
      <w:bookmarkEnd w:id="17"/>
      <w:bookmarkEnd w:id="18"/>
      <w:bookmarkEnd w:id="19"/>
      <w:bookmarkEnd w:id="20"/>
      <w:bookmarkEnd w:id="21"/>
      <w:bookmarkEnd w:id="22"/>
      <w:bookmarkEnd w:id="23"/>
      <w:bookmarkEnd w:id="24"/>
      <w:bookmarkEnd w:id="25"/>
    </w:p>
    <w:p>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（招标人名称）</w:t>
      </w:r>
    </w:p>
    <w:p>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cs="宋体-18030"/>
          <w:sz w:val="28"/>
          <w:szCs w:val="28"/>
          <w:u w:val="single"/>
        </w:rPr>
        <w:t xml:space="preserve">         </w:t>
      </w:r>
      <w:r>
        <w:rPr>
          <w:rFonts w:hint="eastAsia" w:ascii="宋体" w:hAnsi="宋体"/>
          <w:sz w:val="24"/>
          <w:u w:val="single"/>
        </w:rPr>
        <w:t>（项目名称）</w:t>
      </w:r>
      <w:r>
        <w:rPr>
          <w:rFonts w:ascii="宋体" w:hAnsi="宋体"/>
          <w:sz w:val="24"/>
        </w:rPr>
        <w:t>的《公开竞争性比选文件》的所有内容、合同条款和其它有关文件包括修改文件（如果有）并完全明白，放弃在此方面提出含糊意见或误解的一切权利，我方就上述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u w:val="single"/>
        </w:rPr>
        <w:t xml:space="preserve">         </w:t>
      </w:r>
      <w:r>
        <w:rPr>
          <w:rFonts w:hint="eastAsia" w:ascii="宋体" w:hAnsi="宋体"/>
          <w:sz w:val="24"/>
          <w:u w:val="single"/>
        </w:rPr>
        <w:t>（项目名称）</w:t>
      </w:r>
      <w:r>
        <w:rPr>
          <w:rFonts w:ascii="宋体" w:hAnsi="宋体"/>
          <w:sz w:val="24"/>
        </w:rPr>
        <w:t>的所有内容进行投标，投标报价为</w:t>
      </w:r>
      <w:r>
        <w:rPr>
          <w:rFonts w:hint="eastAsia" w:ascii="宋体" w:hAnsi="宋体"/>
          <w:kern w:val="0"/>
          <w:sz w:val="24"/>
          <w:lang w:val="zh-TW"/>
        </w:rPr>
        <w:t>参照云南省建设工程招标投标行业协会关于印发《云南省建设工程招标代理服务收费指导意见（试行）》的通知（云建招协【2023】51号），</w:t>
      </w:r>
      <w:r>
        <w:rPr>
          <w:rFonts w:hint="eastAsia" w:ascii="宋体" w:hAnsi="宋体"/>
          <w:kern w:val="0"/>
          <w:sz w:val="24"/>
        </w:rPr>
        <w:t>结合比选申请人的技术水平和管理水平，综合考虑服务内容后按照上述收费标准</w:t>
      </w:r>
      <w:r>
        <w:rPr>
          <w:rFonts w:ascii="宋体" w:hAnsi="宋体"/>
          <w:sz w:val="24"/>
        </w:rPr>
        <w:t>下浮</w:t>
      </w:r>
      <w:r>
        <w:rPr>
          <w:rFonts w:hint="eastAsia" w:ascii="宋体" w:hAnsi="宋体"/>
          <w:sz w:val="24"/>
          <w:u w:val="single"/>
        </w:rPr>
        <w:t xml:space="preserve">    </w:t>
      </w:r>
      <w:r>
        <w:rPr>
          <w:rFonts w:ascii="宋体" w:hAnsi="宋体"/>
          <w:sz w:val="24"/>
          <w:u w:val="single"/>
        </w:rPr>
        <w:t xml:space="preserve">  </w:t>
      </w:r>
      <w:r>
        <w:rPr>
          <w:rFonts w:ascii="宋体" w:hAnsi="宋体"/>
          <w:sz w:val="24"/>
        </w:rPr>
        <w:t>％，确定招标代理合同价。招标代理服务费的计算以项</w:t>
      </w:r>
      <w:r>
        <w:rPr>
          <w:rFonts w:hint="eastAsia" w:ascii="宋体" w:hAnsi="宋体"/>
          <w:sz w:val="24"/>
        </w:rPr>
        <w:t>目</w:t>
      </w:r>
      <w:r>
        <w:rPr>
          <w:rFonts w:ascii="宋体" w:hAnsi="宋体"/>
          <w:sz w:val="24"/>
        </w:rPr>
        <w:t>实际完成的招标代理</w:t>
      </w:r>
      <w:r>
        <w:rPr>
          <w:rFonts w:hint="eastAsia" w:ascii="宋体" w:hAnsi="宋体"/>
          <w:sz w:val="24"/>
        </w:rPr>
        <w:t>工作</w:t>
      </w:r>
      <w:r>
        <w:rPr>
          <w:rFonts w:ascii="宋体" w:hAnsi="宋体"/>
          <w:sz w:val="24"/>
        </w:rPr>
        <w:t>中标金额为计费基数进行计算。</w:t>
      </w:r>
    </w:p>
    <w:p>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天内开始招标代理工作，并在招标代理合同所规定的时间内完成招标代理服务工作。</w:t>
      </w:r>
    </w:p>
    <w:p>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tabs>
          <w:tab w:val="left" w:pos="7560"/>
        </w:tabs>
        <w:spacing w:beforeLines="50" w:line="360" w:lineRule="auto"/>
        <w:ind w:left="-315" w:firstLine="424" w:firstLineChars="177"/>
        <w:rPr>
          <w:rFonts w:ascii="宋体" w:hAnsi="宋体"/>
          <w:sz w:val="24"/>
        </w:rPr>
      </w:pPr>
    </w:p>
    <w:p>
      <w:pPr>
        <w:pStyle w:val="4"/>
        <w:ind w:firstLine="703"/>
        <w:jc w:val="center"/>
        <w:rPr>
          <w:rFonts w:ascii="宋体" w:hAnsi="宋体"/>
          <w:sz w:val="28"/>
          <w:szCs w:val="28"/>
        </w:rPr>
      </w:pPr>
      <w:bookmarkStart w:id="26" w:name="_Toc229583228"/>
      <w:bookmarkStart w:id="27" w:name="_Toc140100147"/>
      <w:bookmarkStart w:id="28" w:name="_Toc282549825"/>
      <w:bookmarkStart w:id="29" w:name="_Toc251834989"/>
      <w:bookmarkStart w:id="30" w:name="_Toc287988782"/>
      <w:bookmarkStart w:id="31" w:name="_Toc282376913"/>
      <w:bookmarkStart w:id="32" w:name="_Toc173485755"/>
      <w:bookmarkStart w:id="33" w:name="_Toc242845630"/>
      <w:bookmarkStart w:id="34" w:name="_Toc14810"/>
      <w:bookmarkStart w:id="35" w:name="_Toc255204953"/>
      <w:bookmarkStart w:id="36" w:name="_Toc244667424"/>
      <w:bookmarkStart w:id="37" w:name="_Toc287988950"/>
      <w:bookmarkStart w:id="38" w:name="_Toc268254566"/>
      <w:bookmarkStart w:id="39" w:name="_Toc12115"/>
      <w:r>
        <w:rPr>
          <w:rFonts w:ascii="宋体" w:hAnsi="宋体"/>
          <w:sz w:val="28"/>
          <w:szCs w:val="28"/>
        </w:rPr>
        <w:t>二、法定代表人身份证明书</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tabs>
          <w:tab w:val="left" w:pos="7560"/>
        </w:tabs>
        <w:spacing w:beforeLines="50" w:line="360" w:lineRule="auto"/>
        <w:ind w:firstLine="602"/>
        <w:jc w:val="center"/>
        <w:rPr>
          <w:rFonts w:ascii="宋体" w:hAnsi="宋体"/>
          <w:sz w:val="24"/>
        </w:rPr>
      </w:pPr>
    </w:p>
    <w:p>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Lines="50" w:line="360" w:lineRule="auto"/>
        <w:ind w:left="-315" w:firstLine="602"/>
        <w:rPr>
          <w:rFonts w:ascii="宋体" w:hAnsi="宋体"/>
          <w:sz w:val="24"/>
        </w:rPr>
      </w:pPr>
      <w:r>
        <w:rPr>
          <w:rFonts w:ascii="宋体" w:hAnsi="宋体"/>
          <w:sz w:val="24"/>
        </w:rPr>
        <w:t>特此证明。</w:t>
      </w:r>
    </w:p>
    <w:p>
      <w:pPr>
        <w:spacing w:beforeLines="50" w:line="360" w:lineRule="auto"/>
        <w:ind w:left="-315" w:firstLine="602"/>
        <w:rPr>
          <w:rFonts w:ascii="宋体" w:hAnsi="宋体"/>
          <w:sz w:val="24"/>
        </w:rPr>
      </w:pPr>
    </w:p>
    <w:p>
      <w:pPr>
        <w:tabs>
          <w:tab w:val="left" w:pos="720"/>
          <w:tab w:val="left" w:pos="900"/>
        </w:tabs>
        <w:spacing w:beforeLines="50" w:line="360" w:lineRule="auto"/>
        <w:ind w:firstLine="481"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Lines="50" w:line="360" w:lineRule="auto"/>
        <w:ind w:firstLine="480" w:firstLineChars="200"/>
        <w:rPr>
          <w:rFonts w:ascii="宋体" w:hAnsi="宋体"/>
          <w:sz w:val="24"/>
        </w:rPr>
      </w:pPr>
    </w:p>
    <w:p>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rPr>
          <w:rFonts w:ascii="宋体" w:hAnsi="宋体"/>
          <w:sz w:val="24"/>
        </w:rPr>
      </w:pPr>
    </w:p>
    <w:p>
      <w:pPr>
        <w:pStyle w:val="4"/>
        <w:ind w:firstLine="703"/>
        <w:jc w:val="center"/>
        <w:rPr>
          <w:rFonts w:ascii="宋体" w:hAnsi="宋体"/>
          <w:sz w:val="28"/>
          <w:szCs w:val="28"/>
        </w:rPr>
      </w:pPr>
      <w:bookmarkStart w:id="40" w:name="_Toc242845631"/>
      <w:bookmarkStart w:id="41" w:name="_Toc255204954"/>
      <w:bookmarkStart w:id="42" w:name="_Toc229583229"/>
      <w:bookmarkStart w:id="43" w:name="_Toc251834990"/>
      <w:bookmarkStart w:id="44" w:name="_Toc282376914"/>
      <w:bookmarkStart w:id="45" w:name="_Toc16794"/>
      <w:bookmarkStart w:id="46" w:name="_Toc268254567"/>
      <w:bookmarkStart w:id="47" w:name="_Toc6244"/>
      <w:bookmarkStart w:id="48" w:name="_Toc287988951"/>
      <w:bookmarkStart w:id="49" w:name="_Toc291052906"/>
      <w:bookmarkStart w:id="50" w:name="_Toc244667425"/>
      <w:bookmarkStart w:id="51" w:name="_Toc173485756"/>
      <w:bookmarkStart w:id="52" w:name="_Toc140100148"/>
      <w:bookmarkStart w:id="53" w:name="_Toc282549826"/>
      <w:bookmarkStart w:id="54" w:name="_Toc287988783"/>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ind w:firstLine="602"/>
        <w:jc w:val="center"/>
        <w:rPr>
          <w:rFonts w:ascii="宋体" w:hAnsi="宋体"/>
        </w:rPr>
      </w:pPr>
    </w:p>
    <w:p>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Lines="50" w:line="360" w:lineRule="auto"/>
        <w:ind w:firstLine="480" w:firstLineChars="200"/>
        <w:rPr>
          <w:rFonts w:ascii="宋体" w:hAnsi="宋体"/>
          <w:sz w:val="24"/>
        </w:rPr>
      </w:pPr>
      <w:r>
        <w:rPr>
          <w:rFonts w:ascii="宋体" w:hAnsi="宋体"/>
          <w:sz w:val="24"/>
        </w:rPr>
        <w:t>代理人无转委托权，特此委托。</w:t>
      </w:r>
    </w:p>
    <w:p>
      <w:pPr>
        <w:spacing w:beforeLines="50" w:line="360" w:lineRule="auto"/>
        <w:ind w:firstLine="602"/>
        <w:rPr>
          <w:rFonts w:ascii="宋体" w:hAnsi="宋体"/>
          <w:sz w:val="24"/>
        </w:rPr>
      </w:pPr>
    </w:p>
    <w:p>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sz w:val="24"/>
        </w:rPr>
      </w:pPr>
    </w:p>
    <w:p>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ascii="宋体" w:hAnsi="宋体"/>
          <w:b/>
          <w:sz w:val="24"/>
        </w:rPr>
      </w:pPr>
    </w:p>
    <w:p>
      <w:pPr>
        <w:spacing w:line="360" w:lineRule="auto"/>
        <w:ind w:firstLine="602"/>
        <w:rPr>
          <w:rFonts w:ascii="宋体" w:hAnsi="宋体"/>
          <w:sz w:val="24"/>
        </w:rPr>
      </w:pPr>
      <w:r>
        <w:rPr>
          <w:rFonts w:ascii="宋体" w:hAnsi="宋体"/>
          <w:sz w:val="24"/>
        </w:rPr>
        <w:br w:type="page"/>
      </w:r>
    </w:p>
    <w:p>
      <w:pPr>
        <w:pStyle w:val="3"/>
        <w:spacing w:line="360" w:lineRule="auto"/>
        <w:ind w:firstLine="803"/>
        <w:jc w:val="center"/>
        <w:rPr>
          <w:rFonts w:ascii="宋体" w:hAnsi="宋体" w:eastAsia="宋体"/>
        </w:rPr>
      </w:pPr>
      <w:bookmarkStart w:id="55" w:name="_Toc287988785"/>
      <w:bookmarkStart w:id="56" w:name="_Toc287988953"/>
      <w:bookmarkStart w:id="57" w:name="_Toc282376916"/>
      <w:bookmarkStart w:id="58" w:name="_Toc282549828"/>
      <w:bookmarkStart w:id="59" w:name="_Toc18695"/>
      <w:bookmarkStart w:id="60" w:name="_Toc6404"/>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55"/>
      <w:bookmarkEnd w:id="56"/>
      <w:bookmarkEnd w:id="57"/>
      <w:bookmarkEnd w:id="58"/>
      <w:bookmarkEnd w:id="59"/>
      <w:bookmarkEnd w:id="60"/>
    </w:p>
    <w:p>
      <w:pPr>
        <w:pStyle w:val="4"/>
        <w:ind w:firstLine="703"/>
        <w:jc w:val="center"/>
        <w:rPr>
          <w:rFonts w:ascii="宋体" w:hAnsi="宋体"/>
          <w:sz w:val="28"/>
          <w:szCs w:val="28"/>
        </w:rPr>
      </w:pPr>
      <w:bookmarkStart w:id="61" w:name="_Toc342466762"/>
      <w:bookmarkStart w:id="62" w:name="_Toc140100150"/>
      <w:bookmarkStart w:id="63" w:name="_Toc282549829"/>
      <w:bookmarkStart w:id="64" w:name="_Toc287988954"/>
      <w:bookmarkStart w:id="65" w:name="_Toc173485758"/>
      <w:bookmarkStart w:id="66" w:name="_Toc287988786"/>
      <w:bookmarkStart w:id="67" w:name="_Toc7224"/>
      <w:bookmarkStart w:id="68" w:name="_Toc282376917"/>
      <w:bookmarkStart w:id="69" w:name="_Toc10382"/>
      <w:bookmarkStart w:id="70" w:name="_Toc268254570"/>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61"/>
      <w:bookmarkEnd w:id="62"/>
      <w:bookmarkEnd w:id="63"/>
      <w:bookmarkEnd w:id="64"/>
      <w:bookmarkEnd w:id="65"/>
      <w:bookmarkEnd w:id="66"/>
      <w:bookmarkEnd w:id="67"/>
      <w:bookmarkEnd w:id="68"/>
      <w:bookmarkEnd w:id="69"/>
      <w:bookmarkEnd w:id="70"/>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公司资质等级证书号：                 （请附有关证书复印件）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ascii="宋体" w:hAnsi="宋体"/>
                <w:sz w:val="24"/>
              </w:rPr>
              <w:t>主营范围：</w:t>
            </w:r>
          </w:p>
          <w:p>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ascii="宋体" w:hAnsi="宋体"/>
                <w:sz w:val="24"/>
              </w:rPr>
            </w:pPr>
            <w:r>
              <w:rPr>
                <w:rFonts w:ascii="宋体" w:hAnsi="宋体"/>
                <w:sz w:val="24"/>
              </w:rPr>
              <w:t>2、</w:t>
            </w:r>
            <w:r>
              <w:rPr>
                <w:rFonts w:ascii="宋体" w:hAnsi="宋体"/>
                <w:sz w:val="24"/>
                <w:u w:val="single"/>
              </w:rPr>
              <w:t xml:space="preserve">                                                                </w:t>
            </w:r>
          </w:p>
          <w:p>
            <w:pPr>
              <w:spacing w:line="360" w:lineRule="auto"/>
              <w:rPr>
                <w:rFonts w:ascii="宋体" w:hAnsi="宋体"/>
                <w:sz w:val="24"/>
              </w:rPr>
            </w:pPr>
            <w:r>
              <w:rPr>
                <w:rFonts w:ascii="宋体" w:hAnsi="宋体"/>
                <w:sz w:val="24"/>
              </w:rPr>
              <w:t>3、</w:t>
            </w:r>
            <w:r>
              <w:rPr>
                <w:rFonts w:ascii="宋体" w:hAnsi="宋体"/>
                <w:sz w:val="24"/>
                <w:u w:val="single"/>
              </w:rPr>
              <w:t xml:space="preserve">                                                                </w:t>
            </w:r>
          </w:p>
          <w:p>
            <w:pPr>
              <w:spacing w:line="360" w:lineRule="auto"/>
              <w:rPr>
                <w:rFonts w:ascii="宋体" w:hAnsi="宋体"/>
                <w:sz w:val="24"/>
              </w:rPr>
            </w:pPr>
            <w:r>
              <w:rPr>
                <w:rFonts w:ascii="宋体" w:hAnsi="宋体"/>
                <w:sz w:val="24"/>
              </w:rPr>
              <w:t>4、</w:t>
            </w:r>
            <w:r>
              <w:rPr>
                <w:rFonts w:ascii="宋体" w:hAnsi="宋体"/>
                <w:sz w:val="24"/>
                <w:u w:val="single"/>
              </w:rPr>
              <w:t xml:space="preserve">                                                                </w:t>
            </w:r>
          </w:p>
          <w:p>
            <w:pPr>
              <w:spacing w:line="360" w:lineRule="auto"/>
              <w:rPr>
                <w:rFonts w:ascii="宋体" w:hAnsi="宋体"/>
                <w:sz w:val="24"/>
              </w:rPr>
            </w:pPr>
            <w:r>
              <w:rPr>
                <w:rFonts w:ascii="宋体" w:hAnsi="宋体"/>
                <w:sz w:val="24"/>
              </w:rPr>
              <w:t>…</w:t>
            </w:r>
          </w:p>
          <w:p>
            <w:pPr>
              <w:spacing w:line="360" w:lineRule="auto"/>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其他需要说明的情况：</w:t>
            </w:r>
          </w:p>
        </w:tc>
      </w:tr>
    </w:tbl>
    <w:p>
      <w:pPr>
        <w:tabs>
          <w:tab w:val="left" w:pos="7560"/>
        </w:tabs>
        <w:spacing w:beforeLines="50" w:line="360" w:lineRule="auto"/>
        <w:ind w:firstLine="602"/>
        <w:jc w:val="center"/>
        <w:rPr>
          <w:rFonts w:ascii="宋体" w:hAnsi="宋体"/>
          <w:sz w:val="24"/>
        </w:rPr>
      </w:pPr>
      <w:bookmarkStart w:id="71" w:name="_Toc268254571"/>
      <w:bookmarkStart w:id="72" w:name="_Toc282549830"/>
      <w:bookmarkStart w:id="73" w:name="_Toc282376918"/>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rPr>
          <w:rFonts w:ascii="宋体" w:hAnsi="宋体"/>
          <w:b/>
          <w:bCs/>
          <w:kern w:val="0"/>
          <w:sz w:val="28"/>
          <w:szCs w:val="28"/>
        </w:rPr>
      </w:pPr>
      <w:bookmarkStart w:id="74" w:name="_Toc287988955"/>
      <w:bookmarkStart w:id="75" w:name="_Toc140100151"/>
      <w:bookmarkStart w:id="76" w:name="_Toc287988787"/>
      <w:r>
        <w:rPr>
          <w:rFonts w:ascii="宋体" w:hAnsi="宋体"/>
          <w:b/>
          <w:bCs/>
          <w:kern w:val="0"/>
          <w:sz w:val="28"/>
          <w:szCs w:val="28"/>
        </w:rPr>
        <w:br w:type="page"/>
      </w:r>
    </w:p>
    <w:bookmarkEnd w:id="71"/>
    <w:bookmarkEnd w:id="72"/>
    <w:bookmarkEnd w:id="73"/>
    <w:bookmarkEnd w:id="74"/>
    <w:bookmarkEnd w:id="75"/>
    <w:bookmarkEnd w:id="76"/>
    <w:p>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pPr>
        <w:tabs>
          <w:tab w:val="left" w:pos="7560"/>
        </w:tabs>
        <w:spacing w:beforeLines="50" w:line="360" w:lineRule="auto"/>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pPr>
        <w:tabs>
          <w:tab w:val="left" w:pos="7560"/>
        </w:tabs>
        <w:spacing w:beforeLines="50" w:line="360" w:lineRule="auto"/>
        <w:ind w:firstLine="602"/>
        <w:jc w:val="center"/>
        <w:rPr>
          <w:rFonts w:ascii="宋体" w:hAnsi="宋体"/>
          <w:sz w:val="24"/>
        </w:rPr>
      </w:pPr>
    </w:p>
    <w:p>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Lines="50" w:line="360" w:lineRule="auto"/>
        <w:ind w:firstLine="602"/>
        <w:jc w:val="center"/>
        <w:rPr>
          <w:rFonts w:ascii="宋体" w:hAnsi="宋体"/>
          <w:sz w:val="24"/>
        </w:rPr>
      </w:pPr>
    </w:p>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pPr>
        <w:spacing w:line="360" w:lineRule="auto"/>
        <w:ind w:firstLine="480" w:firstLineChars="200"/>
        <w:rPr>
          <w:rFonts w:ascii="宋体" w:hAnsi="宋体"/>
          <w:sz w:val="24"/>
        </w:rPr>
      </w:pPr>
      <w:bookmarkStart w:id="77" w:name="_Toc282549844"/>
      <w:bookmarkStart w:id="78" w:name="_Toc282376932"/>
      <w:bookmarkStart w:id="79" w:name="_Toc140100153"/>
      <w:bookmarkStart w:id="80" w:name="_Toc287988967"/>
      <w:bookmarkStart w:id="81" w:name="_Toc268254584"/>
      <w:bookmarkStart w:id="82" w:name="_Toc287988799"/>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hint="eastAsia" w:ascii="宋体" w:hAnsi="宋体"/>
          <w:sz w:val="28"/>
          <w:szCs w:val="28"/>
        </w:rPr>
      </w:pPr>
      <w:bookmarkStart w:id="83" w:name="_Toc173485759"/>
      <w:r>
        <w:rPr>
          <w:rFonts w:hint="eastAsia" w:ascii="宋体" w:hAnsi="宋体"/>
          <w:sz w:val="28"/>
          <w:szCs w:val="28"/>
        </w:rPr>
        <w:br w:type="page"/>
      </w:r>
    </w:p>
    <w:bookmarkEnd w:id="77"/>
    <w:bookmarkEnd w:id="78"/>
    <w:bookmarkEnd w:id="79"/>
    <w:bookmarkEnd w:id="80"/>
    <w:bookmarkEnd w:id="81"/>
    <w:bookmarkEnd w:id="82"/>
    <w:bookmarkEnd w:id="83"/>
    <w:p>
      <w:pPr>
        <w:pStyle w:val="4"/>
        <w:ind w:firstLine="703"/>
        <w:jc w:val="center"/>
        <w:rPr>
          <w:rFonts w:ascii="宋体" w:hAnsi="宋体"/>
          <w:sz w:val="28"/>
          <w:szCs w:val="28"/>
        </w:rPr>
      </w:pPr>
      <w:bookmarkStart w:id="84" w:name="_Toc24012"/>
      <w:bookmarkStart w:id="85" w:name="_Toc140100156"/>
      <w:bookmarkStart w:id="86" w:name="_Toc173485762"/>
      <w:bookmarkStart w:id="87" w:name="_Toc6582"/>
      <w:r>
        <w:rPr>
          <w:rFonts w:hint="eastAsia" w:ascii="宋体" w:hAnsi="宋体"/>
          <w:sz w:val="28"/>
          <w:szCs w:val="28"/>
          <w:lang w:val="en-US" w:eastAsia="zh-CN"/>
        </w:rPr>
        <w:t>七</w:t>
      </w:r>
      <w:r>
        <w:rPr>
          <w:rFonts w:ascii="宋体" w:hAnsi="宋体"/>
          <w:sz w:val="28"/>
          <w:szCs w:val="28"/>
        </w:rPr>
        <w:t>、廉洁承诺书</w:t>
      </w:r>
      <w:bookmarkEnd w:id="84"/>
      <w:bookmarkEnd w:id="85"/>
      <w:bookmarkEnd w:id="86"/>
      <w:bookmarkEnd w:id="87"/>
    </w:p>
    <w:p>
      <w:pPr>
        <w:ind w:firstLine="1000"/>
        <w:jc w:val="center"/>
        <w:rPr>
          <w:rFonts w:ascii="宋体" w:hAnsi="宋体"/>
          <w:b/>
          <w:bCs/>
          <w:spacing w:val="40"/>
          <w:kern w:val="0"/>
          <w:sz w:val="32"/>
          <w:szCs w:val="28"/>
        </w:rPr>
      </w:pPr>
    </w:p>
    <w:p>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ascii="宋体" w:hAnsi="宋体"/>
          <w:sz w:val="24"/>
        </w:rPr>
      </w:pPr>
      <w:r>
        <w:rPr>
          <w:rFonts w:hint="eastAsia" w:ascii="宋体" w:hAnsi="宋体"/>
          <w:sz w:val="24"/>
        </w:rPr>
        <w:t>4、不与招标人或招标代理机构串通投标，不损害国家利益、社会公共利益或者他人的合法权益。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5、不向招标人、评审委员会成员、监督人员行贿。</w:t>
      </w:r>
    </w:p>
    <w:p>
      <w:pPr>
        <w:spacing w:line="360" w:lineRule="auto"/>
        <w:ind w:firstLine="480" w:firstLineChars="200"/>
        <w:rPr>
          <w:rFonts w:ascii="宋体" w:hAnsi="宋体"/>
          <w:sz w:val="24"/>
        </w:rPr>
      </w:pPr>
      <w:r>
        <w:rPr>
          <w:rFonts w:hint="eastAsia" w:ascii="宋体" w:hAnsi="宋体"/>
          <w:sz w:val="24"/>
        </w:rPr>
        <w:t>6、不扰乱招标投标活动正常秩序。</w:t>
      </w:r>
    </w:p>
    <w:p>
      <w:pPr>
        <w:spacing w:line="360" w:lineRule="auto"/>
        <w:ind w:firstLine="480" w:firstLineChars="200"/>
        <w:rPr>
          <w:rFonts w:ascii="宋体" w:hAnsi="宋体"/>
          <w:sz w:val="24"/>
        </w:rPr>
      </w:pPr>
      <w:r>
        <w:rPr>
          <w:rFonts w:hint="eastAsia" w:ascii="宋体" w:hAnsi="宋体"/>
          <w:sz w:val="24"/>
        </w:rPr>
        <w:t>7、不进行虚假恶意投诉。</w:t>
      </w:r>
    </w:p>
    <w:p>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比选申请人（盖公章）：</w:t>
      </w:r>
    </w:p>
    <w:p>
      <w:pPr>
        <w:spacing w:line="360" w:lineRule="auto"/>
        <w:ind w:firstLine="480" w:firstLineChars="200"/>
        <w:rPr>
          <w:rFonts w:ascii="宋体" w:hAnsi="宋体"/>
          <w:sz w:val="24"/>
        </w:rPr>
      </w:pPr>
      <w:r>
        <w:rPr>
          <w:rFonts w:hint="eastAsia" w:ascii="宋体" w:hAnsi="宋体"/>
          <w:sz w:val="24"/>
        </w:rPr>
        <w:t>法定代表人或其委托代理人（签字或盖章）：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2"/>
        <w:rPr>
          <w:rFonts w:ascii="宋体" w:hAnsi="宋体"/>
          <w:sz w:val="24"/>
        </w:rPr>
      </w:pPr>
    </w:p>
    <w:p>
      <w:pPr>
        <w:pStyle w:val="4"/>
        <w:ind w:firstLine="703"/>
        <w:jc w:val="center"/>
        <w:rPr>
          <w:rFonts w:ascii="宋体" w:hAnsi="宋体"/>
          <w:sz w:val="28"/>
          <w:szCs w:val="28"/>
        </w:rPr>
      </w:pPr>
      <w:bookmarkStart w:id="88" w:name="_Toc140100157"/>
      <w:bookmarkStart w:id="89" w:name="_Toc287989684"/>
      <w:bookmarkStart w:id="90" w:name="_Toc24990"/>
      <w:bookmarkStart w:id="91" w:name="_Toc173485763"/>
      <w:bookmarkStart w:id="92" w:name="_Toc24911"/>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88"/>
      <w:bookmarkEnd w:id="89"/>
      <w:bookmarkEnd w:id="90"/>
      <w:bookmarkEnd w:id="91"/>
      <w:bookmarkEnd w:id="92"/>
    </w:p>
    <w:p>
      <w:pPr>
        <w:spacing w:line="360" w:lineRule="auto"/>
        <w:ind w:firstLine="480" w:firstLineChars="200"/>
        <w:rPr>
          <w:rFonts w:ascii="宋体" w:hAnsi="宋体"/>
          <w:sz w:val="24"/>
        </w:rPr>
      </w:pPr>
    </w:p>
    <w:p>
      <w:pPr>
        <w:spacing w:line="360" w:lineRule="auto"/>
        <w:ind w:firstLine="602"/>
        <w:jc w:val="center"/>
        <w:rPr>
          <w:rFonts w:ascii="宋体" w:hAnsi="宋体"/>
          <w:bCs/>
          <w:sz w:val="24"/>
        </w:rPr>
      </w:pPr>
      <w:r>
        <w:rPr>
          <w:rFonts w:ascii="宋体" w:hAnsi="宋体"/>
          <w:bCs/>
          <w:sz w:val="24"/>
        </w:rPr>
        <w:t>（格式自拟）</w:t>
      </w:r>
    </w:p>
    <w:p>
      <w:pPr>
        <w:spacing w:line="360" w:lineRule="auto"/>
        <w:ind w:firstLine="602"/>
        <w:rPr>
          <w:rFonts w:ascii="宋体" w:hAnsi="宋体"/>
          <w:sz w:val="24"/>
        </w:rPr>
      </w:pPr>
      <w:r>
        <w:rPr>
          <w:rFonts w:ascii="宋体" w:hAnsi="宋体"/>
          <w:b/>
          <w:sz w:val="24"/>
        </w:rPr>
        <w:br w:type="page"/>
      </w:r>
    </w:p>
    <w:p>
      <w:pPr>
        <w:pStyle w:val="3"/>
        <w:ind w:firstLine="803"/>
        <w:jc w:val="center"/>
        <w:rPr>
          <w:rFonts w:ascii="宋体" w:hAnsi="宋体"/>
        </w:rPr>
      </w:pPr>
      <w:bookmarkStart w:id="93" w:name="_Toc251834991"/>
      <w:bookmarkStart w:id="94" w:name="_Toc14482"/>
      <w:bookmarkStart w:id="95" w:name="_Toc282549836"/>
      <w:bookmarkStart w:id="96" w:name="_Toc287988961"/>
      <w:bookmarkStart w:id="97" w:name="_Toc244667428"/>
      <w:bookmarkStart w:id="98" w:name="_Toc1965"/>
      <w:bookmarkStart w:id="99" w:name="_Toc282376924"/>
      <w:bookmarkStart w:id="100" w:name="_Toc287988793"/>
      <w:bookmarkStart w:id="101" w:name="_Toc255204955"/>
      <w:r>
        <w:rPr>
          <w:rFonts w:ascii="宋体" w:hAnsi="宋体"/>
        </w:rPr>
        <w:t>（三）</w:t>
      </w:r>
      <w:r>
        <w:rPr>
          <w:rFonts w:hint="eastAsia" w:ascii="宋体" w:hAnsi="宋体"/>
        </w:rPr>
        <w:t>比选申请文件</w:t>
      </w:r>
      <w:r>
        <w:rPr>
          <w:rFonts w:ascii="宋体" w:hAnsi="宋体"/>
        </w:rPr>
        <w:t>商务部分格式</w:t>
      </w:r>
      <w:bookmarkEnd w:id="93"/>
      <w:bookmarkEnd w:id="94"/>
      <w:bookmarkEnd w:id="95"/>
      <w:bookmarkEnd w:id="96"/>
      <w:bookmarkEnd w:id="97"/>
      <w:bookmarkEnd w:id="98"/>
      <w:bookmarkEnd w:id="99"/>
      <w:bookmarkEnd w:id="100"/>
      <w:bookmarkEnd w:id="101"/>
    </w:p>
    <w:p>
      <w:pPr>
        <w:tabs>
          <w:tab w:val="left" w:pos="7560"/>
        </w:tabs>
        <w:spacing w:beforeLines="50" w:line="360" w:lineRule="auto"/>
        <w:ind w:firstLine="602"/>
        <w:jc w:val="center"/>
        <w:rPr>
          <w:rFonts w:ascii="宋体" w:hAnsi="宋体"/>
          <w:sz w:val="24"/>
        </w:rPr>
      </w:pPr>
    </w:p>
    <w:p>
      <w:pPr>
        <w:ind w:firstLine="703"/>
        <w:jc w:val="center"/>
        <w:rPr>
          <w:rFonts w:ascii="宋体" w:hAnsi="宋体"/>
          <w:sz w:val="28"/>
          <w:szCs w:val="28"/>
        </w:rPr>
      </w:pPr>
      <w:bookmarkStart w:id="102" w:name="_Toc230748839"/>
      <w:bookmarkStart w:id="103" w:name="_Toc230749037"/>
      <w:bookmarkStart w:id="104" w:name="_Toc230748616"/>
      <w:bookmarkStart w:id="105" w:name="_Toc251834992"/>
      <w:bookmarkStart w:id="106" w:name="_Toc282376925"/>
      <w:bookmarkStart w:id="107" w:name="_Toc268254574"/>
      <w:bookmarkStart w:id="108" w:name="_Toc282549837"/>
      <w:bookmarkStart w:id="109" w:name="_Toc287988794"/>
      <w:bookmarkStart w:id="110" w:name="_Toc140100159"/>
      <w:bookmarkStart w:id="111" w:name="_Toc255204956"/>
      <w:bookmarkStart w:id="112" w:name="_Toc287988962"/>
      <w:r>
        <w:rPr>
          <w:rFonts w:ascii="宋体" w:hAnsi="宋体"/>
          <w:sz w:val="28"/>
          <w:szCs w:val="28"/>
        </w:rPr>
        <w:t>招标代理服务收费报价</w:t>
      </w:r>
      <w:bookmarkEnd w:id="102"/>
      <w:bookmarkEnd w:id="103"/>
      <w:bookmarkEnd w:id="104"/>
      <w:bookmarkEnd w:id="105"/>
      <w:r>
        <w:rPr>
          <w:rFonts w:ascii="宋体" w:hAnsi="宋体"/>
          <w:sz w:val="28"/>
          <w:szCs w:val="28"/>
        </w:rPr>
        <w:t>表</w:t>
      </w:r>
      <w:bookmarkEnd w:id="106"/>
      <w:bookmarkEnd w:id="107"/>
      <w:bookmarkEnd w:id="108"/>
      <w:bookmarkEnd w:id="109"/>
      <w:bookmarkEnd w:id="110"/>
      <w:bookmarkEnd w:id="111"/>
      <w:bookmarkEnd w:id="112"/>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2"/>
        <w:rPr>
          <w:rFonts w:ascii="宋体" w:hAnsi="宋体"/>
          <w:kern w:val="28"/>
          <w:sz w:val="24"/>
        </w:rPr>
      </w:pPr>
      <w:r>
        <w:rPr>
          <w:rFonts w:ascii="宋体" w:hAnsi="宋体"/>
          <w:kern w:val="28"/>
          <w:sz w:val="24"/>
        </w:rPr>
        <w:t>致：</w:t>
      </w:r>
      <w:r>
        <w:rPr>
          <w:rFonts w:ascii="宋体" w:hAnsi="宋体"/>
          <w:kern w:val="28"/>
          <w:sz w:val="24"/>
          <w:u w:val="single"/>
        </w:rPr>
        <w:t xml:space="preserve"> （招标人名称）</w:t>
      </w:r>
    </w:p>
    <w:p>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我公司承诺本项目招标代理服务收费报价</w:t>
      </w:r>
      <w:r>
        <w:rPr>
          <w:rFonts w:hint="eastAsia" w:ascii="宋体" w:hAnsi="宋体" w:cs="宋体"/>
          <w:sz w:val="24"/>
          <w:szCs w:val="22"/>
        </w:rPr>
        <w:t>参照云南省建设工程招标投标行业协会关于印发《云南省建设工程招标代理服务收费指导意见（试行）》的通知（云建招协【2023】51号）规定的收费标准下浮</w:t>
      </w:r>
      <w:r>
        <w:rPr>
          <w:rFonts w:hint="eastAsia" w:ascii="宋体" w:hAnsi="宋体" w:cs="宋体"/>
          <w:color w:val="000000"/>
          <w:sz w:val="24"/>
          <w:szCs w:val="22"/>
          <w:u w:val="single"/>
        </w:rPr>
        <w:t xml:space="preserve">     </w:t>
      </w:r>
      <w:r>
        <w:rPr>
          <w:rFonts w:hint="eastAsia" w:ascii="宋体" w:hAnsi="宋体" w:cs="宋体"/>
          <w:color w:val="000000"/>
          <w:sz w:val="24"/>
          <w:szCs w:val="22"/>
        </w:rPr>
        <w:t>%收取招标代理服务费；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注：此招标代理服务收费报价表需同时附在比选申请文件封面后第一页。</w:t>
      </w: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0" w:firstLineChars="200"/>
        <w:rPr>
          <w:rFonts w:ascii="宋体" w:hAnsi="宋体"/>
          <w:kern w:val="28"/>
          <w:sz w:val="24"/>
        </w:rPr>
      </w:pPr>
    </w:p>
    <w:p>
      <w:pPr>
        <w:pStyle w:val="3"/>
        <w:ind w:firstLine="803"/>
        <w:jc w:val="center"/>
        <w:rPr>
          <w:rFonts w:ascii="宋体" w:hAnsi="宋体"/>
        </w:rPr>
      </w:pPr>
      <w:bookmarkStart w:id="113" w:name="_Toc8025"/>
      <w:bookmarkStart w:id="114" w:name="_Toc287988963"/>
      <w:bookmarkStart w:id="115" w:name="_Toc287988795"/>
      <w:bookmarkStart w:id="116" w:name="_Toc341"/>
      <w:r>
        <w:rPr>
          <w:rFonts w:ascii="宋体" w:hAnsi="宋体"/>
        </w:rPr>
        <w:t>（四）</w:t>
      </w:r>
      <w:r>
        <w:rPr>
          <w:rFonts w:hint="eastAsia" w:ascii="宋体" w:hAnsi="宋体"/>
        </w:rPr>
        <w:t>比选申请文件</w:t>
      </w:r>
      <w:r>
        <w:rPr>
          <w:rFonts w:ascii="宋体" w:hAnsi="宋体"/>
        </w:rPr>
        <w:t>技术部分格式</w:t>
      </w:r>
      <w:bookmarkEnd w:id="113"/>
      <w:bookmarkEnd w:id="114"/>
      <w:bookmarkEnd w:id="115"/>
      <w:bookmarkEnd w:id="116"/>
    </w:p>
    <w:p>
      <w:pPr>
        <w:pStyle w:val="4"/>
        <w:ind w:firstLine="703"/>
        <w:jc w:val="center"/>
        <w:rPr>
          <w:rFonts w:ascii="宋体" w:hAnsi="宋体"/>
          <w:sz w:val="28"/>
          <w:szCs w:val="28"/>
        </w:rPr>
      </w:pPr>
      <w:bookmarkStart w:id="117" w:name="_Toc287988796"/>
      <w:bookmarkStart w:id="118" w:name="_Toc244667430"/>
      <w:bookmarkStart w:id="119" w:name="_Toc251834994"/>
      <w:bookmarkStart w:id="120" w:name="_Toc140100161"/>
      <w:bookmarkStart w:id="121" w:name="_Toc282549841"/>
      <w:bookmarkStart w:id="122" w:name="_Toc245874999"/>
      <w:bookmarkStart w:id="123" w:name="_Toc28981"/>
      <w:bookmarkStart w:id="124" w:name="_Toc173485766"/>
      <w:bookmarkStart w:id="125" w:name="_Toc268254580"/>
      <w:bookmarkStart w:id="126" w:name="_Toc8089"/>
      <w:bookmarkStart w:id="127" w:name="_Toc255204958"/>
      <w:bookmarkStart w:id="128" w:name="_Toc287988964"/>
      <w:bookmarkStart w:id="129" w:name="_Toc282376929"/>
      <w:r>
        <w:rPr>
          <w:rFonts w:ascii="宋体" w:hAnsi="宋体"/>
          <w:sz w:val="28"/>
          <w:szCs w:val="28"/>
        </w:rPr>
        <w:t>一、招标代理服务方案</w:t>
      </w:r>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rPr>
        <w:t>招标代理工作方案</w:t>
      </w:r>
    </w:p>
    <w:p>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Lines="50" w:line="360" w:lineRule="auto"/>
        <w:ind w:right="560" w:firstLine="602"/>
        <w:jc w:val="center"/>
        <w:rPr>
          <w:rFonts w:ascii="宋体" w:hAnsi="宋体"/>
          <w:kern w:val="28"/>
          <w:sz w:val="24"/>
        </w:rPr>
      </w:pPr>
    </w:p>
    <w:p>
      <w:pPr>
        <w:rPr>
          <w:rFonts w:hint="eastAsia"/>
          <w:color w:val="auto"/>
        </w:rPr>
      </w:pPr>
      <w:bookmarkStart w:id="130" w:name="_Toc29462"/>
      <w:bookmarkStart w:id="131" w:name="_Toc287988965"/>
      <w:bookmarkStart w:id="132" w:name="_Toc268254577"/>
      <w:bookmarkStart w:id="133" w:name="_Toc287988797"/>
      <w:bookmarkStart w:id="134" w:name="_Toc282376928"/>
      <w:bookmarkStart w:id="135" w:name="_Toc282549840"/>
      <w:bookmarkStart w:id="136" w:name="_Toc140100162"/>
      <w:bookmarkStart w:id="137" w:name="_Toc28306"/>
      <w:bookmarkStart w:id="138" w:name="_Toc173485767"/>
      <w:r>
        <w:rPr>
          <w:rFonts w:hint="eastAsia"/>
          <w:color w:val="auto"/>
        </w:rPr>
        <w:br w:type="page"/>
      </w:r>
    </w:p>
    <w:p>
      <w:pPr>
        <w:pStyle w:val="4"/>
        <w:ind w:firstLine="703"/>
        <w:jc w:val="center"/>
        <w:rPr>
          <w:rFonts w:hint="eastAsia" w:ascii="宋体" w:hAnsi="宋体" w:eastAsia="宋体" w:cs="Times New Roman"/>
          <w:sz w:val="28"/>
          <w:szCs w:val="28"/>
        </w:rPr>
      </w:pPr>
      <w:bookmarkStart w:id="139"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139"/>
    </w:p>
    <w:p>
      <w:pPr>
        <w:pStyle w:val="4"/>
        <w:numPr>
          <w:ilvl w:val="0"/>
          <w:numId w:val="0"/>
        </w:numPr>
        <w:jc w:val="both"/>
        <w:rPr>
          <w:rFonts w:ascii="宋体" w:hAnsi="宋体"/>
          <w:sz w:val="22"/>
          <w:szCs w:val="22"/>
        </w:rPr>
      </w:pPr>
      <w:bookmarkStart w:id="140"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130"/>
      <w:bookmarkEnd w:id="140"/>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从事招标工作时间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ascii="宋体" w:hAnsi="宋体"/>
          <w:sz w:val="24"/>
        </w:rPr>
      </w:pPr>
    </w:p>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ascii="宋体" w:hAnsi="宋体"/>
          <w:sz w:val="28"/>
          <w:szCs w:val="28"/>
          <w:u w:val="single"/>
        </w:rPr>
      </w:pPr>
    </w:p>
    <w:p>
      <w:pPr>
        <w:ind w:firstLine="602"/>
      </w:pPr>
      <w:r>
        <w:rPr>
          <w:rFonts w:hint="eastAsia"/>
        </w:rPr>
        <w:br w:type="page"/>
      </w:r>
    </w:p>
    <w:p>
      <w:pPr>
        <w:pStyle w:val="4"/>
        <w:numPr>
          <w:ilvl w:val="0"/>
          <w:numId w:val="0"/>
        </w:numPr>
        <w:jc w:val="both"/>
        <w:rPr>
          <w:rFonts w:ascii="宋体" w:hAnsi="宋体" w:eastAsia="宋体" w:cs="Times New Roman"/>
          <w:sz w:val="22"/>
          <w:szCs w:val="22"/>
        </w:rPr>
      </w:pPr>
      <w:bookmarkStart w:id="141" w:name="_Toc173485760"/>
      <w:bookmarkStart w:id="142" w:name="_Toc24532"/>
      <w:bookmarkStart w:id="143" w:name="_Toc14394"/>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141"/>
      <w:bookmarkEnd w:id="142"/>
      <w:bookmarkEnd w:id="143"/>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w:pict>
                <v:line id="直接连接符 4" o:spid="_x0000_s2054" o:spt="20" style="position:absolute;left:0pt;margin-left:-3.7pt;margin-top:0.7pt;height:41.75pt;width:115.9pt;z-index:251660288;mso-width-relative:page;mso-height-relative:page;"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path arrowok="t"/>
                  <v:fill focussize="0,0"/>
                  <v:stroke/>
                  <v:imagedata o:title=""/>
                  <o:lock v:ext="edit"/>
                </v:line>
              </w:pic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2.拟派往本招标项目的管理人员和技术人员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从事招标代理工作年限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代理工作人员一</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代理工作人员二</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代理工作人员三</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b/>
          <w:sz w:val="24"/>
        </w:rPr>
      </w:pPr>
      <w:r>
        <w:rPr>
          <w:rFonts w:ascii="宋体" w:hAnsi="宋体"/>
          <w:b/>
          <w:sz w:val="24"/>
        </w:rPr>
        <w:br w:type="page"/>
      </w:r>
    </w:p>
    <w:p>
      <w:pPr>
        <w:pStyle w:val="4"/>
        <w:ind w:firstLine="703"/>
        <w:jc w:val="center"/>
        <w:rPr>
          <w:rFonts w:ascii="宋体" w:hAnsi="宋体"/>
          <w:sz w:val="28"/>
          <w:szCs w:val="28"/>
        </w:rPr>
      </w:pPr>
      <w:bookmarkStart w:id="144" w:name="_Toc22482"/>
      <w:r>
        <w:rPr>
          <w:rFonts w:hint="eastAsia" w:ascii="宋体" w:hAnsi="宋体"/>
          <w:sz w:val="28"/>
          <w:szCs w:val="28"/>
          <w:lang w:val="en-US" w:eastAsia="zh-CN"/>
        </w:rPr>
        <w:t>三</w:t>
      </w:r>
      <w:r>
        <w:rPr>
          <w:rFonts w:ascii="宋体" w:hAnsi="宋体"/>
          <w:sz w:val="28"/>
          <w:szCs w:val="28"/>
        </w:rPr>
        <w:t>、</w:t>
      </w:r>
      <w:bookmarkEnd w:id="131"/>
      <w:bookmarkEnd w:id="132"/>
      <w:bookmarkEnd w:id="133"/>
      <w:bookmarkEnd w:id="134"/>
      <w:bookmarkEnd w:id="135"/>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136"/>
      <w:bookmarkEnd w:id="137"/>
      <w:bookmarkEnd w:id="138"/>
      <w:bookmarkEnd w:id="144"/>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ascii="宋体" w:hAnsi="宋体"/>
          <w:sz w:val="24"/>
        </w:rPr>
      </w:pPr>
    </w:p>
    <w:p>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ascii="宋体" w:hAnsi="宋体"/>
          <w:b/>
          <w:sz w:val="24"/>
        </w:rPr>
      </w:pPr>
    </w:p>
    <w:p>
      <w:pPr>
        <w:ind w:firstLine="481"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p>
    <w:p>
      <w:pPr>
        <w:rPr>
          <w:rFonts w:hint="eastAsia" w:ascii="宋体" w:hAnsi="宋体"/>
          <w:sz w:val="28"/>
          <w:szCs w:val="28"/>
          <w:lang w:val="en-US" w:eastAsia="zh-CN"/>
        </w:rPr>
      </w:pPr>
      <w:bookmarkStart w:id="145" w:name="_Toc287988966"/>
      <w:bookmarkStart w:id="146" w:name="_Toc287988798"/>
      <w:bookmarkStart w:id="147" w:name="_Toc268254582"/>
      <w:bookmarkStart w:id="148" w:name="_Toc255204961"/>
      <w:bookmarkStart w:id="149" w:name="_Toc140100163"/>
      <w:bookmarkStart w:id="150" w:name="_Toc287989690"/>
      <w:bookmarkStart w:id="151" w:name="_Toc282376931"/>
      <w:bookmarkStart w:id="152" w:name="_Toc282549843"/>
      <w:bookmarkStart w:id="153" w:name="_Toc2568"/>
      <w:bookmarkStart w:id="154" w:name="_Toc173485768"/>
      <w:r>
        <w:rPr>
          <w:rFonts w:hint="eastAsia" w:ascii="宋体" w:hAnsi="宋体"/>
          <w:sz w:val="28"/>
          <w:szCs w:val="28"/>
          <w:lang w:val="en-US" w:eastAsia="zh-CN"/>
        </w:rPr>
        <w:br w:type="page"/>
      </w:r>
    </w:p>
    <w:p>
      <w:pPr>
        <w:pStyle w:val="4"/>
        <w:ind w:firstLine="703"/>
        <w:jc w:val="center"/>
        <w:rPr>
          <w:rFonts w:ascii="宋体" w:hAnsi="宋体"/>
          <w:sz w:val="28"/>
          <w:szCs w:val="28"/>
          <w:lang w:val="zh-CN"/>
        </w:rPr>
      </w:pPr>
      <w:bookmarkStart w:id="155" w:name="_Toc16229"/>
      <w:r>
        <w:rPr>
          <w:rFonts w:hint="eastAsia" w:ascii="宋体" w:hAnsi="宋体"/>
          <w:sz w:val="28"/>
          <w:szCs w:val="28"/>
          <w:lang w:val="en-US" w:eastAsia="zh-CN"/>
        </w:rPr>
        <w:t>四</w:t>
      </w:r>
      <w:r>
        <w:rPr>
          <w:rFonts w:hint="eastAsia" w:ascii="宋体" w:hAnsi="宋体"/>
          <w:sz w:val="28"/>
          <w:szCs w:val="28"/>
        </w:rPr>
        <w:t>、</w:t>
      </w:r>
      <w:bookmarkEnd w:id="145"/>
      <w:bookmarkEnd w:id="146"/>
      <w:bookmarkEnd w:id="147"/>
      <w:bookmarkEnd w:id="148"/>
      <w:bookmarkEnd w:id="149"/>
      <w:bookmarkEnd w:id="150"/>
      <w:bookmarkEnd w:id="151"/>
      <w:bookmarkEnd w:id="152"/>
      <w:r>
        <w:rPr>
          <w:rFonts w:hint="eastAsia" w:ascii="宋体" w:hAnsi="宋体"/>
          <w:sz w:val="28"/>
          <w:szCs w:val="28"/>
        </w:rPr>
        <w:t>场地设施</w:t>
      </w:r>
      <w:bookmarkEnd w:id="153"/>
      <w:bookmarkEnd w:id="154"/>
      <w:bookmarkEnd w:id="155"/>
    </w:p>
    <w:p>
      <w:pPr>
        <w:spacing w:line="360" w:lineRule="auto"/>
        <w:ind w:firstLine="602"/>
        <w:jc w:val="center"/>
        <w:rPr>
          <w:rFonts w:ascii="宋体" w:hAnsi="宋体"/>
          <w:b/>
          <w:sz w:val="24"/>
        </w:rPr>
      </w:pPr>
      <w:r>
        <w:rPr>
          <w:rFonts w:hint="eastAsia" w:ascii="宋体" w:hAnsi="宋体"/>
          <w:sz w:val="24"/>
        </w:rPr>
        <w:t>注：按评选办法要求提供证明资料，格式自拟。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4"/>
        <w:ind w:firstLine="703"/>
        <w:jc w:val="center"/>
        <w:rPr>
          <w:rFonts w:ascii="宋体" w:hAnsi="宋体"/>
          <w:sz w:val="28"/>
          <w:szCs w:val="28"/>
        </w:rPr>
      </w:pPr>
      <w:bookmarkStart w:id="156" w:name="_Toc282549835"/>
      <w:bookmarkStart w:id="157" w:name="_Toc282376923"/>
      <w:bookmarkStart w:id="158" w:name="_Toc173485769"/>
      <w:bookmarkStart w:id="159" w:name="_Toc19832"/>
      <w:bookmarkStart w:id="160" w:name="_Toc140100164"/>
      <w:bookmarkStart w:id="161" w:name="_Toc287988792"/>
      <w:bookmarkStart w:id="162" w:name="_Toc287988960"/>
      <w:bookmarkStart w:id="163" w:name="_Toc14983"/>
      <w:r>
        <w:rPr>
          <w:rFonts w:hint="eastAsia" w:ascii="宋体" w:hAnsi="宋体"/>
          <w:sz w:val="28"/>
          <w:szCs w:val="28"/>
          <w:lang w:val="en-US" w:eastAsia="zh-CN"/>
        </w:rPr>
        <w:t>五</w:t>
      </w:r>
      <w:r>
        <w:rPr>
          <w:rFonts w:ascii="宋体" w:hAnsi="宋体"/>
          <w:sz w:val="28"/>
          <w:szCs w:val="28"/>
        </w:rPr>
        <w:t>、</w:t>
      </w:r>
      <w:bookmarkEnd w:id="156"/>
      <w:bookmarkEnd w:id="157"/>
      <w:r>
        <w:rPr>
          <w:rFonts w:ascii="宋体" w:hAnsi="宋体"/>
          <w:sz w:val="28"/>
          <w:szCs w:val="28"/>
        </w:rPr>
        <w:t>公开竞争性比选文件要求或其他有必要提交的资料</w:t>
      </w:r>
      <w:bookmarkEnd w:id="158"/>
      <w:bookmarkEnd w:id="159"/>
      <w:bookmarkEnd w:id="160"/>
      <w:bookmarkEnd w:id="161"/>
      <w:bookmarkEnd w:id="162"/>
      <w:bookmarkEnd w:id="163"/>
    </w:p>
    <w:p>
      <w:pPr>
        <w:spacing w:line="360" w:lineRule="auto"/>
        <w:ind w:firstLine="600"/>
        <w:jc w:val="center"/>
        <w:rPr>
          <w:rFonts w:ascii="宋体" w:hAnsi="宋体"/>
          <w:b/>
          <w:sz w:val="24"/>
        </w:rPr>
      </w:pPr>
    </w:p>
    <w:p>
      <w:pPr>
        <w:spacing w:line="360" w:lineRule="auto"/>
        <w:ind w:firstLine="602"/>
        <w:jc w:val="center"/>
        <w:rPr>
          <w:rFonts w:ascii="宋体" w:hAnsi="宋体"/>
          <w:sz w:val="24"/>
        </w:rPr>
      </w:pPr>
      <w:r>
        <w:rPr>
          <w:rFonts w:hint="eastAsia" w:ascii="宋体" w:hAnsi="宋体"/>
          <w:sz w:val="24"/>
        </w:rPr>
        <w:t>（格式自拟）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2"/>
        <w:spacing w:beforeLines="50"/>
        <w:ind w:firstLine="803"/>
        <w:jc w:val="center"/>
        <w:rPr>
          <w:rFonts w:ascii="宋体" w:hAnsi="宋体"/>
          <w:kern w:val="0"/>
          <w:szCs w:val="32"/>
          <w:lang w:val="zh-CN"/>
        </w:rPr>
      </w:pPr>
      <w:bookmarkStart w:id="164" w:name="_Toc287988800"/>
      <w:bookmarkStart w:id="165" w:name="_Toc282549846"/>
      <w:bookmarkStart w:id="166" w:name="_Toc25793"/>
      <w:bookmarkStart w:id="167" w:name="_Toc287988968"/>
      <w:r>
        <w:rPr>
          <w:rFonts w:ascii="宋体" w:hAnsi="宋体"/>
          <w:kern w:val="0"/>
          <w:szCs w:val="32"/>
          <w:lang w:val="zh-CN"/>
        </w:rPr>
        <w:t>第</w:t>
      </w:r>
      <w:r>
        <w:rPr>
          <w:rFonts w:hint="eastAsia" w:ascii="宋体" w:hAnsi="宋体"/>
          <w:kern w:val="0"/>
          <w:szCs w:val="32"/>
          <w:lang w:val="zh-CN"/>
        </w:rPr>
        <w:t>二</w:t>
      </w:r>
      <w:r>
        <w:rPr>
          <w:rFonts w:ascii="宋体" w:hAnsi="宋体"/>
          <w:kern w:val="0"/>
          <w:szCs w:val="32"/>
          <w:lang w:val="zh-CN"/>
        </w:rPr>
        <w:t>部分  评选办法</w:t>
      </w:r>
      <w:bookmarkEnd w:id="164"/>
      <w:bookmarkEnd w:id="165"/>
      <w:bookmarkEnd w:id="166"/>
      <w:bookmarkEnd w:id="167"/>
    </w:p>
    <w:p>
      <w:pPr>
        <w:ind w:firstLine="602"/>
        <w:rPr>
          <w:lang w:val="zh-CN"/>
        </w:rPr>
      </w:pPr>
    </w:p>
    <w:p>
      <w:pPr>
        <w:pStyle w:val="3"/>
        <w:spacing w:line="360" w:lineRule="auto"/>
        <w:ind w:firstLine="703"/>
        <w:jc w:val="center"/>
        <w:rPr>
          <w:rFonts w:ascii="宋体" w:hAnsi="宋体" w:eastAsia="宋体"/>
          <w:sz w:val="28"/>
          <w:szCs w:val="28"/>
        </w:rPr>
      </w:pPr>
      <w:bookmarkStart w:id="168" w:name="_Toc173485771"/>
      <w:bookmarkStart w:id="169" w:name="_Toc287988969"/>
      <w:bookmarkStart w:id="170" w:name="_Toc282549847"/>
      <w:bookmarkStart w:id="171" w:name="_Toc20469"/>
      <w:bookmarkStart w:id="172" w:name="_Toc16291"/>
      <w:bookmarkStart w:id="173" w:name="_Toc287988801"/>
      <w:bookmarkStart w:id="174" w:name="_Toc140100166"/>
      <w:r>
        <w:rPr>
          <w:rFonts w:ascii="宋体" w:hAnsi="宋体" w:eastAsia="宋体"/>
          <w:sz w:val="28"/>
          <w:szCs w:val="28"/>
        </w:rPr>
        <w:t>总则</w:t>
      </w:r>
      <w:bookmarkEnd w:id="168"/>
      <w:bookmarkEnd w:id="169"/>
      <w:bookmarkEnd w:id="170"/>
      <w:bookmarkEnd w:id="171"/>
      <w:bookmarkEnd w:id="172"/>
      <w:bookmarkEnd w:id="173"/>
      <w:bookmarkEnd w:id="174"/>
    </w:p>
    <w:p>
      <w:pPr>
        <w:autoSpaceDE w:val="0"/>
        <w:autoSpaceDN w:val="0"/>
        <w:spacing w:line="360" w:lineRule="auto"/>
        <w:ind w:firstLine="480" w:firstLineChars="200"/>
        <w:jc w:val="left"/>
        <w:rPr>
          <w:rFonts w:ascii="宋体" w:hAnsi="宋体"/>
          <w:kern w:val="0"/>
          <w:sz w:val="24"/>
          <w:lang w:val="zh-CN"/>
        </w:rPr>
      </w:pPr>
      <w:bookmarkStart w:id="175" w:name="_Toc287988970"/>
      <w:bookmarkStart w:id="176" w:name="_Toc287988802"/>
      <w:r>
        <w:rPr>
          <w:rFonts w:hint="eastAsia" w:ascii="宋体" w:hAnsi="宋体"/>
          <w:kern w:val="0"/>
          <w:sz w:val="24"/>
          <w:lang w:val="zh-CN"/>
        </w:rPr>
        <w:t xml:space="preserve">第一条  </w:t>
      </w:r>
      <w:r>
        <w:rPr>
          <w:rFonts w:ascii="宋体" w:hAnsi="宋体"/>
          <w:kern w:val="0"/>
          <w:sz w:val="24"/>
          <w:lang w:val="zh-CN"/>
        </w:rPr>
        <w:t>根据《中华人民共和国招</w:t>
      </w:r>
      <w:r>
        <w:rPr>
          <w:rFonts w:hint="eastAsia" w:ascii="宋体" w:hAnsi="宋体"/>
          <w:kern w:val="0"/>
          <w:sz w:val="24"/>
          <w:lang w:val="zh-CN"/>
        </w:rPr>
        <w:t>标</w:t>
      </w:r>
      <w:r>
        <w:rPr>
          <w:rFonts w:ascii="宋体" w:hAnsi="宋体"/>
          <w:kern w:val="0"/>
          <w:sz w:val="24"/>
          <w:lang w:val="zh-CN"/>
        </w:rPr>
        <w:t>投标法》、《中华人民共和国招</w:t>
      </w:r>
      <w:r>
        <w:rPr>
          <w:rFonts w:hint="eastAsia" w:ascii="宋体" w:hAnsi="宋体"/>
          <w:kern w:val="0"/>
          <w:sz w:val="24"/>
          <w:lang w:val="zh-CN"/>
        </w:rPr>
        <w:t>标</w:t>
      </w:r>
      <w:r>
        <w:rPr>
          <w:rFonts w:ascii="宋体" w:hAnsi="宋体"/>
          <w:kern w:val="0"/>
          <w:sz w:val="24"/>
          <w:lang w:val="zh-CN"/>
        </w:rPr>
        <w:t>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Lines="50" w:line="360" w:lineRule="auto"/>
        <w:ind w:left="-315" w:firstLine="602"/>
        <w:rPr>
          <w:rFonts w:ascii="宋体" w:hAnsi="宋体"/>
          <w:sz w:val="24"/>
        </w:rPr>
      </w:pPr>
      <w:r>
        <w:rPr>
          <w:rFonts w:hint="eastAsia" w:ascii="宋体" w:hAnsi="宋体"/>
          <w:sz w:val="24"/>
        </w:rPr>
        <w:t>资格审查；</w:t>
      </w:r>
    </w:p>
    <w:p>
      <w:pPr>
        <w:numPr>
          <w:ilvl w:val="0"/>
          <w:numId w:val="1"/>
        </w:numPr>
        <w:spacing w:beforeLines="50" w:line="360" w:lineRule="auto"/>
        <w:ind w:left="-315" w:firstLine="602"/>
        <w:rPr>
          <w:rFonts w:ascii="宋体" w:hAnsi="宋体"/>
          <w:sz w:val="24"/>
        </w:rPr>
      </w:pPr>
      <w:r>
        <w:rPr>
          <w:rFonts w:hint="eastAsia" w:ascii="宋体" w:hAnsi="宋体"/>
          <w:sz w:val="24"/>
        </w:rPr>
        <w:t>初步评审；</w:t>
      </w:r>
    </w:p>
    <w:p>
      <w:pPr>
        <w:numPr>
          <w:ilvl w:val="0"/>
          <w:numId w:val="1"/>
        </w:numPr>
        <w:spacing w:beforeLines="50" w:line="360" w:lineRule="auto"/>
        <w:ind w:left="-315" w:firstLine="602"/>
        <w:rPr>
          <w:rFonts w:ascii="宋体" w:hAnsi="宋体"/>
          <w:sz w:val="24"/>
        </w:rPr>
      </w:pPr>
      <w:r>
        <w:rPr>
          <w:rFonts w:hint="eastAsia" w:ascii="宋体" w:hAnsi="宋体"/>
          <w:sz w:val="24"/>
        </w:rPr>
        <w:t>技术评审；</w:t>
      </w:r>
    </w:p>
    <w:p>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175"/>
    <w:bookmarkEnd w:id="176"/>
    <w:p>
      <w:pPr>
        <w:pStyle w:val="3"/>
        <w:spacing w:line="360" w:lineRule="auto"/>
        <w:ind w:firstLine="703"/>
        <w:jc w:val="center"/>
        <w:rPr>
          <w:rFonts w:ascii="宋体" w:hAnsi="宋体" w:eastAsia="宋体"/>
          <w:sz w:val="28"/>
          <w:szCs w:val="28"/>
        </w:rPr>
      </w:pPr>
      <w:bookmarkStart w:id="177" w:name="_Toc23806"/>
      <w:bookmarkStart w:id="178" w:name="_Toc173485772"/>
      <w:bookmarkStart w:id="179" w:name="_Toc140100167"/>
      <w:bookmarkStart w:id="180" w:name="_Toc247515567"/>
      <w:bookmarkStart w:id="181" w:name="_Toc287988803"/>
      <w:bookmarkStart w:id="182" w:name="_Toc287988971"/>
      <w:bookmarkStart w:id="183" w:name="_Toc282549848"/>
      <w:bookmarkStart w:id="184" w:name="_Toc197340937"/>
      <w:bookmarkStart w:id="185" w:name="_Toc6017"/>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177"/>
      <w:bookmarkEnd w:id="178"/>
      <w:bookmarkEnd w:id="179"/>
      <w:bookmarkEnd w:id="180"/>
      <w:bookmarkEnd w:id="181"/>
      <w:bookmarkEnd w:id="182"/>
      <w:bookmarkEnd w:id="183"/>
      <w:bookmarkEnd w:id="184"/>
      <w:bookmarkEnd w:id="185"/>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rPr>
          <w:rFonts w:ascii="宋体" w:hAnsi="宋体"/>
          <w:b/>
          <w:sz w:val="28"/>
          <w:szCs w:val="28"/>
        </w:rPr>
      </w:pPr>
      <w:bookmarkStart w:id="186" w:name="_Toc240859503"/>
      <w:r>
        <w:rPr>
          <w:rFonts w:ascii="宋体" w:hAnsi="宋体"/>
          <w:b/>
          <w:sz w:val="28"/>
          <w:szCs w:val="28"/>
        </w:rPr>
        <w:br w:type="page"/>
      </w:r>
    </w:p>
    <w:p>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186"/>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val="en-US" w:eastAsia="zh-CN"/>
              </w:rPr>
            </w:pPr>
            <w:r>
              <w:rPr>
                <w:rFonts w:hint="eastAsia"/>
                <w:lang w:val="en-US" w:eastAsia="zh-CN"/>
              </w:rPr>
              <w:t>3</w:t>
            </w:r>
          </w:p>
        </w:tc>
        <w:tc>
          <w:tcPr>
            <w:tcW w:w="1587" w:type="dxa"/>
            <w:vAlign w:val="center"/>
          </w:tcPr>
          <w:p>
            <w:pPr>
              <w:jc w:val="center"/>
              <w:rPr>
                <w:rFonts w:hint="eastAsia"/>
                <w:lang w:val="en-US" w:eastAsia="zh-CN"/>
              </w:rPr>
            </w:pPr>
            <w:r>
              <w:rPr>
                <w:rFonts w:hint="eastAsia"/>
                <w:lang w:val="en-US" w:eastAsia="zh-CN"/>
              </w:rPr>
              <w:t>履行合同所必需的设备和专业技术能力</w:t>
            </w:r>
          </w:p>
          <w:p>
            <w:pPr>
              <w:jc w:val="center"/>
              <w:rPr>
                <w:rFonts w:hint="eastAsia"/>
              </w:rPr>
            </w:pPr>
          </w:p>
        </w:tc>
        <w:tc>
          <w:tcPr>
            <w:tcW w:w="4777" w:type="dxa"/>
            <w:vAlign w:val="center"/>
          </w:tcPr>
          <w:p>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pPr>
              <w:jc w:val="left"/>
              <w:rPr>
                <w:rFonts w:hint="eastAsia"/>
              </w:rPr>
            </w:pPr>
            <w:r>
              <w:rPr>
                <w:rFonts w:hint="eastAsia"/>
                <w:lang w:val="en-US" w:eastAsia="zh-CN"/>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rPr>
                <w:rFonts w:hint="eastAsia" w:eastAsia="宋体"/>
                <w:lang w:eastAsia="zh-CN"/>
              </w:rPr>
            </w:pPr>
            <w:r>
              <w:rPr>
                <w:rFonts w:hint="eastAsia"/>
                <w:lang w:val="en-US" w:eastAsia="zh-CN"/>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rPr>
                <w:rFonts w:hint="eastAsia" w:eastAsia="宋体"/>
                <w:lang w:eastAsia="zh-CN"/>
              </w:rPr>
            </w:pPr>
            <w:r>
              <w:rPr>
                <w:rFonts w:hint="eastAsia"/>
                <w:lang w:val="en-US" w:eastAsia="zh-CN"/>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rPr>
                <w:rFonts w:hint="eastAsia" w:eastAsia="宋体"/>
                <w:lang w:eastAsia="zh-CN"/>
              </w:rPr>
            </w:pPr>
            <w:r>
              <w:rPr>
                <w:rFonts w:hint="eastAsia"/>
                <w:lang w:val="en-US" w:eastAsia="zh-CN"/>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ascii="宋体" w:hAnsi="宋体" w:eastAsia="宋体"/>
          <w:sz w:val="28"/>
          <w:szCs w:val="28"/>
        </w:rPr>
      </w:pPr>
      <w:bookmarkStart w:id="187" w:name="_Toc4196"/>
      <w:bookmarkStart w:id="188" w:name="_Toc287988972"/>
      <w:bookmarkStart w:id="189" w:name="_Toc282549849"/>
      <w:bookmarkStart w:id="190" w:name="_Toc2772"/>
      <w:bookmarkStart w:id="191" w:name="_Toc140100168"/>
      <w:bookmarkStart w:id="192" w:name="_Toc247515568"/>
      <w:bookmarkStart w:id="193" w:name="_Toc287988804"/>
      <w:bookmarkStart w:id="194" w:name="_Toc173485773"/>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187"/>
      <w:bookmarkEnd w:id="188"/>
      <w:bookmarkEnd w:id="189"/>
      <w:bookmarkEnd w:id="190"/>
      <w:bookmarkEnd w:id="191"/>
      <w:bookmarkEnd w:id="192"/>
      <w:bookmarkEnd w:id="193"/>
      <w:bookmarkEnd w:id="194"/>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195"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195"/>
    <w:p>
      <w:pPr>
        <w:pStyle w:val="3"/>
        <w:spacing w:line="360" w:lineRule="auto"/>
        <w:ind w:firstLine="703"/>
        <w:jc w:val="center"/>
        <w:rPr>
          <w:rFonts w:ascii="宋体" w:hAnsi="宋体" w:eastAsia="宋体"/>
          <w:sz w:val="28"/>
          <w:szCs w:val="28"/>
        </w:rPr>
      </w:pPr>
      <w:bookmarkStart w:id="196" w:name="_Toc149557577"/>
      <w:bookmarkStart w:id="197" w:name="_Toc32719"/>
      <w:bookmarkStart w:id="198" w:name="_Toc26965"/>
      <w:bookmarkStart w:id="199" w:name="_Toc287988973"/>
      <w:bookmarkStart w:id="200" w:name="_Toc140100169"/>
      <w:bookmarkStart w:id="201" w:name="_Toc173485774"/>
      <w:bookmarkStart w:id="202" w:name="_Toc287988805"/>
      <w:bookmarkStart w:id="203" w:name="_Toc247515570"/>
      <w:bookmarkStart w:id="204"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196"/>
      <w:r>
        <w:rPr>
          <w:rFonts w:ascii="宋体" w:hAnsi="宋体" w:eastAsia="宋体"/>
          <w:sz w:val="28"/>
          <w:szCs w:val="28"/>
        </w:rPr>
        <w:t>商务评审</w:t>
      </w:r>
      <w:bookmarkEnd w:id="197"/>
      <w:bookmarkEnd w:id="198"/>
      <w:bookmarkEnd w:id="199"/>
      <w:bookmarkEnd w:id="200"/>
      <w:bookmarkEnd w:id="201"/>
      <w:bookmarkEnd w:id="202"/>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05" w:name="_Toc287988806"/>
      <w:bookmarkStart w:id="206"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参照云南省建设工程招标投标行业协会关于印发《云南省建设工程招标代理服务收费指导意见（试行）》的通知（云建招协【2023】51号）规定的收费标准下浮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pPr>
        <w:pStyle w:val="3"/>
        <w:spacing w:line="360" w:lineRule="auto"/>
        <w:ind w:firstLine="703"/>
        <w:jc w:val="center"/>
        <w:rPr>
          <w:rFonts w:ascii="宋体" w:hAnsi="宋体" w:eastAsia="宋体"/>
          <w:sz w:val="28"/>
          <w:szCs w:val="28"/>
        </w:rPr>
      </w:pPr>
      <w:bookmarkStart w:id="207" w:name="_Toc140100170"/>
      <w:bookmarkStart w:id="208" w:name="_Toc15648"/>
      <w:bookmarkStart w:id="209" w:name="_Toc13526"/>
      <w:bookmarkStart w:id="210" w:name="_Toc173485775"/>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03"/>
      <w:bookmarkEnd w:id="204"/>
      <w:bookmarkEnd w:id="205"/>
      <w:bookmarkEnd w:id="206"/>
      <w:bookmarkEnd w:id="207"/>
      <w:bookmarkEnd w:id="208"/>
      <w:bookmarkEnd w:id="209"/>
      <w:bookmarkEnd w:id="21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t>招标代理服务方案</w:t>
            </w:r>
            <w:r>
              <w:rPr>
                <w:rFonts w:hint="eastAsia"/>
              </w:rPr>
              <w:t>评审</w:t>
            </w:r>
          </w:p>
        </w:tc>
        <w:tc>
          <w:tcPr>
            <w:tcW w:w="1382" w:type="dxa"/>
            <w:vAlign w:val="center"/>
          </w:tcPr>
          <w:p>
            <w:pPr>
              <w:spacing w:line="360" w:lineRule="auto"/>
              <w:jc w:val="center"/>
            </w:pPr>
            <w:r>
              <w:t>招标代理工作方案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（1）招标代理工作方案详细，针对性强，内容具体，能充分体现本项目招标特点，服务工作周期详细、合理、可行的，得21-30分；</w:t>
            </w:r>
          </w:p>
          <w:p>
            <w:pPr>
              <w:spacing w:line="360" w:lineRule="auto"/>
              <w:jc w:val="left"/>
            </w:pPr>
            <w:r>
              <w:rPr>
                <w:rFonts w:hint="eastAsia"/>
              </w:rPr>
              <w:t>（2）能提供有针对性招标代理工作方案，内容基本完整，有合理的服务工作周期的，得10-20分；</w:t>
            </w:r>
          </w:p>
          <w:p>
            <w:pPr>
              <w:spacing w:line="360" w:lineRule="auto"/>
              <w:jc w:val="left"/>
            </w:pPr>
            <w:r>
              <w:rPr>
                <w:rFonts w:hint="eastAsia"/>
              </w:rPr>
              <w:t>（3）招标代理工作方案内容不完整，缺乏针对性的或未提供方案的，得0-9分。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w:t>
            </w:r>
            <w:r>
              <w:rPr>
                <w:rFonts w:hint="eastAsia"/>
                <w:lang w:val="en-US" w:eastAsia="zh-CN"/>
              </w:rPr>
              <w:t>5</w:t>
            </w:r>
            <w:r>
              <w:t>分</w:t>
            </w:r>
          </w:p>
        </w:tc>
        <w:tc>
          <w:tcPr>
            <w:tcW w:w="6124" w:type="dxa"/>
            <w:vAlign w:val="center"/>
          </w:tcPr>
          <w:p>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lang w:val="en-US" w:eastAsia="zh-CN"/>
              </w:rPr>
              <w:t>10</w:t>
            </w:r>
            <w:r>
              <w:t>分</w:t>
            </w:r>
          </w:p>
        </w:tc>
        <w:tc>
          <w:tcPr>
            <w:tcW w:w="6124" w:type="dxa"/>
            <w:vAlign w:val="center"/>
          </w:tcPr>
          <w:p>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或工程建设招标代理</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10</w:t>
            </w:r>
            <w:r>
              <w:t>分</w:t>
            </w:r>
          </w:p>
        </w:tc>
        <w:tc>
          <w:tcPr>
            <w:tcW w:w="6124" w:type="dxa"/>
            <w:vAlign w:val="center"/>
          </w:tcPr>
          <w:p>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或工程建设</w:t>
            </w:r>
            <w:r>
              <w:rPr>
                <w:rFonts w:hint="eastAsia" w:ascii="Times New Roman" w:hAnsi="Times New Roman" w:eastAsia="宋体" w:cs="Times New Roman"/>
              </w:rPr>
              <w:t>招标代理业绩的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pPr>
              <w:spacing w:line="360" w:lineRule="auto"/>
              <w:jc w:val="left"/>
            </w:pPr>
            <w:r>
              <w:rPr>
                <w:rFonts w:hint="eastAsia" w:ascii="Times New Roman" w:hAnsi="Times New Roman" w:eastAsia="宋体" w:cs="Times New Roman"/>
              </w:rPr>
              <w:t>注：类似业绩以中标（成交）通知书或招标代理合同为准。类似业绩证明材料的复印件应附于比选申请文件中，否则不予认可。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4</w:t>
            </w:r>
          </w:p>
        </w:tc>
        <w:tc>
          <w:tcPr>
            <w:tcW w:w="2645" w:type="dxa"/>
            <w:gridSpan w:val="2"/>
            <w:vAlign w:val="center"/>
          </w:tcPr>
          <w:p>
            <w:pPr>
              <w:spacing w:line="360" w:lineRule="auto"/>
              <w:jc w:val="center"/>
            </w:pPr>
            <w:r>
              <w:rPr>
                <w:rFonts w:hint="eastAsia"/>
              </w:rPr>
              <w:t>场地设施</w:t>
            </w:r>
          </w:p>
        </w:tc>
        <w:tc>
          <w:tcPr>
            <w:tcW w:w="786" w:type="dxa"/>
            <w:vAlign w:val="center"/>
          </w:tcPr>
          <w:p>
            <w:pPr>
              <w:spacing w:line="360" w:lineRule="auto"/>
              <w:jc w:val="left"/>
            </w:pPr>
            <w:r>
              <w:rPr>
                <w:rFonts w:hint="eastAsia"/>
              </w:rPr>
              <w:t>5分</w:t>
            </w:r>
          </w:p>
        </w:tc>
        <w:tc>
          <w:tcPr>
            <w:tcW w:w="6124" w:type="dxa"/>
            <w:vAlign w:val="center"/>
          </w:tcPr>
          <w:p>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pPr>
        <w:ind w:firstLine="602"/>
      </w:pPr>
      <w:bookmarkStart w:id="211" w:name="_Toc434570992"/>
      <w:bookmarkStart w:id="212" w:name="_Toc282549851"/>
      <w:bookmarkStart w:id="213" w:name="_Toc287988975"/>
      <w:bookmarkStart w:id="214" w:name="_Toc287988807"/>
    </w:p>
    <w:p>
      <w:pPr>
        <w:pStyle w:val="3"/>
        <w:ind w:firstLine="753"/>
        <w:jc w:val="center"/>
        <w:rPr>
          <w:rFonts w:ascii="宋体" w:hAnsi="宋体" w:eastAsia="宋体"/>
          <w:sz w:val="30"/>
          <w:szCs w:val="30"/>
        </w:rPr>
      </w:pPr>
      <w:bookmarkStart w:id="215" w:name="_Toc140100171"/>
      <w:bookmarkStart w:id="216" w:name="_Toc27032"/>
      <w:bookmarkStart w:id="217" w:name="_Toc27529"/>
      <w:bookmarkStart w:id="218" w:name="_Toc173485776"/>
      <w:r>
        <w:rPr>
          <w:rFonts w:hint="eastAsia" w:ascii="宋体" w:hAnsi="宋体" w:eastAsia="宋体"/>
          <w:sz w:val="30"/>
          <w:szCs w:val="30"/>
        </w:rPr>
        <w:t>（五）统分原则</w:t>
      </w:r>
      <w:bookmarkEnd w:id="211"/>
      <w:bookmarkEnd w:id="215"/>
      <w:bookmarkEnd w:id="216"/>
      <w:bookmarkEnd w:id="217"/>
      <w:bookmarkEnd w:id="218"/>
    </w:p>
    <w:p>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ascii="宋体" w:hAnsi="宋体" w:eastAsia="宋体"/>
          <w:sz w:val="28"/>
          <w:szCs w:val="28"/>
        </w:rPr>
      </w:pPr>
      <w:bookmarkStart w:id="219" w:name="_Toc173485777"/>
      <w:bookmarkStart w:id="220" w:name="_Toc24982"/>
      <w:bookmarkStart w:id="221" w:name="_Toc20750"/>
      <w:bookmarkStart w:id="222" w:name="_Toc140100172"/>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12"/>
      <w:r>
        <w:rPr>
          <w:rFonts w:ascii="宋体" w:hAnsi="宋体" w:eastAsia="宋体"/>
          <w:sz w:val="28"/>
          <w:szCs w:val="28"/>
        </w:rPr>
        <w:t>与推荐</w:t>
      </w:r>
      <w:bookmarkEnd w:id="213"/>
      <w:bookmarkEnd w:id="214"/>
      <w:bookmarkEnd w:id="219"/>
      <w:bookmarkEnd w:id="220"/>
      <w:bookmarkEnd w:id="221"/>
      <w:bookmarkEnd w:id="222"/>
    </w:p>
    <w:p>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703"/>
        <w:jc w:val="center"/>
        <w:rPr>
          <w:rFonts w:ascii="宋体" w:hAnsi="宋体" w:eastAsia="宋体"/>
          <w:sz w:val="28"/>
          <w:szCs w:val="28"/>
        </w:rPr>
      </w:pPr>
      <w:bookmarkStart w:id="223" w:name="_Toc282549852"/>
      <w:bookmarkStart w:id="224" w:name="_Toc173485778"/>
      <w:bookmarkStart w:id="225" w:name="_Toc8916"/>
      <w:bookmarkStart w:id="226" w:name="_Toc287988976"/>
      <w:bookmarkStart w:id="227" w:name="_Toc25241"/>
      <w:bookmarkStart w:id="228" w:name="_Toc287988808"/>
      <w:bookmarkStart w:id="229" w:name="_Toc140100173"/>
      <w:r>
        <w:rPr>
          <w:rFonts w:ascii="宋体" w:hAnsi="宋体" w:eastAsia="宋体"/>
          <w:sz w:val="28"/>
          <w:szCs w:val="28"/>
        </w:rPr>
        <w:t>（七）定</w:t>
      </w:r>
      <w:bookmarkEnd w:id="223"/>
      <w:r>
        <w:rPr>
          <w:rFonts w:ascii="宋体" w:hAnsi="宋体" w:eastAsia="宋体"/>
          <w:sz w:val="28"/>
          <w:szCs w:val="28"/>
        </w:rPr>
        <w:t>选</w:t>
      </w:r>
      <w:bookmarkEnd w:id="224"/>
      <w:bookmarkEnd w:id="225"/>
      <w:bookmarkEnd w:id="226"/>
      <w:bookmarkEnd w:id="227"/>
      <w:bookmarkEnd w:id="228"/>
      <w:bookmarkEnd w:id="229"/>
    </w:p>
    <w:p>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pStyle w:val="2"/>
        <w:spacing w:beforeLines="50"/>
        <w:ind w:firstLine="3132" w:firstLineChars="1300"/>
        <w:rPr>
          <w:rFonts w:ascii="宋体" w:hAnsi="宋体"/>
          <w:kern w:val="0"/>
          <w:szCs w:val="32"/>
          <w:lang w:val="zh-CN"/>
        </w:rPr>
      </w:pPr>
      <w:r>
        <w:rPr>
          <w:rFonts w:ascii="宋体" w:hAnsi="宋体"/>
          <w:sz w:val="24"/>
        </w:rPr>
        <w:br w:type="page"/>
      </w:r>
      <w:bookmarkStart w:id="230" w:name="_Toc282549853"/>
      <w:bookmarkStart w:id="231" w:name="_Toc287988977"/>
      <w:bookmarkStart w:id="232" w:name="_Toc287988809"/>
      <w:bookmarkStart w:id="233" w:name="_Toc2290"/>
      <w:r>
        <w:rPr>
          <w:rFonts w:ascii="宋体" w:hAnsi="宋体"/>
          <w:kern w:val="0"/>
          <w:szCs w:val="32"/>
          <w:lang w:val="zh-CN"/>
        </w:rPr>
        <w:t>第</w:t>
      </w:r>
      <w:r>
        <w:rPr>
          <w:rFonts w:hint="eastAsia" w:ascii="宋体" w:hAnsi="宋体"/>
          <w:kern w:val="0"/>
          <w:szCs w:val="32"/>
          <w:lang w:val="zh-CN"/>
        </w:rPr>
        <w:t>三</w:t>
      </w:r>
      <w:r>
        <w:rPr>
          <w:rFonts w:ascii="宋体" w:hAnsi="宋体"/>
          <w:kern w:val="0"/>
          <w:szCs w:val="32"/>
          <w:lang w:val="zh-CN"/>
        </w:rPr>
        <w:t>部分  招标代理</w:t>
      </w:r>
      <w:bookmarkEnd w:id="230"/>
      <w:r>
        <w:rPr>
          <w:rFonts w:ascii="宋体" w:hAnsi="宋体"/>
          <w:kern w:val="0"/>
          <w:szCs w:val="32"/>
          <w:lang w:val="zh-CN"/>
        </w:rPr>
        <w:t>合同</w:t>
      </w:r>
      <w:bookmarkEnd w:id="231"/>
      <w:bookmarkEnd w:id="232"/>
      <w:bookmarkEnd w:id="233"/>
    </w:p>
    <w:p>
      <w:pPr>
        <w:spacing w:line="400" w:lineRule="exact"/>
        <w:ind w:firstLine="904"/>
        <w:outlineLvl w:val="0"/>
        <w:rPr>
          <w:rFonts w:ascii="宋体" w:hAnsi="宋体"/>
          <w:b/>
          <w:bCs/>
          <w:sz w:val="36"/>
          <w:szCs w:val="36"/>
        </w:rPr>
      </w:pPr>
      <w:bookmarkStart w:id="234" w:name="_Toc27632"/>
      <w:bookmarkStart w:id="235" w:name="_Toc23803"/>
      <w:bookmarkStart w:id="236" w:name="_Toc173485780"/>
      <w:bookmarkStart w:id="237" w:name="_Toc21112"/>
      <w:bookmarkStart w:id="238" w:name="_Toc8301"/>
      <w:r>
        <w:rPr>
          <w:rFonts w:hint="eastAsia" w:ascii="宋体" w:hAnsi="宋体"/>
          <w:b/>
          <w:bCs/>
          <w:sz w:val="36"/>
          <w:szCs w:val="36"/>
        </w:rPr>
        <w:t>GF-2005-0215</w:t>
      </w:r>
      <w:bookmarkEnd w:id="234"/>
      <w:bookmarkEnd w:id="235"/>
      <w:bookmarkEnd w:id="236"/>
      <w:bookmarkEnd w:id="237"/>
      <w:bookmarkEnd w:id="238"/>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80" w:lineRule="auto"/>
        <w:ind w:firstLine="1800"/>
        <w:jc w:val="center"/>
        <w:rPr>
          <w:rFonts w:ascii="黑体" w:hAnsi="宋体" w:eastAsia="黑体"/>
          <w:b/>
          <w:bCs/>
          <w:sz w:val="72"/>
        </w:rPr>
      </w:pPr>
    </w:p>
    <w:p>
      <w:pPr>
        <w:spacing w:line="480" w:lineRule="auto"/>
        <w:ind w:firstLine="2891" w:firstLineChars="400"/>
        <w:jc w:val="both"/>
        <w:rPr>
          <w:rFonts w:ascii="黑体" w:hAnsi="宋体" w:eastAsia="黑体"/>
          <w:b/>
          <w:bCs/>
          <w:sz w:val="72"/>
        </w:rPr>
      </w:pPr>
      <w:r>
        <w:rPr>
          <w:rFonts w:hint="eastAsia" w:ascii="黑体" w:hAnsi="宋体" w:eastAsia="黑体"/>
          <w:b/>
          <w:bCs/>
          <w:sz w:val="72"/>
        </w:rPr>
        <w:t>招标代理合同</w:t>
      </w:r>
    </w:p>
    <w:p>
      <w:pPr>
        <w:spacing w:line="400" w:lineRule="exact"/>
        <w:ind w:firstLine="600"/>
        <w:rPr>
          <w:rFonts w:ascii="仿宋_GB2312" w:hAnsi="宋体" w:eastAsia="仿宋_GB2312"/>
          <w:b/>
          <w:bCs/>
        </w:rPr>
      </w:pPr>
    </w:p>
    <w:p>
      <w:pPr>
        <w:spacing w:line="400" w:lineRule="exact"/>
        <w:ind w:firstLine="600"/>
        <w:jc w:val="center"/>
        <w:rPr>
          <w:rFonts w:hint="eastAsia" w:ascii="仿宋_GB2312" w:hAnsi="宋体" w:eastAsia="仿宋_GB2312"/>
          <w:b/>
          <w:bCs/>
          <w:lang w:eastAsia="zh-CN"/>
        </w:rPr>
      </w:pPr>
      <w:r>
        <w:rPr>
          <w:rFonts w:hint="eastAsia" w:ascii="仿宋_GB2312" w:hAnsi="宋体" w:eastAsia="仿宋_GB2312"/>
          <w:b/>
          <w:bCs/>
          <w:lang w:eastAsia="zh-CN"/>
        </w:rPr>
        <w:t>（该合同模板仅供参考，最终以双方协商协定合同为准）</w:t>
      </w:r>
    </w:p>
    <w:p>
      <w:pPr>
        <w:spacing w:line="400" w:lineRule="exact"/>
        <w:ind w:firstLine="600"/>
        <w:rPr>
          <w:rFonts w:ascii="仿宋_GB2312" w:hAnsi="宋体" w:eastAsia="仿宋_GB2312"/>
          <w:b/>
          <w:bCs/>
        </w:rPr>
      </w:pPr>
    </w:p>
    <w:p>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pPr>
        <w:spacing w:line="400" w:lineRule="exact"/>
        <w:ind w:firstLine="600"/>
        <w:rPr>
          <w:rFonts w:ascii="仿宋_GB2312" w:hAnsi="宋体" w:eastAsia="仿宋_GB2312"/>
          <w:b/>
          <w:bCs/>
          <w:sz w:val="24"/>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360" w:lineRule="auto"/>
        <w:ind w:firstLine="800"/>
        <w:rPr>
          <w:rFonts w:ascii="宋体" w:hAnsi="宋体"/>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jc w:val="center"/>
        <w:rPr>
          <w:rFonts w:ascii="仿宋_GB2312" w:hAnsi="宋体" w:eastAsia="仿宋_GB2312"/>
          <w:b/>
          <w:bCs/>
          <w:sz w:val="32"/>
        </w:rPr>
      </w:pPr>
    </w:p>
    <w:p>
      <w:pPr>
        <w:spacing w:line="360" w:lineRule="exact"/>
        <w:ind w:firstLine="803"/>
        <w:jc w:val="center"/>
        <w:rPr>
          <w:rFonts w:ascii="宋体" w:hAnsi="宋体"/>
          <w:sz w:val="32"/>
        </w:rPr>
      </w:pPr>
    </w:p>
    <w:p>
      <w:pPr>
        <w:spacing w:line="360" w:lineRule="exact"/>
        <w:ind w:firstLine="803"/>
        <w:jc w:val="center"/>
        <w:rPr>
          <w:rFonts w:ascii="宋体" w:hAnsi="宋体"/>
          <w:sz w:val="32"/>
        </w:rPr>
      </w:pPr>
    </w:p>
    <w:p>
      <w:pPr>
        <w:spacing w:line="360" w:lineRule="exact"/>
        <w:ind w:firstLine="904"/>
        <w:jc w:val="center"/>
        <w:rPr>
          <w:rFonts w:ascii="宋体" w:hAnsi="宋体"/>
          <w:sz w:val="36"/>
          <w:szCs w:val="36"/>
        </w:rPr>
      </w:pPr>
    </w:p>
    <w:p>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pPr>
        <w:spacing w:line="400" w:lineRule="exact"/>
        <w:ind w:firstLine="900"/>
        <w:rPr>
          <w:rFonts w:ascii="仿宋_GB2312" w:hAnsi="宋体" w:eastAsia="仿宋_GB2312"/>
          <w:b/>
          <w:bCs/>
          <w:sz w:val="36"/>
          <w:szCs w:val="36"/>
        </w:rPr>
      </w:pPr>
    </w:p>
    <w:p>
      <w:pPr>
        <w:spacing w:line="400" w:lineRule="exact"/>
        <w:ind w:firstLine="600"/>
        <w:rPr>
          <w:rFonts w:ascii="仿宋_GB2312" w:hAnsi="宋体" w:eastAsia="仿宋_GB2312"/>
          <w:b/>
          <w:bCs/>
        </w:rPr>
      </w:pPr>
    </w:p>
    <w:p>
      <w:pPr>
        <w:rPr>
          <w:rFonts w:hint="eastAsia"/>
        </w:rPr>
      </w:pPr>
      <w:bookmarkStart w:id="239" w:name="_Toc18602"/>
      <w:bookmarkStart w:id="240" w:name="_Toc9072"/>
      <w:r>
        <w:rPr>
          <w:rFonts w:hint="eastAsia"/>
        </w:rPr>
        <w:br w:type="page"/>
      </w:r>
    </w:p>
    <w:p>
      <w:pPr>
        <w:pStyle w:val="13"/>
        <w:spacing w:before="156" w:line="360" w:lineRule="auto"/>
        <w:ind w:firstLine="803"/>
      </w:pPr>
      <w:bookmarkStart w:id="241" w:name="_Toc17313"/>
      <w:bookmarkStart w:id="242" w:name="_Toc6262"/>
      <w:r>
        <w:rPr>
          <w:rFonts w:hint="eastAsia"/>
        </w:rPr>
        <w:t>招标代理协议书</w:t>
      </w:r>
      <w:bookmarkEnd w:id="239"/>
      <w:bookmarkEnd w:id="240"/>
      <w:bookmarkEnd w:id="241"/>
      <w:bookmarkEnd w:id="242"/>
    </w:p>
    <w:p>
      <w:pPr>
        <w:pStyle w:val="13"/>
        <w:spacing w:before="156" w:line="360" w:lineRule="auto"/>
        <w:ind w:firstLine="480" w:firstLineChars="200"/>
        <w:jc w:val="left"/>
        <w:rPr>
          <w:rFonts w:hint="eastAsia" w:ascii="宋体" w:hAnsi="宋体" w:eastAsia="宋体" w:cs="宋体"/>
          <w:sz w:val="24"/>
          <w:u w:val="single"/>
          <w:lang w:eastAsia="zh-CN"/>
        </w:rPr>
      </w:pPr>
      <w:bookmarkStart w:id="243" w:name="_Toc30078"/>
      <w:bookmarkStart w:id="244" w:name="_Toc26533"/>
      <w:bookmarkStart w:id="245" w:name="_Toc173485782"/>
      <w:bookmarkStart w:id="246" w:name="_Toc19326"/>
      <w:bookmarkStart w:id="247" w:name="_Toc17818"/>
      <w:r>
        <w:rPr>
          <w:rFonts w:hint="eastAsia" w:ascii="宋体" w:hAnsi="宋体" w:cs="宋体"/>
          <w:b w:val="0"/>
          <w:bCs w:val="0"/>
          <w:sz w:val="24"/>
        </w:rPr>
        <w:t>委托人：</w:t>
      </w:r>
      <w:bookmarkEnd w:id="243"/>
      <w:bookmarkEnd w:id="244"/>
      <w:bookmarkEnd w:id="245"/>
      <w:r>
        <w:rPr>
          <w:rFonts w:hint="eastAsia" w:ascii="宋体" w:hAnsi="宋体" w:cs="宋体"/>
          <w:sz w:val="24"/>
          <w:u w:val="single"/>
          <w:lang w:eastAsia="zh-CN"/>
        </w:rPr>
        <w:t>昆明市呈贡区水务局</w:t>
      </w:r>
      <w:bookmarkEnd w:id="246"/>
      <w:bookmarkEnd w:id="247"/>
    </w:p>
    <w:p>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rPr>
        <w:t>招标代理事项协商一致，订立本合同。</w:t>
      </w:r>
    </w:p>
    <w:p>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的招标代理机构，承担本项目的招标代理工作。</w:t>
      </w:r>
    </w:p>
    <w:p>
      <w:pPr>
        <w:spacing w:line="360" w:lineRule="auto"/>
        <w:ind w:firstLine="480" w:firstLineChars="200"/>
        <w:rPr>
          <w:rFonts w:ascii="宋体" w:hAnsi="宋体" w:cs="宋体"/>
          <w:sz w:val="24"/>
        </w:rPr>
      </w:pPr>
      <w:r>
        <w:rPr>
          <w:rFonts w:hint="eastAsia" w:ascii="宋体" w:hAnsi="宋体" w:cs="宋体"/>
          <w:sz w:val="24"/>
        </w:rPr>
        <w:t>三、合同价款</w:t>
      </w:r>
    </w:p>
    <w:p>
      <w:pPr>
        <w:spacing w:line="360" w:lineRule="auto"/>
        <w:ind w:firstLine="481" w:firstLineChars="200"/>
        <w:rPr>
          <w:rFonts w:ascii="宋体" w:hAnsi="宋体" w:cs="宋体"/>
          <w:b/>
          <w:sz w:val="24"/>
          <w:u w:val="single"/>
        </w:rPr>
      </w:pPr>
      <w:r>
        <w:rPr>
          <w:rFonts w:hint="eastAsia" w:ascii="宋体" w:hAnsi="宋体" w:cs="宋体"/>
          <w:b/>
          <w:sz w:val="24"/>
          <w:u w:val="single"/>
        </w:rPr>
        <w:t>见合同专用条款及附件。</w:t>
      </w:r>
    </w:p>
    <w:p>
      <w:pPr>
        <w:spacing w:line="360" w:lineRule="auto"/>
        <w:ind w:firstLine="480" w:firstLineChars="200"/>
        <w:rPr>
          <w:rFonts w:ascii="宋体" w:hAnsi="宋体" w:cs="宋体"/>
          <w:sz w:val="24"/>
        </w:rPr>
      </w:pPr>
      <w:r>
        <w:rPr>
          <w:rFonts w:hint="eastAsia" w:ascii="宋体" w:hAnsi="宋体" w:cs="宋体"/>
          <w:sz w:val="24"/>
        </w:rPr>
        <w:t>四、组成本合同的文件：</w:t>
      </w:r>
    </w:p>
    <w:p>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pPr>
        <w:spacing w:line="360" w:lineRule="auto"/>
        <w:ind w:firstLine="480" w:firstLineChars="200"/>
        <w:rPr>
          <w:rFonts w:ascii="宋体" w:hAnsi="宋体" w:cs="宋体"/>
          <w:sz w:val="24"/>
        </w:rPr>
      </w:pPr>
      <w:r>
        <w:rPr>
          <w:rFonts w:hint="eastAsia" w:ascii="宋体" w:hAnsi="宋体" w:cs="宋体"/>
          <w:sz w:val="24"/>
        </w:rPr>
        <w:t>2、本合同协议书；</w:t>
      </w:r>
    </w:p>
    <w:p>
      <w:pPr>
        <w:spacing w:line="360" w:lineRule="auto"/>
        <w:ind w:firstLine="480" w:firstLineChars="200"/>
        <w:rPr>
          <w:rFonts w:ascii="宋体" w:hAnsi="宋体" w:cs="宋体"/>
          <w:sz w:val="24"/>
        </w:rPr>
      </w:pPr>
      <w:r>
        <w:rPr>
          <w:rFonts w:hint="eastAsia" w:ascii="宋体" w:hAnsi="宋体" w:cs="宋体"/>
          <w:sz w:val="24"/>
        </w:rPr>
        <w:t>3、本合同专用条款；</w:t>
      </w:r>
    </w:p>
    <w:p>
      <w:pPr>
        <w:spacing w:line="360" w:lineRule="auto"/>
        <w:ind w:firstLine="480" w:firstLineChars="200"/>
        <w:rPr>
          <w:rFonts w:ascii="宋体" w:hAnsi="宋体" w:cs="宋体"/>
          <w:sz w:val="24"/>
        </w:rPr>
      </w:pPr>
      <w:r>
        <w:rPr>
          <w:rFonts w:hint="eastAsia" w:ascii="宋体" w:hAnsi="宋体" w:cs="宋体"/>
          <w:sz w:val="24"/>
        </w:rPr>
        <w:t>4、本合同通用条款。</w:t>
      </w:r>
    </w:p>
    <w:p>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20</w:t>
      </w:r>
      <w:r>
        <w:rPr>
          <w:rFonts w:ascii="宋体" w:hAnsi="宋体" w:cs="宋体"/>
          <w:b/>
          <w:sz w:val="24"/>
          <w:u w:val="single"/>
        </w:rPr>
        <w:t>2</w:t>
      </w:r>
      <w:r>
        <w:rPr>
          <w:rFonts w:hint="eastAsia" w:ascii="宋体" w:hAnsi="宋体" w:cs="宋体"/>
          <w:b/>
          <w:sz w:val="24"/>
          <w:u w:val="single"/>
        </w:rPr>
        <w:t xml:space="preserve">4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w:t>
      </w:r>
      <w:r>
        <w:rPr>
          <w:rFonts w:hint="eastAsia" w:ascii="宋体" w:hAnsi="宋体" w:cs="宋体"/>
          <w:b/>
          <w:sz w:val="24"/>
          <w:u w:val="single"/>
          <w:lang w:eastAsia="zh-CN"/>
        </w:rPr>
        <w:t>昆明市呈贡区水务局</w:t>
      </w:r>
      <w:r>
        <w:rPr>
          <w:rFonts w:hint="eastAsia" w:ascii="宋体" w:hAnsi="宋体" w:cs="宋体"/>
          <w:b/>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九、合同生效</w:t>
      </w:r>
    </w:p>
    <w:p>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tblPrEx>
          <w:tblCellMar>
            <w:top w:w="0" w:type="dxa"/>
            <w:left w:w="108" w:type="dxa"/>
            <w:bottom w:w="0" w:type="dxa"/>
            <w:right w:w="108" w:type="dxa"/>
          </w:tblCellMar>
        </w:tblPrEx>
        <w:trPr>
          <w:trHeight w:val="1157" w:hRule="atLeast"/>
        </w:trPr>
        <w:tc>
          <w:tcPr>
            <w:tcW w:w="5060" w:type="dxa"/>
          </w:tcPr>
          <w:p>
            <w:pPr>
              <w:spacing w:line="360" w:lineRule="auto"/>
              <w:ind w:left="2160" w:hanging="2160" w:hangingChars="900"/>
              <w:rPr>
                <w:rFonts w:hint="eastAsia" w:ascii="宋体" w:hAnsi="宋体" w:eastAsia="宋体"/>
                <w:sz w:val="24"/>
                <w:lang w:eastAsia="zh-CN"/>
              </w:rPr>
            </w:pPr>
            <w:r>
              <w:rPr>
                <w:rFonts w:hint="eastAsia" w:ascii="宋体" w:hAnsi="宋体"/>
                <w:sz w:val="24"/>
              </w:rPr>
              <w:t>委托人（盖章）</w:t>
            </w:r>
            <w:r>
              <w:rPr>
                <w:rFonts w:hint="eastAsia" w:ascii="宋体" w:hAnsi="宋体"/>
                <w:sz w:val="24"/>
                <w:lang w:eastAsia="zh-CN"/>
              </w:rPr>
              <w:t>昆明市呈贡区水务局</w:t>
            </w:r>
          </w:p>
        </w:tc>
        <w:tc>
          <w:tcPr>
            <w:tcW w:w="4450" w:type="dxa"/>
          </w:tcPr>
          <w:p>
            <w:pPr>
              <w:spacing w:line="360" w:lineRule="auto"/>
              <w:ind w:firstLine="602"/>
              <w:jc w:val="left"/>
              <w:rPr>
                <w:rFonts w:ascii="宋体" w:hAnsi="宋体"/>
                <w:sz w:val="24"/>
              </w:rPr>
            </w:pPr>
            <w:r>
              <w:rPr>
                <w:rFonts w:hint="eastAsia" w:ascii="宋体" w:hAnsi="宋体"/>
                <w:sz w:val="24"/>
              </w:rPr>
              <w:t>受托人（盖章）：</w:t>
            </w:r>
          </w:p>
          <w:p>
            <w:pPr>
              <w:spacing w:line="360" w:lineRule="auto"/>
              <w:ind w:firstLine="602"/>
              <w:rPr>
                <w:rFonts w:ascii="宋体" w:hAnsi="宋体"/>
                <w:sz w:val="24"/>
              </w:rPr>
            </w:pP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法定代表人（签字或盖章）：</w:t>
            </w:r>
          </w:p>
        </w:tc>
        <w:tc>
          <w:tcPr>
            <w:tcW w:w="4450" w:type="dxa"/>
          </w:tcPr>
          <w:p>
            <w:pPr>
              <w:spacing w:line="360" w:lineRule="auto"/>
              <w:ind w:firstLine="602"/>
              <w:rPr>
                <w:rFonts w:ascii="宋体" w:hAnsi="宋体"/>
                <w:sz w:val="24"/>
              </w:rPr>
            </w:pPr>
            <w:r>
              <w:rPr>
                <w:rFonts w:hint="eastAsia" w:ascii="宋体" w:hAnsi="宋体"/>
                <w:sz w:val="24"/>
              </w:rPr>
              <w:t>法定代表人（签字或盖章）：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授权代理人（签字或盖章）：</w:t>
            </w:r>
          </w:p>
        </w:tc>
        <w:tc>
          <w:tcPr>
            <w:tcW w:w="4450" w:type="dxa"/>
          </w:tcPr>
          <w:p>
            <w:pPr>
              <w:spacing w:line="360" w:lineRule="auto"/>
              <w:ind w:firstLine="602"/>
              <w:rPr>
                <w:rFonts w:ascii="宋体" w:hAnsi="宋体"/>
                <w:sz w:val="24"/>
              </w:rPr>
            </w:pPr>
            <w:r>
              <w:rPr>
                <w:rFonts w:hint="eastAsia" w:ascii="宋体" w:hAnsi="宋体"/>
                <w:sz w:val="24"/>
              </w:rPr>
              <w:t>授权代理人（签字或盖章）：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单位地址：</w:t>
            </w:r>
          </w:p>
        </w:tc>
        <w:tc>
          <w:tcPr>
            <w:tcW w:w="4450" w:type="dxa"/>
          </w:tcPr>
          <w:p>
            <w:pPr>
              <w:spacing w:line="360" w:lineRule="auto"/>
              <w:ind w:firstLine="602"/>
              <w:rPr>
                <w:rFonts w:ascii="宋体" w:hAnsi="宋体"/>
                <w:sz w:val="24"/>
              </w:rPr>
            </w:pPr>
            <w:r>
              <w:rPr>
                <w:rFonts w:hint="eastAsia" w:ascii="宋体" w:hAnsi="宋体"/>
                <w:sz w:val="24"/>
              </w:rPr>
              <w:t>单位地址：</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邮政编码：</w:t>
            </w:r>
          </w:p>
        </w:tc>
        <w:tc>
          <w:tcPr>
            <w:tcW w:w="4450" w:type="dxa"/>
          </w:tcPr>
          <w:p>
            <w:pPr>
              <w:spacing w:line="360" w:lineRule="auto"/>
              <w:ind w:firstLine="602"/>
              <w:rPr>
                <w:rFonts w:ascii="宋体" w:hAnsi="宋体"/>
                <w:sz w:val="24"/>
              </w:rPr>
            </w:pPr>
            <w:r>
              <w:rPr>
                <w:rFonts w:hint="eastAsia" w:ascii="宋体" w:hAnsi="宋体"/>
                <w:sz w:val="24"/>
              </w:rPr>
              <w:t>邮政编码：</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联系电话：</w:t>
            </w:r>
          </w:p>
        </w:tc>
        <w:tc>
          <w:tcPr>
            <w:tcW w:w="4450" w:type="dxa"/>
          </w:tcPr>
          <w:p>
            <w:pPr>
              <w:spacing w:line="360" w:lineRule="auto"/>
              <w:ind w:firstLine="602"/>
              <w:rPr>
                <w:rFonts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传    真：</w:t>
            </w:r>
          </w:p>
        </w:tc>
        <w:tc>
          <w:tcPr>
            <w:tcW w:w="4450" w:type="dxa"/>
          </w:tcPr>
          <w:p>
            <w:pPr>
              <w:spacing w:line="360" w:lineRule="auto"/>
              <w:ind w:firstLine="602"/>
              <w:rPr>
                <w:rFonts w:ascii="宋体" w:hAnsi="宋体"/>
                <w:sz w:val="24"/>
              </w:rPr>
            </w:pPr>
            <w:r>
              <w:rPr>
                <w:rFonts w:hint="eastAsia" w:ascii="宋体" w:hAnsi="宋体"/>
                <w:sz w:val="24"/>
              </w:rPr>
              <w:t>传    真：</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电子信箱：</w:t>
            </w:r>
          </w:p>
        </w:tc>
        <w:tc>
          <w:tcPr>
            <w:tcW w:w="4450" w:type="dxa"/>
          </w:tcPr>
          <w:p>
            <w:pPr>
              <w:spacing w:line="360" w:lineRule="auto"/>
              <w:ind w:firstLine="602"/>
              <w:rPr>
                <w:rFonts w:ascii="宋体" w:hAnsi="宋体"/>
                <w:sz w:val="24"/>
              </w:rPr>
            </w:pPr>
            <w:r>
              <w:rPr>
                <w:rFonts w:hint="eastAsia" w:ascii="宋体" w:hAnsi="宋体"/>
                <w:sz w:val="24"/>
              </w:rPr>
              <w:t>电子信箱：</w:t>
            </w:r>
          </w:p>
        </w:tc>
      </w:tr>
      <w:tr>
        <w:tblPrEx>
          <w:tblCellMar>
            <w:top w:w="0" w:type="dxa"/>
            <w:left w:w="108" w:type="dxa"/>
            <w:bottom w:w="0" w:type="dxa"/>
            <w:right w:w="108" w:type="dxa"/>
          </w:tblCellMar>
        </w:tblPrEx>
        <w:trPr>
          <w:trHeight w:val="862" w:hRule="atLeast"/>
        </w:trPr>
        <w:tc>
          <w:tcPr>
            <w:tcW w:w="5060" w:type="dxa"/>
          </w:tcPr>
          <w:p>
            <w:pPr>
              <w:spacing w:line="360" w:lineRule="auto"/>
              <w:ind w:firstLine="602"/>
              <w:rPr>
                <w:rFonts w:ascii="宋体" w:hAnsi="宋体"/>
                <w:sz w:val="24"/>
              </w:rPr>
            </w:pPr>
            <w:r>
              <w:rPr>
                <w:rFonts w:hint="eastAsia" w:ascii="宋体" w:hAnsi="宋体"/>
                <w:sz w:val="24"/>
              </w:rPr>
              <w:t>开户银行：</w:t>
            </w:r>
          </w:p>
        </w:tc>
        <w:tc>
          <w:tcPr>
            <w:tcW w:w="4450" w:type="dxa"/>
          </w:tcPr>
          <w:p>
            <w:pPr>
              <w:tabs>
                <w:tab w:val="left" w:pos="2160"/>
              </w:tabs>
              <w:spacing w:line="360" w:lineRule="auto"/>
              <w:ind w:firstLine="602"/>
              <w:rPr>
                <w:rFonts w:ascii="宋体" w:hAnsi="宋体"/>
                <w:sz w:val="24"/>
              </w:rPr>
            </w:pPr>
            <w:r>
              <w:rPr>
                <w:rFonts w:hint="eastAsia" w:ascii="宋体" w:hAnsi="宋体"/>
                <w:sz w:val="24"/>
              </w:rPr>
              <w:t>开户银行：</w:t>
            </w:r>
          </w:p>
        </w:tc>
      </w:tr>
    </w:tbl>
    <w:p>
      <w:pPr>
        <w:pStyle w:val="13"/>
        <w:spacing w:before="156" w:line="360" w:lineRule="auto"/>
        <w:ind w:firstLine="753"/>
        <w:rPr>
          <w:sz w:val="30"/>
          <w:szCs w:val="30"/>
        </w:rPr>
      </w:pPr>
    </w:p>
    <w:p>
      <w:pPr>
        <w:ind w:firstLine="602"/>
      </w:pPr>
    </w:p>
    <w:p>
      <w:pPr>
        <w:ind w:firstLine="602"/>
      </w:pPr>
    </w:p>
    <w:p>
      <w:pPr>
        <w:ind w:firstLine="602"/>
      </w:pPr>
    </w:p>
    <w:p>
      <w:pPr>
        <w:ind w:firstLine="602"/>
      </w:pPr>
    </w:p>
    <w:p>
      <w:pPr>
        <w:rPr>
          <w:rFonts w:hint="eastAsia"/>
          <w:sz w:val="30"/>
          <w:szCs w:val="30"/>
        </w:rPr>
      </w:pPr>
      <w:bookmarkStart w:id="248" w:name="_Toc5477"/>
      <w:r>
        <w:rPr>
          <w:rFonts w:hint="eastAsia"/>
          <w:sz w:val="30"/>
          <w:szCs w:val="30"/>
        </w:rPr>
        <w:br w:type="page"/>
      </w:r>
    </w:p>
    <w:p>
      <w:pPr>
        <w:pStyle w:val="13"/>
        <w:spacing w:before="156" w:line="360" w:lineRule="auto"/>
        <w:ind w:firstLine="753"/>
        <w:rPr>
          <w:sz w:val="30"/>
          <w:szCs w:val="30"/>
        </w:rPr>
      </w:pPr>
      <w:bookmarkStart w:id="249" w:name="_Toc2059"/>
      <w:bookmarkStart w:id="250" w:name="_Toc17247"/>
      <w:r>
        <w:rPr>
          <w:rFonts w:hint="eastAsia"/>
          <w:sz w:val="30"/>
          <w:szCs w:val="30"/>
        </w:rPr>
        <w:t>第一部分    通用条款</w:t>
      </w:r>
      <w:bookmarkEnd w:id="248"/>
      <w:bookmarkEnd w:id="249"/>
      <w:bookmarkEnd w:id="250"/>
    </w:p>
    <w:p>
      <w:pPr>
        <w:spacing w:line="360" w:lineRule="auto"/>
        <w:ind w:firstLine="602"/>
        <w:rPr>
          <w:rFonts w:ascii="宋体" w:hAnsi="宋体"/>
          <w:b/>
          <w:bCs/>
          <w:sz w:val="24"/>
        </w:rPr>
      </w:pPr>
      <w:r>
        <w:rPr>
          <w:rFonts w:hint="eastAsia" w:ascii="宋体" w:hAnsi="宋体"/>
          <w:b/>
          <w:bCs/>
          <w:sz w:val="24"/>
        </w:rPr>
        <w:t>一、词语定义和适用法律</w:t>
      </w:r>
    </w:p>
    <w:p>
      <w:pPr>
        <w:spacing w:line="360" w:lineRule="auto"/>
        <w:ind w:firstLine="602"/>
        <w:rPr>
          <w:rFonts w:ascii="宋体" w:hAnsi="宋体"/>
          <w:b/>
          <w:sz w:val="24"/>
        </w:rPr>
      </w:pPr>
      <w:r>
        <w:rPr>
          <w:rFonts w:hint="eastAsia" w:ascii="宋体" w:hAnsi="宋体"/>
          <w:b/>
          <w:sz w:val="24"/>
        </w:rPr>
        <w:t>1、词语定义</w:t>
      </w:r>
    </w:p>
    <w:p>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1 招标代理合同：委托人将工程建设项目招标工作委托给具有相应招标代理资质的受托人，实施招标活动签订的委托合同，</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2通用条款：是根据有关法律、行政法规和工程建设项目招标代理的需要所订立，通用于各类工程建设项目招标代理的条款。</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5受托人：指在合同中约定的，被委托人接受的具有建设项目招标代理主体资格的当事人，以及取得该当事人资格的合法继承人。</w:t>
      </w:r>
    </w:p>
    <w:p>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6 招标代理项目负责人：指受托人在专用条款中指定的负责合同履行的代表。</w:t>
      </w:r>
    </w:p>
    <w:p>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招标代理业务：委托人委托受托人代理实施工程建设项目招标的工作内容。</w:t>
      </w:r>
    </w:p>
    <w:p>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602"/>
        <w:rPr>
          <w:rFonts w:ascii="宋体" w:hAnsi="宋体"/>
          <w:b/>
          <w:sz w:val="24"/>
        </w:rPr>
      </w:pPr>
      <w:r>
        <w:rPr>
          <w:rFonts w:hint="eastAsia" w:ascii="宋体" w:hAnsi="宋体"/>
          <w:b/>
          <w:sz w:val="24"/>
        </w:rPr>
        <w:t>2、合同文件及解释顺序</w:t>
      </w:r>
    </w:p>
    <w:p>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pPr>
        <w:spacing w:line="360" w:lineRule="auto"/>
        <w:ind w:firstLine="602"/>
        <w:rPr>
          <w:rFonts w:ascii="宋体" w:hAnsi="宋体"/>
          <w:sz w:val="24"/>
        </w:rPr>
      </w:pPr>
      <w:r>
        <w:rPr>
          <w:rFonts w:hint="eastAsia" w:ascii="宋体" w:hAnsi="宋体"/>
          <w:sz w:val="24"/>
        </w:rPr>
        <w:t xml:space="preserve">   （2）本合同协议书：</w:t>
      </w:r>
    </w:p>
    <w:p>
      <w:pPr>
        <w:spacing w:line="360" w:lineRule="auto"/>
        <w:ind w:firstLine="602"/>
        <w:rPr>
          <w:rFonts w:ascii="宋体" w:hAnsi="宋体"/>
          <w:sz w:val="24"/>
        </w:rPr>
      </w:pPr>
      <w:r>
        <w:rPr>
          <w:rFonts w:hint="eastAsia" w:ascii="宋体" w:hAnsi="宋体"/>
          <w:sz w:val="24"/>
        </w:rPr>
        <w:t xml:space="preserve">   （3）本合同专用条款；</w:t>
      </w:r>
    </w:p>
    <w:p>
      <w:pPr>
        <w:spacing w:line="360" w:lineRule="auto"/>
        <w:ind w:firstLine="602"/>
        <w:rPr>
          <w:rFonts w:ascii="宋体" w:hAnsi="宋体"/>
          <w:sz w:val="24"/>
        </w:rPr>
      </w:pPr>
      <w:r>
        <w:rPr>
          <w:rFonts w:hint="eastAsia" w:ascii="宋体" w:hAnsi="宋体"/>
          <w:sz w:val="24"/>
        </w:rPr>
        <w:t xml:space="preserve">   （4）本合同通用条款。</w:t>
      </w:r>
    </w:p>
    <w:p>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602"/>
        <w:rPr>
          <w:rFonts w:ascii="宋体" w:hAnsi="宋体"/>
          <w:b/>
          <w:sz w:val="24"/>
        </w:rPr>
      </w:pPr>
      <w:r>
        <w:rPr>
          <w:rFonts w:hint="eastAsia" w:ascii="宋体" w:hAnsi="宋体"/>
          <w:b/>
          <w:sz w:val="24"/>
        </w:rPr>
        <w:t>3、语言文字和适用法律</w:t>
      </w:r>
    </w:p>
    <w:p>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委托人将委托招标代理工作的具体范围和内容在本合同专用条款中约定。</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（1）向受托人提供本工程招标代理业务应具备的相关工程前期资料（如立项批准手续规划许可、报建证等）及资金落实情况资料；</w:t>
      </w:r>
    </w:p>
    <w:p>
      <w:pPr>
        <w:spacing w:line="360" w:lineRule="auto"/>
        <w:ind w:firstLine="602"/>
        <w:rPr>
          <w:rFonts w:ascii="宋体" w:hAnsi="宋体"/>
          <w:sz w:val="24"/>
        </w:rPr>
      </w:pPr>
      <w:r>
        <w:rPr>
          <w:rFonts w:hint="eastAsia" w:ascii="宋体" w:hAnsi="宋体"/>
          <w:sz w:val="24"/>
        </w:rPr>
        <w:t xml:space="preserve">    （2）向受托人提供完成本工程招标代理业务所需的全部技术资料和图纸，需要交底的须向受托人详细交底，并对提供资料的真实性、完整性、准确性负责；</w:t>
      </w:r>
    </w:p>
    <w:p>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ascii="宋体" w:hAnsi="宋体"/>
          <w:sz w:val="24"/>
        </w:rPr>
      </w:pPr>
      <w:r>
        <w:rPr>
          <w:rFonts w:hint="eastAsia" w:ascii="宋体" w:hAnsi="宋体"/>
          <w:sz w:val="24"/>
        </w:rPr>
        <w:t>（5）根据需要，作好与第三方的协调工作；</w:t>
      </w:r>
    </w:p>
    <w:p>
      <w:pPr>
        <w:spacing w:line="360" w:lineRule="auto"/>
        <w:ind w:firstLine="480" w:firstLineChars="200"/>
        <w:rPr>
          <w:rFonts w:ascii="宋体" w:hAnsi="宋体"/>
          <w:sz w:val="24"/>
        </w:rPr>
      </w:pPr>
      <w:r>
        <w:rPr>
          <w:rFonts w:hint="eastAsia" w:ascii="宋体" w:hAnsi="宋体"/>
          <w:sz w:val="24"/>
        </w:rPr>
        <w:t>（6）按本合同专用条款的约定支付代理报酬；</w:t>
      </w:r>
    </w:p>
    <w:p>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3受托人在履行招标代理业务过程中，提出的超出招标代理范围的合理化建议，经委托人同意并取得经济效益，委托人应向受托人支付一定的经济奖励。</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1" w:firstLineChars="200"/>
        <w:rPr>
          <w:rFonts w:ascii="宋体" w:hAnsi="宋体"/>
          <w:b/>
          <w:sz w:val="24"/>
        </w:rPr>
      </w:pPr>
      <w:r>
        <w:rPr>
          <w:rFonts w:hint="eastAsia" w:ascii="宋体" w:hAnsi="宋体"/>
          <w:b/>
          <w:sz w:val="24"/>
        </w:rPr>
        <w:t>5、受托人的义务</w:t>
      </w:r>
    </w:p>
    <w:p>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ind w:firstLine="602"/>
        <w:rPr>
          <w:rFonts w:ascii="宋体" w:hAnsi="宋体"/>
          <w:b/>
          <w:sz w:val="24"/>
        </w:rPr>
      </w:pPr>
      <w:r>
        <w:rPr>
          <w:rFonts w:hint="eastAsia" w:ascii="宋体" w:hAnsi="宋体"/>
          <w:b/>
          <w:sz w:val="24"/>
        </w:rPr>
        <w:t xml:space="preserve">    6、委托人的权利</w:t>
      </w:r>
    </w:p>
    <w:p>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pPr>
        <w:spacing w:line="360" w:lineRule="auto"/>
        <w:ind w:firstLine="602"/>
        <w:rPr>
          <w:rFonts w:ascii="宋体" w:hAnsi="宋体"/>
          <w:sz w:val="24"/>
        </w:rPr>
      </w:pPr>
      <w:r>
        <w:rPr>
          <w:rFonts w:hint="eastAsia" w:ascii="宋体" w:hAnsi="宋体"/>
          <w:sz w:val="24"/>
        </w:rPr>
        <w:t xml:space="preserve">    （1）按合同约定，接收招标代理成果；</w:t>
      </w:r>
    </w:p>
    <w:p>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pPr>
        <w:spacing w:line="360" w:lineRule="auto"/>
        <w:ind w:firstLine="602"/>
        <w:rPr>
          <w:rFonts w:ascii="宋体" w:hAnsi="宋体"/>
          <w:sz w:val="24"/>
        </w:rPr>
      </w:pPr>
      <w:r>
        <w:rPr>
          <w:rFonts w:hint="eastAsia" w:ascii="宋体" w:hAnsi="宋体"/>
          <w:sz w:val="24"/>
        </w:rPr>
        <w:t xml:space="preserve">    （4）要求受托人提交招标代理业务工作报告；</w:t>
      </w:r>
    </w:p>
    <w:p>
      <w:pPr>
        <w:spacing w:line="360" w:lineRule="auto"/>
        <w:ind w:firstLine="602"/>
        <w:rPr>
          <w:rFonts w:ascii="宋体" w:hAnsi="宋体"/>
          <w:sz w:val="24"/>
        </w:rPr>
      </w:pPr>
      <w:r>
        <w:rPr>
          <w:rFonts w:hint="eastAsia" w:ascii="宋体" w:hAnsi="宋体"/>
          <w:sz w:val="24"/>
        </w:rPr>
        <w:t xml:space="preserve">    （5）与受托人协商，建议更换其不称职的招标代理从业人员；</w:t>
      </w:r>
    </w:p>
    <w:p>
      <w:pPr>
        <w:spacing w:line="360" w:lineRule="auto"/>
        <w:ind w:firstLine="602"/>
        <w:rPr>
          <w:rFonts w:ascii="宋体" w:hAnsi="宋体"/>
          <w:sz w:val="24"/>
        </w:rPr>
      </w:pPr>
      <w:r>
        <w:rPr>
          <w:rFonts w:hint="eastAsia" w:ascii="宋体" w:hAnsi="宋体"/>
          <w:sz w:val="24"/>
        </w:rPr>
        <w:t xml:space="preserve">    （6）依法选择中标人；</w:t>
      </w:r>
    </w:p>
    <w:p>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7、受托人的权利</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pPr>
        <w:spacing w:line="360" w:lineRule="auto"/>
        <w:ind w:firstLine="480" w:firstLineChars="200"/>
        <w:rPr>
          <w:rFonts w:ascii="宋体" w:hAnsi="宋体"/>
          <w:sz w:val="24"/>
        </w:rPr>
      </w:pPr>
      <w:r>
        <w:rPr>
          <w:rFonts w:hint="eastAsia" w:ascii="宋体" w:hAnsi="宋体"/>
          <w:sz w:val="24"/>
        </w:rPr>
        <w:t>（1）按合同约定收取委托代理报酬；</w:t>
      </w:r>
    </w:p>
    <w:p>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pPr>
        <w:spacing w:line="360" w:lineRule="auto"/>
        <w:ind w:firstLine="602"/>
        <w:rPr>
          <w:rFonts w:ascii="宋体" w:hAnsi="宋体"/>
          <w:sz w:val="24"/>
        </w:rPr>
      </w:pPr>
      <w:r>
        <w:rPr>
          <w:rFonts w:hint="eastAsia" w:ascii="宋体" w:hAnsi="宋体"/>
          <w:sz w:val="24"/>
        </w:rPr>
        <w:t>（7）依法享有的其他权利，双方在本合同专用条款内约定。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三、委托代理报酬与收取</w:t>
      </w:r>
    </w:p>
    <w:p>
      <w:pPr>
        <w:spacing w:line="360" w:lineRule="auto"/>
        <w:ind w:firstLine="481" w:firstLineChars="200"/>
        <w:rPr>
          <w:rFonts w:ascii="宋体" w:hAnsi="宋体"/>
          <w:b/>
          <w:sz w:val="24"/>
        </w:rPr>
      </w:pPr>
      <w:r>
        <w:rPr>
          <w:rFonts w:hint="eastAsia" w:ascii="宋体" w:hAnsi="宋体"/>
          <w:b/>
          <w:sz w:val="24"/>
        </w:rPr>
        <w:t>8、委托代理报酬</w:t>
      </w:r>
    </w:p>
    <w:p>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 xml:space="preserve">1双方按照本合同约定的招标代理业务范围，在本合同专用条款内约定委托代理报酬的计算方法、金额、币种、汇率和支付方式、支付时间。   </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2受托人对所承接的招标代理业务需要出外考察的，其外出人员数量和费用，经委托人同意后，向委托人实报实销。</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3在招标代理业务范围内所发生的费用（如：评标会务费、评标专家的差旅费、劳务费、公证费等），由委托人与受托人在补充条款中约定。</w:t>
      </w:r>
    </w:p>
    <w:p>
      <w:pPr>
        <w:spacing w:line="360" w:lineRule="auto"/>
        <w:ind w:firstLine="602"/>
        <w:rPr>
          <w:rFonts w:ascii="宋体" w:hAnsi="宋体"/>
          <w:b/>
          <w:sz w:val="24"/>
        </w:rPr>
      </w:pPr>
      <w:r>
        <w:rPr>
          <w:rFonts w:hint="eastAsia" w:ascii="宋体" w:hAnsi="宋体"/>
          <w:b/>
          <w:sz w:val="24"/>
        </w:rPr>
        <w:t xml:space="preserve">  9、委托代理报酬的收取</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2受托人完成委托人委托的招标代理工作范围以外的工作，为附加服务项目，应收取的报酬由双方协商，签订补充协议。</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pPr>
        <w:spacing w:line="360" w:lineRule="auto"/>
        <w:ind w:firstLine="602"/>
        <w:rPr>
          <w:rFonts w:ascii="宋体" w:hAnsi="宋体"/>
          <w:b/>
          <w:sz w:val="24"/>
        </w:rPr>
      </w:pPr>
      <w:r>
        <w:rPr>
          <w:rFonts w:hint="eastAsia" w:ascii="宋体" w:hAnsi="宋体"/>
          <w:b/>
          <w:sz w:val="24"/>
        </w:rPr>
        <w:t xml:space="preserve">      四、违约、索赔和争议</w:t>
      </w:r>
    </w:p>
    <w:p>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602"/>
        <w:rPr>
          <w:rFonts w:ascii="宋体" w:hAnsi="宋体"/>
          <w:b/>
          <w:sz w:val="24"/>
        </w:rPr>
      </w:pPr>
      <w:r>
        <w:rPr>
          <w:rFonts w:hint="eastAsia" w:ascii="宋体" w:hAnsi="宋体"/>
          <w:b/>
          <w:sz w:val="24"/>
        </w:rPr>
        <w:t>11、索赔</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pPr>
        <w:spacing w:line="360" w:lineRule="auto"/>
        <w:ind w:firstLine="602"/>
        <w:rPr>
          <w:rFonts w:ascii="宋体" w:hAnsi="宋体"/>
          <w:b/>
          <w:sz w:val="24"/>
        </w:rPr>
      </w:pPr>
      <w:r>
        <w:rPr>
          <w:rFonts w:hint="eastAsia" w:ascii="宋体" w:hAnsi="宋体"/>
          <w:b/>
          <w:sz w:val="24"/>
        </w:rPr>
        <w:t xml:space="preserve">    12、争议</w:t>
      </w:r>
    </w:p>
    <w:p>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602"/>
        <w:rPr>
          <w:rFonts w:ascii="宋体" w:hAnsi="宋体"/>
          <w:sz w:val="24"/>
        </w:rPr>
      </w:pPr>
      <w:r>
        <w:rPr>
          <w:rFonts w:hint="eastAsia" w:ascii="宋体" w:hAnsi="宋体"/>
          <w:sz w:val="24"/>
        </w:rPr>
        <w:t>（1）双方达成仲裁协议，向约定的仲裁委员会申请仲裁；</w:t>
      </w:r>
    </w:p>
    <w:p>
      <w:pPr>
        <w:spacing w:line="360" w:lineRule="auto"/>
        <w:ind w:left="-315" w:firstLine="602"/>
        <w:rPr>
          <w:rFonts w:ascii="宋体" w:hAnsi="宋体"/>
          <w:sz w:val="24"/>
        </w:rPr>
      </w:pPr>
      <w:r>
        <w:rPr>
          <w:rFonts w:hint="eastAsia" w:ascii="宋体" w:hAnsi="宋体"/>
          <w:sz w:val="24"/>
        </w:rPr>
        <w:t>（2）向有管辖权的人民法院起诉。</w:t>
      </w:r>
    </w:p>
    <w:p>
      <w:pPr>
        <w:spacing w:line="360" w:lineRule="auto"/>
        <w:ind w:firstLine="481" w:firstLineChars="200"/>
        <w:rPr>
          <w:rFonts w:ascii="宋体" w:hAnsi="宋体"/>
          <w:b/>
          <w:bCs/>
          <w:sz w:val="24"/>
        </w:rPr>
      </w:pPr>
      <w:r>
        <w:rPr>
          <w:rFonts w:hint="eastAsia" w:ascii="宋体" w:hAnsi="宋体"/>
          <w:b/>
          <w:bCs/>
          <w:sz w:val="24"/>
        </w:rPr>
        <w:t>五、合同变更、生效与终止</w:t>
      </w:r>
    </w:p>
    <w:p>
      <w:pPr>
        <w:spacing w:line="360" w:lineRule="auto"/>
        <w:ind w:firstLine="472" w:firstLineChars="196"/>
        <w:rPr>
          <w:rFonts w:ascii="宋体" w:hAnsi="宋体"/>
          <w:b/>
          <w:sz w:val="24"/>
        </w:rPr>
      </w:pPr>
      <w:r>
        <w:rPr>
          <w:rFonts w:hint="eastAsia" w:ascii="宋体" w:hAnsi="宋体"/>
          <w:b/>
          <w:sz w:val="24"/>
        </w:rPr>
        <w:t>13、合同变更或解除</w:t>
      </w:r>
    </w:p>
    <w:p>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1本合同签订后，由于委托人原因，使得受托人不能持续履行招标代理业务时，委托人应及时通知受托人暂停招标代理业务。当需要恢复招标代理业务时，应当在正式恢复前7天通知受托人。</w:t>
      </w:r>
    </w:p>
    <w:p>
      <w:pPr>
        <w:adjustRightInd w:val="0"/>
        <w:spacing w:line="360" w:lineRule="auto"/>
        <w:ind w:firstLine="602"/>
        <w:rPr>
          <w:rFonts w:ascii="宋体" w:hAnsi="宋体"/>
          <w:sz w:val="24"/>
          <w:lang w:val="zh-CN"/>
        </w:rPr>
      </w:pPr>
      <w:r>
        <w:rPr>
          <w:rFonts w:hint="eastAsia" w:ascii="宋体" w:hAnsi="宋体"/>
          <w:sz w:val="24"/>
        </w:rPr>
        <w:t>若暂停时间超过六个月，当需要恢复招标代理业务时，委托人应</w:t>
      </w:r>
      <w:r>
        <w:rPr>
          <w:rFonts w:hint="eastAsia" w:ascii="宋体" w:hAnsi="宋体"/>
          <w:sz w:val="24"/>
          <w:lang w:val="zh-CN"/>
        </w:rPr>
        <w:t>支付重新启动该招标代理工作一定的补偿费用，具体计算方式经双方协商以补充协议确定。</w:t>
      </w:r>
    </w:p>
    <w:p>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pPr>
        <w:adjustRightInd w:val="0"/>
        <w:spacing w:line="360" w:lineRule="auto"/>
        <w:ind w:firstLine="602"/>
        <w:rPr>
          <w:rFonts w:ascii="宋体" w:hAnsi="宋体"/>
          <w:b/>
          <w:sz w:val="24"/>
          <w:lang w:val="zh-CN"/>
        </w:rPr>
      </w:pPr>
      <w:r>
        <w:rPr>
          <w:rFonts w:hint="eastAsia" w:ascii="宋体" w:hAnsi="宋体"/>
          <w:b/>
          <w:sz w:val="24"/>
          <w:lang w:val="zh-CN"/>
        </w:rPr>
        <w:t>14、合同生效</w:t>
      </w:r>
    </w:p>
    <w:p>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pPr>
        <w:adjustRightInd w:val="0"/>
        <w:spacing w:line="360" w:lineRule="auto"/>
        <w:ind w:firstLine="602"/>
        <w:rPr>
          <w:rFonts w:ascii="宋体" w:hAnsi="宋体"/>
          <w:b/>
          <w:sz w:val="24"/>
          <w:lang w:val="zh-CN"/>
        </w:rPr>
      </w:pPr>
      <w:r>
        <w:rPr>
          <w:rFonts w:hint="eastAsia" w:ascii="宋体" w:hAnsi="宋体"/>
          <w:b/>
          <w:sz w:val="24"/>
          <w:lang w:val="zh-CN"/>
        </w:rPr>
        <w:t>15、合同终止</w:t>
      </w:r>
    </w:p>
    <w:p>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受托人完成委托人全部委托招标代理业务，且委托人或中标人支付了全部代理报酬（含附加服务的报酬）后本合同终止。</w:t>
      </w:r>
    </w:p>
    <w:p>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b/>
          <w:sz w:val="24"/>
          <w:lang w:val="zh-CN"/>
        </w:rPr>
      </w:pPr>
      <w:r>
        <w:rPr>
          <w:rFonts w:hint="eastAsia" w:ascii="宋体" w:hAnsi="宋体"/>
          <w:b/>
          <w:sz w:val="24"/>
          <w:lang w:val="zh-CN"/>
        </w:rPr>
        <w:t>16、合同的份数</w:t>
      </w:r>
    </w:p>
    <w:p>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pPr>
        <w:adjustRightInd w:val="0"/>
        <w:spacing w:line="360" w:lineRule="auto"/>
        <w:ind w:firstLine="602"/>
        <w:rPr>
          <w:rFonts w:ascii="宋体" w:hAnsi="宋体"/>
          <w:b/>
          <w:sz w:val="24"/>
          <w:lang w:val="zh-CN"/>
        </w:rPr>
      </w:pPr>
      <w:r>
        <w:rPr>
          <w:rFonts w:hint="eastAsia" w:ascii="宋体" w:hAnsi="宋体"/>
          <w:b/>
          <w:sz w:val="24"/>
          <w:lang w:val="zh-CN"/>
        </w:rPr>
        <w:t>17、补充条款</w:t>
      </w:r>
    </w:p>
    <w:p>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ind w:firstLine="602"/>
        <w:rPr>
          <w:sz w:val="24"/>
          <w:lang w:val="zh-CN"/>
        </w:rPr>
      </w:pPr>
      <w:r>
        <w:rPr>
          <w:rFonts w:hint="eastAsia"/>
          <w:sz w:val="24"/>
          <w:lang w:val="zh-CN"/>
        </w:rPr>
        <w:br w:type="page"/>
      </w:r>
    </w:p>
    <w:p>
      <w:pPr>
        <w:pStyle w:val="13"/>
        <w:spacing w:before="156" w:line="360" w:lineRule="auto"/>
        <w:ind w:firstLine="602"/>
        <w:rPr>
          <w:sz w:val="24"/>
          <w:szCs w:val="24"/>
          <w:lang w:val="zh-CN"/>
        </w:rPr>
      </w:pPr>
      <w:bookmarkStart w:id="251" w:name="_Toc1192"/>
      <w:bookmarkStart w:id="252" w:name="_Toc3759"/>
      <w:bookmarkStart w:id="253" w:name="_Toc4902"/>
      <w:r>
        <w:rPr>
          <w:rFonts w:hint="eastAsia"/>
          <w:sz w:val="24"/>
          <w:szCs w:val="24"/>
          <w:lang w:val="zh-CN"/>
        </w:rPr>
        <w:t>第二部分   专用条款</w:t>
      </w:r>
      <w:bookmarkEnd w:id="251"/>
      <w:bookmarkEnd w:id="252"/>
      <w:bookmarkEnd w:id="253"/>
    </w:p>
    <w:p>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pPr>
        <w:adjustRightInd w:val="0"/>
        <w:spacing w:line="360" w:lineRule="auto"/>
        <w:ind w:firstLine="602"/>
        <w:rPr>
          <w:rFonts w:ascii="宋体" w:hAnsi="宋体"/>
          <w:sz w:val="24"/>
          <w:lang w:val="zh-CN"/>
        </w:rPr>
      </w:pPr>
      <w:r>
        <w:rPr>
          <w:rFonts w:hint="eastAsia" w:ascii="宋体" w:hAnsi="宋体"/>
          <w:sz w:val="24"/>
          <w:lang w:val="zh-CN"/>
        </w:rPr>
        <w:t>4.1 委托招标代理工作的具体范围和内容：</w:t>
      </w:r>
      <w:r>
        <w:rPr>
          <w:rFonts w:hint="eastAsia" w:ascii="宋体" w:hAnsi="宋体"/>
          <w:b/>
          <w:sz w:val="24"/>
          <w:u w:val="single"/>
          <w:lang w:val="zh-CN"/>
        </w:rPr>
        <w:t>执行合同“通用条款”第4条之相关规定。</w:t>
      </w:r>
    </w:p>
    <w:p>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招标代理业务应具备的相关工作前期资料（如立项批准手续、规划许可、报建证等）及资金落实情况资料的时间：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招标代理项目负责人情况：姓名：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（3）承担招标代理业务过程中，应由受托人支付的费用：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提供相关的咨询及招标代理过程中的协助工作，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pPr>
        <w:adjustRightInd w:val="0"/>
        <w:spacing w:line="360" w:lineRule="auto"/>
        <w:ind w:firstLine="481"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pPr>
        <w:adjustRightInd w:val="0"/>
        <w:spacing w:line="360" w:lineRule="auto"/>
        <w:ind w:firstLine="602"/>
        <w:rPr>
          <w:rFonts w:ascii="宋体" w:hAnsi="宋体"/>
          <w:sz w:val="24"/>
          <w:lang w:val="zh-CN"/>
        </w:rPr>
      </w:pPr>
      <w:r>
        <w:rPr>
          <w:rFonts w:hint="eastAsia" w:ascii="宋体" w:hAnsi="宋体"/>
          <w:sz w:val="24"/>
          <w:lang w:val="zh-CN"/>
        </w:rPr>
        <w:t>10、违约</w:t>
      </w:r>
    </w:p>
    <w:p>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pPr>
        <w:adjustRightInd w:val="0"/>
        <w:spacing w:line="360" w:lineRule="auto"/>
        <w:ind w:firstLine="602"/>
        <w:rPr>
          <w:rFonts w:ascii="宋体" w:hAnsi="宋体"/>
          <w:sz w:val="24"/>
          <w:lang w:val="zh-CN"/>
        </w:rPr>
      </w:pPr>
      <w:r>
        <w:rPr>
          <w:rFonts w:hint="eastAsia" w:ascii="宋体" w:hAnsi="宋体"/>
          <w:sz w:val="24"/>
          <w:lang w:val="zh-CN"/>
        </w:rPr>
        <w:t>12、争议</w:t>
      </w:r>
    </w:p>
    <w:p>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sz w:val="24"/>
          <w:lang w:val="zh-CN"/>
        </w:rPr>
      </w:pPr>
      <w:r>
        <w:rPr>
          <w:rFonts w:hint="eastAsia" w:ascii="宋体" w:hAnsi="宋体"/>
          <w:sz w:val="24"/>
          <w:lang w:val="zh-CN"/>
        </w:rPr>
        <w:t>16、合同份数</w:t>
      </w:r>
    </w:p>
    <w:p>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rPr>
        <w:t xml:space="preserve">陆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w:t>
      </w:r>
    </w:p>
    <w:p>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254" w:name="_Toc10879"/>
      <w:bookmarkStart w:id="255" w:name="_Toc287988978"/>
      <w:bookmarkStart w:id="256" w:name="_Toc287988810"/>
      <w:bookmarkStart w:id="257" w:name="_Toc12242"/>
      <w:bookmarkStart w:id="258" w:name="_Toc22119"/>
      <w:bookmarkStart w:id="259"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254"/>
      <w:bookmarkEnd w:id="255"/>
      <w:bookmarkEnd w:id="256"/>
      <w:bookmarkEnd w:id="257"/>
      <w:bookmarkEnd w:id="258"/>
    </w:p>
    <w:p>
      <w:pPr>
        <w:pStyle w:val="3"/>
        <w:spacing w:line="360" w:lineRule="auto"/>
        <w:ind w:firstLine="703"/>
        <w:jc w:val="center"/>
        <w:rPr>
          <w:rFonts w:ascii="宋体" w:hAnsi="宋体" w:eastAsia="宋体"/>
          <w:sz w:val="28"/>
          <w:szCs w:val="28"/>
        </w:rPr>
      </w:pPr>
      <w:bookmarkStart w:id="260" w:name="_Toc140100179"/>
      <w:bookmarkStart w:id="261" w:name="_Toc7492"/>
      <w:bookmarkStart w:id="262" w:name="_Toc2471"/>
      <w:bookmarkStart w:id="263" w:name="_Toc4197"/>
      <w:r>
        <w:rPr>
          <w:rFonts w:ascii="宋体" w:hAnsi="宋体" w:eastAsia="宋体"/>
          <w:sz w:val="28"/>
          <w:szCs w:val="28"/>
        </w:rPr>
        <w:t>招标代理廉政合同</w:t>
      </w:r>
      <w:bookmarkEnd w:id="259"/>
      <w:bookmarkEnd w:id="260"/>
      <w:bookmarkEnd w:id="261"/>
      <w:bookmarkEnd w:id="262"/>
      <w:bookmarkEnd w:id="263"/>
    </w:p>
    <w:tbl>
      <w:tblPr>
        <w:tblStyle w:val="14"/>
        <w:tblW w:w="9287" w:type="dxa"/>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招标代理单位（乙方）：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项目地点：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中建立工程承包和工程廉政“双合同”机制的通知》精神，坚决执行《反不正当竞争法》、《建筑法》、《招标投标法》等有关法律法规和政策，为确保</w:t>
      </w:r>
      <w:bookmarkStart w:id="264" w:name="_GoBack"/>
      <w:bookmarkEnd w:id="264"/>
      <w:r>
        <w:rPr>
          <w:rFonts w:ascii="宋体" w:hAnsi="宋体"/>
          <w:sz w:val="24"/>
        </w:rPr>
        <w:t>招投标过程中的公平、公正、公开的原则、争优创优、干部廉洁，甲乙双方签订廉政合同。</w:t>
      </w:r>
    </w:p>
    <w:p>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二、甲方工作人员的配偶、子女，不参与招投标活动；不得向招标代理方推荐投标单位。</w:t>
      </w:r>
    </w:p>
    <w:p>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五、乙方在项目建设中贿赂甲方人员、中介方人员，被纪检监察机关或司法机关立案查处的，甲方有权中止工程建设合同。由此给甲方造成的损失以及发生的一切费用均由乙方承担。可在招标代理服务费中扣除。</w:t>
      </w:r>
    </w:p>
    <w:p>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pPr>
        <w:spacing w:beforeLines="50" w:line="360" w:lineRule="auto"/>
        <w:ind w:right="21" w:rightChars="10" w:firstLine="602"/>
        <w:rPr>
          <w:rFonts w:ascii="宋体" w:hAnsi="宋体"/>
          <w:sz w:val="24"/>
        </w:rPr>
      </w:pPr>
      <w:r>
        <w:rPr>
          <w:rFonts w:ascii="宋体" w:hAnsi="宋体"/>
          <w:sz w:val="24"/>
        </w:rPr>
        <w:t>招标人（甲方）：（公章）　　　　　　  　　招标代理单位（乙方）：（公章）</w:t>
      </w:r>
    </w:p>
    <w:p>
      <w:pPr>
        <w:spacing w:beforeLines="50" w:line="360" w:lineRule="auto"/>
        <w:ind w:right="21" w:rightChars="10" w:firstLine="602"/>
        <w:rPr>
          <w:rFonts w:ascii="宋体" w:hAnsi="宋体"/>
          <w:sz w:val="24"/>
        </w:rPr>
      </w:pPr>
      <w:r>
        <w:rPr>
          <w:rFonts w:ascii="宋体" w:hAnsi="宋体"/>
          <w:sz w:val="24"/>
        </w:rPr>
        <w:t>地址：　　　　　　　　　　　　　　　　　　地址：</w:t>
      </w:r>
    </w:p>
    <w:p>
      <w:pPr>
        <w:spacing w:beforeLines="50" w:line="360" w:lineRule="auto"/>
        <w:ind w:right="21" w:rightChars="10" w:firstLine="602"/>
        <w:rPr>
          <w:rFonts w:ascii="宋体" w:hAnsi="宋体"/>
          <w:sz w:val="24"/>
        </w:rPr>
      </w:pPr>
      <w:r>
        <w:rPr>
          <w:rFonts w:ascii="宋体" w:hAnsi="宋体"/>
          <w:sz w:val="24"/>
        </w:rPr>
        <w:t>法定代表人：　　　　　　　　　            法定代表人：</w:t>
      </w:r>
    </w:p>
    <w:p>
      <w:pPr>
        <w:spacing w:beforeLines="50" w:line="360" w:lineRule="auto"/>
        <w:ind w:right="21" w:rightChars="10" w:firstLine="602"/>
        <w:rPr>
          <w:rFonts w:ascii="宋体" w:hAnsi="宋体"/>
          <w:sz w:val="24"/>
        </w:rPr>
      </w:pPr>
      <w:r>
        <w:rPr>
          <w:rFonts w:ascii="宋体" w:hAnsi="宋体"/>
          <w:sz w:val="24"/>
        </w:rPr>
        <w:t>联系电话：　　　　　　　　　　　　　　　　联系电话：</w:t>
      </w:r>
    </w:p>
    <w:p>
      <w:pPr>
        <w:spacing w:beforeLines="50" w:line="360" w:lineRule="auto"/>
        <w:ind w:right="21" w:rightChars="10" w:firstLine="602"/>
        <w:rPr>
          <w:rFonts w:ascii="宋体" w:hAnsi="宋体"/>
          <w:sz w:val="24"/>
        </w:rPr>
      </w:pPr>
      <w:r>
        <w:rPr>
          <w:rFonts w:ascii="宋体" w:hAnsi="宋体"/>
          <w:sz w:val="24"/>
        </w:rPr>
        <w:t>本单位纪检监察部门：（公章）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02"/>
        <w:rPr>
          <w:rFonts w:ascii="宋体" w:hAnsi="宋体"/>
          <w:sz w:val="24"/>
        </w:rPr>
      </w:pPr>
      <w:r>
        <w:rPr>
          <w:rFonts w:ascii="宋体" w:hAnsi="宋体"/>
          <w:sz w:val="24"/>
        </w:rPr>
        <w:t>纪检监察机关、部门：（公章）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w:pict>
        <v:shape id="自选图形 7" o:spid="_x0000_s1026" o:spt="32" type="#_x0000_t32" style="position:absolute;left:0pt;margin-left:-3.7pt;margin-top:-0.2pt;height:0.5pt;width:481.9pt;z-index:251659264;mso-width-relative:page;mso-height-relative:page;" filled="f"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path arrowok="t"/>
          <v:fill on="f" focussize="0,0"/>
          <v:stroke/>
          <v:imagedata o:title=""/>
          <o:lock v:ext="edit"/>
        </v:shape>
      </w:pict>
    </w:r>
    <w:r>
      <w:rPr>
        <w:rFonts w:hint="eastAsia" w:ascii="Times New Roman" w:hAnsi="Times New Roman"/>
        <w:kern w:val="2"/>
        <w:sz w:val="11"/>
        <w:szCs w:val="11"/>
        <w:lang w:eastAsia="zh-CN"/>
      </w:rPr>
      <w:t>昆明市呈贡区水务局XXXXXX项目选取招标代理机构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hdrShapeDefaults>
    <o:shapelayout v:ext="edit">
      <o:idmap v:ext="edit" data="1"/>
      <o:rules v:ext="edit">
        <o:r id="V:Rule1" type="connector" idref="#自选图形 7"/>
      </o:rules>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1B9EA12E"/>
    <w:rsid w:val="1C056809"/>
    <w:rsid w:val="2D4B2E4E"/>
    <w:rsid w:val="3E175D99"/>
    <w:rsid w:val="48B6685C"/>
    <w:rsid w:val="4C567D5D"/>
    <w:rsid w:val="4D110525"/>
    <w:rsid w:val="4DA04B0D"/>
    <w:rsid w:val="4E807407"/>
    <w:rsid w:val="507B79F9"/>
    <w:rsid w:val="508C6844"/>
    <w:rsid w:val="52B02F6E"/>
    <w:rsid w:val="53902026"/>
    <w:rsid w:val="5A6B1B80"/>
    <w:rsid w:val="5BA12246"/>
    <w:rsid w:val="734437E1"/>
    <w:rsid w:val="77FB61C6"/>
    <w:rsid w:val="7DFAB986"/>
    <w:rsid w:val="BD57E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20265</Words>
  <Characters>21082</Characters>
  <Lines>199</Lines>
  <Paragraphs>56</Paragraphs>
  <TotalTime>2</TotalTime>
  <ScaleCrop>false</ScaleCrop>
  <LinksUpToDate>false</LinksUpToDate>
  <CharactersWithSpaces>23002</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2024-08-02T01:28:00Z</dcterms:created>
  <dc:creator>丽婷 张</dc:creator>
  <cp:lastModifiedBy>kmcg</cp:lastModifiedBy>
  <dcterms:modified xsi:type="dcterms:W3CDTF">2025-04-30T10:09:26Z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78088D458E7E4C2DA6A858B7774FD792</vt:lpwstr>
  </property>
  <property fmtid="{D5CDD505-2E9C-101B-9397-08002B2CF9AE}" pid="4" name="KSOTemplateDocerSaveRecord">
    <vt:lpwstr>eyJoZGlkIjoiNzRiYWQxYzEwMzI3NmNmZTg3NTc1Y2VlYjMxOTExOWQiLCJ1c2VySWQiOiIyNjA0MzE4ODAifQ==</vt:lpwstr>
  </property>
</Properties>
</file>