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ascii="黑体" w:eastAsia="黑体"/>
          <w:szCs w:val="32"/>
        </w:rPr>
      </w:pPr>
      <w:r>
        <w:rPr>
          <w:rFonts w:hint="eastAsia" w:ascii="黑体" w:eastAsia="黑体"/>
          <w:szCs w:val="32"/>
        </w:rPr>
        <w:t xml:space="preserve">附件</w:t>
      </w:r>
      <w:r>
        <w:rPr>
          <w:rFonts w:hint="eastAsia" w:ascii="黑体" w:eastAsia="黑体"/>
          <w:szCs w:val="32"/>
          <w:lang w:val="en-US" w:eastAsia="zh-CN"/>
        </w:rPr>
        <w:t xml:space="preserve">4-2</w:t>
      </w:r>
      <w:r>
        <w:rPr>
          <w:rFonts w:ascii="黑体" w:eastAsia="黑体"/>
          <w:szCs w:val="32"/>
        </w:rPr>
        <w:t xml:space="preserve">:</w:t>
      </w:r>
      <w:r>
        <w:rPr>
          <w:rFonts w:ascii="黑体" w:eastAsia="黑体"/>
          <w:szCs w:val="32"/>
        </w:rPr>
      </w:r>
    </w:p>
    <w:p>
      <w:pPr>
        <w:pBdr/>
        <w:spacing/>
        <w:ind/>
        <w:rPr>
          <w:rFonts w:ascii="黑体" w:eastAsia="黑体"/>
          <w:szCs w:val="32"/>
        </w:rPr>
      </w:pPr>
      <w:r>
        <w:rPr>
          <w:rFonts w:ascii="黑体" w:eastAsia="黑体"/>
          <w:szCs w:val="32"/>
        </w:rPr>
      </w:r>
      <w:r>
        <w:rPr>
          <w:rFonts w:ascii="黑体" w:eastAsia="黑体"/>
          <w:szCs w:val="32"/>
        </w:rPr>
      </w:r>
    </w:p>
    <w:p>
      <w:pPr>
        <w:pBdr/>
        <w:spacing w:line="600" w:lineRule="exact"/>
        <w:ind/>
        <w:jc w:val="center"/>
        <w:rPr>
          <w:rFonts w:ascii="方正小标宋_GBK" w:eastAsia="方正小标宋_GBK"/>
          <w:sz w:val="36"/>
          <w:szCs w:val="36"/>
        </w:rPr>
      </w:pPr>
      <w:r>
        <w:rPr>
          <w:rFonts w:hint="eastAsia" w:ascii="方正小标宋_GBK" w:eastAsia="方正小标宋_GBK"/>
          <w:sz w:val="36"/>
          <w:szCs w:val="36"/>
        </w:rPr>
        <w:t xml:space="preserve">项目支出绩效报告</w:t>
      </w:r>
      <w:r>
        <w:rPr>
          <w:rFonts w:ascii="方正小标宋_GBK" w:eastAsia="方正小标宋_GBK"/>
          <w:sz w:val="36"/>
          <w:szCs w:val="36"/>
        </w:rPr>
      </w:r>
    </w:p>
    <w:p>
      <w:pPr>
        <w:pBdr/>
        <w:spacing w:line="600" w:lineRule="exact"/>
        <w:ind w:firstLine="594"/>
        <w:rPr>
          <w:rFonts w:ascii="仿宋_GB2312"/>
          <w:b/>
          <w:szCs w:val="32"/>
        </w:rPr>
      </w:pPr>
      <w:r>
        <w:rPr>
          <w:rFonts w:ascii="仿宋_GB2312"/>
          <w:b/>
          <w:szCs w:val="32"/>
        </w:rPr>
      </w:r>
      <w:r>
        <w:rPr>
          <w:rFonts w:ascii="仿宋_GB2312"/>
          <w:b/>
          <w:szCs w:val="32"/>
        </w:rPr>
      </w:r>
    </w:p>
    <w:p>
      <w:pPr>
        <w:pBdr/>
        <w:spacing/>
        <w:ind w:firstLine="594"/>
        <w:rPr>
          <w:rFonts w:ascii="黑体" w:eastAsia="黑体"/>
          <w:szCs w:val="32"/>
        </w:rPr>
      </w:pPr>
      <w:r>
        <w:rPr>
          <w:rFonts w:hint="eastAsia" w:ascii="黑体" w:eastAsia="黑体"/>
          <w:szCs w:val="32"/>
        </w:rPr>
        <w:t xml:space="preserve">一、项目基本情况</w:t>
      </w:r>
      <w:r>
        <w:rPr>
          <w:rFonts w:ascii="黑体" w:eastAsia="黑体"/>
          <w:szCs w:val="32"/>
        </w:rPr>
      </w:r>
    </w:p>
    <w:p>
      <w:pPr>
        <w:pBdr/>
        <w:spacing/>
        <w:ind w:firstLine="594"/>
        <w:rPr>
          <w:rFonts w:hint="eastAsia" w:ascii="仿宋_GB2312"/>
          <w:szCs w:val="32"/>
        </w:rPr>
      </w:pPr>
      <w:r>
        <w:rPr>
          <w:rFonts w:hint="eastAsia" w:ascii="仿宋_GB2312"/>
          <w:szCs w:val="32"/>
        </w:rPr>
        <w:t xml:space="preserve">（一）项目基本情况简介，包括项目基本性质、用途和主要内容、涉及范围等。</w:t>
      </w:r>
      <w:r>
        <w:rPr>
          <w:rFonts w:hint="eastAsia" w:ascii="仿宋_GB2312"/>
          <w:szCs w:val="32"/>
        </w:rPr>
      </w:r>
    </w:p>
    <w:p>
      <w:pPr>
        <w:pBdr/>
        <w:spacing/>
        <w:ind w:firstLine="594"/>
        <w:rPr>
          <w:rFonts w:hint="eastAsia" w:ascii="仿宋_GB2312"/>
          <w:szCs w:val="32"/>
          <w:lang w:val="en-US" w:eastAsia="zh-CN"/>
        </w:rPr>
      </w:pPr>
      <w:r>
        <w:rPr>
          <w:rFonts w:hint="eastAsia" w:ascii="仿宋_GB2312"/>
          <w:szCs w:val="32"/>
          <w:lang w:val="en-US" w:eastAsia="zh-CN"/>
        </w:rPr>
        <w:t xml:space="preserve">2020的财政一般公共预算项目经费2715025元，预算项目执行2593910.3元，包含 25个项目，重点项目开展如下：</w:t>
      </w:r>
      <w:r>
        <w:rPr>
          <w:rFonts w:hint="eastAsia" w:ascii="仿宋_GB2312"/>
          <w:szCs w:val="32"/>
          <w:lang w:val="en-US" w:eastAsia="zh-CN"/>
        </w:rPr>
      </w:r>
    </w:p>
    <w:p>
      <w:pPr>
        <w:numPr>
          <w:ilvl w:val="0"/>
          <w:numId w:val="1"/>
        </w:numPr>
        <w:pBdr/>
        <w:spacing/>
        <w:ind w:firstLine="594"/>
        <w:rPr>
          <w:rFonts w:hint="eastAsia" w:ascii="仿宋_GB2312"/>
          <w:szCs w:val="32"/>
          <w:lang w:val="en-US" w:eastAsia="zh-CN"/>
        </w:rPr>
      </w:pPr>
      <w:r>
        <w:rPr>
          <w:rFonts w:hint="eastAsia" w:ascii="仿宋_GB2312"/>
          <w:szCs w:val="32"/>
          <w:lang w:val="en-US" w:eastAsia="zh-CN"/>
        </w:rPr>
        <w:t xml:space="preserve">召开区人代会会议经费预算423360元：实际执行423360元，后续追加三届人大四次会议会务保障费210000元，10月调减10058元，实际执行199942元，追加主要原原因在于疫情防控，增加体温检测设备及酒店集中隔离等经费，保障人大会安全有效的开展。此项经费主要资金使用为每年一度为期4天的人大会会议筹备，开展所有开销费用。</w:t>
      </w:r>
      <w:r>
        <w:rPr>
          <w:rFonts w:hint="eastAsia" w:ascii="仿宋_GB2312"/>
          <w:szCs w:val="32"/>
          <w:lang w:val="en-US" w:eastAsia="zh-CN"/>
        </w:rPr>
      </w:r>
    </w:p>
    <w:p>
      <w:pPr>
        <w:numPr>
          <w:ilvl w:val="0"/>
          <w:numId w:val="1"/>
        </w:numPr>
        <w:pBdr/>
        <w:spacing/>
        <w:ind w:firstLine="594"/>
        <w:rPr>
          <w:rFonts w:hint="default" w:ascii="仿宋_GB2312"/>
          <w:szCs w:val="32"/>
          <w:lang w:val="en-US" w:eastAsia="zh-CN"/>
        </w:rPr>
      </w:pPr>
      <w:r>
        <w:rPr>
          <w:rFonts w:hint="default" w:ascii="仿宋_GB2312"/>
          <w:szCs w:val="32"/>
          <w:lang w:val="en-US" w:eastAsia="zh-CN"/>
        </w:rPr>
        <w:t xml:space="preserve">人大常委会会议费</w:t>
      </w:r>
      <w:r>
        <w:rPr>
          <w:rFonts w:hint="eastAsia" w:ascii="仿宋_GB2312"/>
          <w:szCs w:val="32"/>
          <w:lang w:val="en-US" w:eastAsia="zh-CN"/>
        </w:rPr>
        <w:t xml:space="preserve">预算87120元，实际执行：43997元，10月调减经费40000元，年终清零3123元，差异原因主要由于疫情，常委会1-2季度会议减少。此项费用主要用于人大代表每个季度开展一次常委会会议经费。</w:t>
      </w:r>
      <w:r>
        <w:rPr>
          <w:rFonts w:hint="default" w:ascii="仿宋_GB2312"/>
          <w:szCs w:val="32"/>
          <w:lang w:val="en-US" w:eastAsia="zh-CN"/>
        </w:rPr>
      </w:r>
    </w:p>
    <w:p>
      <w:pPr>
        <w:numPr>
          <w:ilvl w:val="0"/>
          <w:numId w:val="1"/>
        </w:numPr>
        <w:pBdr/>
        <w:spacing/>
        <w:ind w:firstLine="594" w:left="0"/>
        <w:rPr>
          <w:rFonts w:hint="eastAsia" w:ascii="仿宋_GB2312"/>
          <w:szCs w:val="32"/>
          <w:lang w:val="en-US" w:eastAsia="zh-CN"/>
        </w:rPr>
      </w:pPr>
      <w:r>
        <w:rPr>
          <w:rFonts w:hint="eastAsia" w:ascii="仿宋_GB2312"/>
          <w:szCs w:val="32"/>
          <w:lang w:val="en-US" w:eastAsia="zh-CN"/>
        </w:rPr>
        <w:t xml:space="preserve">组织区人大代表视察经费预算25000元，实际执行24010元，年终清零990元，主要用于组织区人大代表对呈贡区群众关心的热点难点工作进行视察、检查、调研等。</w:t>
      </w:r>
      <w:r>
        <w:rPr>
          <w:rFonts w:hint="eastAsia"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区人大代表活动费</w:t>
      </w:r>
      <w:r>
        <w:rPr>
          <w:rFonts w:hint="eastAsia" w:ascii="仿宋_GB2312"/>
          <w:szCs w:val="32"/>
          <w:lang w:val="en-US" w:eastAsia="zh-CN"/>
        </w:rPr>
        <w:t xml:space="preserve">预算360,000.00元，实际执行357258元，年终清零2742元，主要用于代表活动经费拨到各街道人大工委组织区人大代表活动费用，确保各代表小组活动正常开展。</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组织代表考察费</w:t>
      </w:r>
      <w:r>
        <w:rPr>
          <w:rFonts w:hint="eastAsia" w:ascii="仿宋_GB2312"/>
          <w:szCs w:val="32"/>
          <w:lang w:val="en-US" w:eastAsia="zh-CN"/>
        </w:rPr>
        <w:t xml:space="preserve">预算160000元，实际执行154331元，主要用于结合区人大常委会的审议议题，组织部分市、区人大代表到外地考察学习（差旅费、伙食费、住宿费等）。</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color w:val="auto"/>
          <w:szCs w:val="32"/>
          <w:lang w:val="en-US" w:eastAsia="zh-CN"/>
        </w:rPr>
        <w:t xml:space="preserve">区人大代表工作联络站</w:t>
      </w:r>
      <w:r>
        <w:rPr>
          <w:rFonts w:hint="eastAsia" w:ascii="仿宋_GB2312"/>
          <w:color w:val="auto"/>
          <w:szCs w:val="32"/>
          <w:lang w:val="en-US" w:eastAsia="zh-CN"/>
        </w:rPr>
        <w:t xml:space="preserve">预算120000元</w:t>
      </w:r>
      <w:r>
        <w:rPr>
          <w:rFonts w:hint="eastAsia" w:ascii="仿宋_GB2312"/>
          <w:szCs w:val="32"/>
          <w:lang w:val="en-US" w:eastAsia="zh-CN"/>
        </w:rPr>
        <w:t xml:space="preserve">，实际执行120000元，主要用于协助街道人大工委开展工作，完成区人大常委会和街道人大委交办的工作，进一步健全代表履职活动平台，密切人大代表与选区选 民、人民群众的联系，充分发挥人大代表作用。</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老干部活动经费</w:t>
      </w:r>
      <w:r>
        <w:rPr>
          <w:rFonts w:hint="eastAsia" w:ascii="仿宋_GB2312"/>
          <w:szCs w:val="32"/>
          <w:lang w:val="en-US" w:eastAsia="zh-CN"/>
        </w:rPr>
        <w:t xml:space="preserve">年初预算50000元，上年结余21817.42元，实际执行：54363.4元，年末财政收回17454.02元，主要用于区人大常委会机关离退休干部活动经费，包括节假日慰问费、生病住院看望费、支付上老年大学学费和敬老节活动费等。</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办公设备运行费</w:t>
      </w:r>
      <w:r>
        <w:rPr>
          <w:rFonts w:hint="eastAsia" w:ascii="仿宋_GB2312"/>
          <w:szCs w:val="32"/>
          <w:lang w:val="en-US" w:eastAsia="zh-CN"/>
        </w:rPr>
        <w:t xml:space="preserve">年初预算57400.00元，实际执行54176元，年终清零3224元，主要用于办公设备的维修与维护等。</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区人大代表履职补贴</w:t>
      </w:r>
      <w:r>
        <w:rPr>
          <w:rFonts w:hint="eastAsia" w:ascii="仿宋_GB2312"/>
          <w:szCs w:val="32"/>
          <w:lang w:val="en-US" w:eastAsia="zh-CN"/>
        </w:rPr>
        <w:t xml:space="preserve">年初预算：288000.00元，实际执行261600元，10月调整预算26400元，由人于人员变化，所以调减，主要用于区人大代表履职补贴,充分发挥代表作用，促进呈贡新区经济社会又好又快发展。</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区人大常委会课题组经费</w:t>
      </w:r>
      <w:r>
        <w:rPr>
          <w:rFonts w:hint="eastAsia" w:ascii="仿宋_GB2312"/>
          <w:szCs w:val="32"/>
          <w:lang w:val="en-US" w:eastAsia="zh-CN"/>
        </w:rPr>
        <w:t xml:space="preserve">预算：200,000.00元，10月预算调整200000元，调减原因：因为疫情影响，未开展课题研究调研工作经费，主要用于课题组调研资料费、专家评审费、伙食费和差旅费等，确保区人大常委会课题组调研工作的圆满完成。</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政府采购经费</w:t>
      </w:r>
      <w:r>
        <w:rPr>
          <w:rFonts w:hint="eastAsia" w:ascii="仿宋_GB2312"/>
          <w:szCs w:val="32"/>
          <w:lang w:val="en-US" w:eastAsia="zh-CN"/>
        </w:rPr>
        <w:t xml:space="preserve">预算：73620元，实际执行71300元，年末清零2320元，主要用于办公设备的购置与更新。</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区人大常委会工作经费</w:t>
      </w:r>
      <w:r>
        <w:rPr>
          <w:rFonts w:hint="eastAsia" w:ascii="仿宋_GB2312"/>
          <w:szCs w:val="32"/>
          <w:lang w:val="en-US" w:eastAsia="zh-CN"/>
        </w:rPr>
        <w:t xml:space="preserve">预算54000元，实际执行44000元，10月预算调整10000元，由于常委会委员减少，经费结余调减。主要用于区人大常委会委员开展会前调研等经费补助。</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区人大工作宣传经费</w:t>
      </w:r>
      <w:r>
        <w:rPr>
          <w:rFonts w:hint="eastAsia" w:ascii="仿宋_GB2312"/>
          <w:szCs w:val="32"/>
          <w:lang w:val="en-US" w:eastAsia="zh-CN"/>
        </w:rPr>
        <w:t xml:space="preserve">预算225000元，实际执行199794.8元，年终清零25205.2元，主要用于人大文化宣传材料制作及推广费。</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区人大代表培训费</w:t>
      </w:r>
      <w:r>
        <w:rPr>
          <w:rFonts w:hint="eastAsia" w:ascii="仿宋_GB2312"/>
          <w:szCs w:val="32"/>
          <w:lang w:val="en-US" w:eastAsia="zh-CN"/>
        </w:rPr>
        <w:t xml:space="preserve">年初预算：300,000.00元，10月预算调减212000元，因疫情，外出培训计划改变，仅开展省内培训，所以调减。主要用于区人大代表能力、素质提升培训费。</w:t>
      </w:r>
      <w:r>
        <w:rPr>
          <w:rFonts w:hint="default" w:ascii="仿宋_GB2312"/>
          <w:szCs w:val="32"/>
          <w:lang w:val="en-US" w:eastAsia="zh-CN"/>
        </w:rPr>
      </w:r>
    </w:p>
    <w:p>
      <w:pPr>
        <w:numPr>
          <w:ilvl w:val="0"/>
          <w:numId w:val="1"/>
        </w:numPr>
        <w:pBdr/>
        <w:spacing/>
        <w:ind w:firstLine="594" w:left="0"/>
        <w:rPr>
          <w:rFonts w:hint="default" w:ascii="仿宋_GB2312"/>
          <w:szCs w:val="32"/>
          <w:lang w:val="en-US" w:eastAsia="zh-CN"/>
        </w:rPr>
      </w:pPr>
      <w:r>
        <w:rPr>
          <w:rFonts w:hint="default" w:ascii="仿宋_GB2312"/>
          <w:szCs w:val="32"/>
          <w:lang w:val="en-US" w:eastAsia="zh-CN"/>
        </w:rPr>
        <w:t xml:space="preserve">补选、选举区人大代表经费</w:t>
      </w:r>
      <w:r>
        <w:rPr>
          <w:rFonts w:hint="eastAsia" w:ascii="仿宋_GB2312"/>
          <w:szCs w:val="32"/>
          <w:lang w:val="en-US" w:eastAsia="zh-CN"/>
        </w:rPr>
        <w:t xml:space="preserve">预算0元，由于人代表变动，10月调整追加预算212000元，最终执行211984.1元，清零15.9元，主要用于</w:t>
      </w:r>
      <w:r>
        <w:rPr>
          <w:rFonts w:hint="default" w:ascii="仿宋_GB2312"/>
          <w:szCs w:val="32"/>
          <w:lang w:val="en-US" w:eastAsia="zh-CN"/>
        </w:rPr>
        <w:t xml:space="preserve">补选、选举区人大代表</w:t>
      </w:r>
      <w:r>
        <w:rPr>
          <w:rFonts w:hint="eastAsia" w:ascii="仿宋_GB2312"/>
          <w:szCs w:val="32"/>
          <w:lang w:val="en-US" w:eastAsia="zh-CN"/>
        </w:rPr>
        <w:t xml:space="preserve">不足。</w:t>
      </w:r>
      <w:r>
        <w:rPr>
          <w:rFonts w:hint="default" w:ascii="仿宋_GB2312"/>
          <w:szCs w:val="32"/>
          <w:lang w:val="en-US" w:eastAsia="zh-CN"/>
        </w:rPr>
      </w:r>
    </w:p>
    <w:p>
      <w:pPr>
        <w:numPr>
          <w:ilvl w:val="0"/>
          <w:numId w:val="2"/>
        </w:numPr>
        <w:pBdr/>
        <w:spacing/>
        <w:ind w:firstLine="594"/>
        <w:rPr>
          <w:rFonts w:hint="eastAsia" w:ascii="仿宋_GB2312"/>
          <w:szCs w:val="32"/>
        </w:rPr>
      </w:pPr>
      <w:r>
        <w:rPr>
          <w:rFonts w:hint="eastAsia" w:ascii="仿宋_GB2312"/>
          <w:szCs w:val="32"/>
        </w:rPr>
        <w:t xml:space="preserve">绩效目标设定及指标完成情况。</w:t>
      </w:r>
      <w:r>
        <w:rPr>
          <w:rFonts w:hint="eastAsia" w:ascii="仿宋_GB2312"/>
          <w:szCs w:val="32"/>
        </w:rPr>
      </w:r>
    </w:p>
    <w:p>
      <w:pPr>
        <w:numPr>
          <w:ilvl w:val="0"/>
          <w:numId w:val="0"/>
        </w:numPr>
        <w:pBdr/>
        <w:spacing/>
        <w:ind/>
        <w:rPr>
          <w:rFonts w:hint="default" w:ascii="仿宋_GB2312" w:eastAsia="仿宋_GB2312"/>
          <w:szCs w:val="32"/>
          <w:lang w:val="en-US" w:eastAsia="zh-CN"/>
        </w:rPr>
      </w:pPr>
      <w:r>
        <w:rPr>
          <w:rFonts w:hint="eastAsia" w:ascii="仿宋_GB2312"/>
          <w:szCs w:val="32"/>
          <w:lang w:val="en-US" w:eastAsia="zh-CN"/>
        </w:rPr>
        <w:t xml:space="preserve">   2020年年初设定绩效项目15个，保障实际执行</w:t>
      </w:r>
      <w:r>
        <w:rPr>
          <w:rFonts w:hint="default" w:ascii="仿宋_GB2312" w:eastAsia="仿宋_GB2312"/>
          <w:szCs w:val="32"/>
          <w:lang w:val="en-US" w:eastAsia="zh-CN"/>
        </w:rPr>
      </w:r>
    </w:p>
    <w:p>
      <w:pPr>
        <w:pBdr/>
        <w:spacing/>
        <w:ind w:firstLine="594"/>
        <w:rPr>
          <w:rFonts w:hint="eastAsia" w:ascii="黑体" w:eastAsia="黑体"/>
          <w:szCs w:val="32"/>
        </w:rPr>
      </w:pPr>
      <w:r>
        <w:rPr>
          <w:rFonts w:hint="eastAsia" w:ascii="黑体" w:eastAsia="黑体"/>
          <w:szCs w:val="32"/>
        </w:rPr>
        <w:t xml:space="preserve">二、</w:t>
      </w:r>
      <w:r>
        <w:rPr>
          <w:rFonts w:hint="eastAsia" w:ascii="黑体" w:eastAsia="黑体"/>
          <w:szCs w:val="32"/>
          <w:lang w:eastAsia="zh-CN"/>
        </w:rPr>
        <w:t xml:space="preserve">项目资金使用及管理情况</w:t>
      </w:r>
      <w:r>
        <w:rPr>
          <w:rFonts w:hint="eastAsia" w:ascii="黑体" w:eastAsia="黑体"/>
          <w:szCs w:val="32"/>
        </w:rPr>
      </w:r>
    </w:p>
    <w:p>
      <w:pPr>
        <w:keepNext w:val="false"/>
        <w:keepLines w:val="false"/>
        <w:pageBreakBefore w:val="false"/>
        <w:widowControl w:val="false"/>
        <w:pBdr/>
        <w:spacing w:line="240" w:lineRule="auto"/>
        <w:ind w:right="0" w:firstLine="594" w:left="0"/>
        <w:jc w:val="both"/>
        <w:outlineLvl w:val="9"/>
        <w:rPr>
          <w:rFonts w:hint="eastAsia" w:ascii="仿宋_GB2312" w:hAnsi="仿宋_GB2312" w:cs="仿宋_GB2312"/>
          <w:szCs w:val="32"/>
          <w:lang w:val="en-US" w:eastAsia="zh-CN"/>
        </w:rPr>
      </w:pPr>
      <w:r>
        <w:rPr>
          <w:rFonts w:hint="eastAsia" w:ascii="仿宋_GB2312" w:hAnsi="仿宋_GB2312" w:eastAsia="仿宋_GB2312" w:cs="仿宋_GB2312"/>
          <w:szCs w:val="32"/>
        </w:rPr>
        <w:t xml:space="preserve">项目资金</w:t>
      </w:r>
      <w:r>
        <w:rPr>
          <w:rFonts w:hint="eastAsia" w:ascii="仿宋_GB2312" w:hAnsi="仿宋_GB2312" w:cs="仿宋_GB2312"/>
          <w:szCs w:val="32"/>
          <w:lang w:val="en-US" w:eastAsia="zh-CN"/>
        </w:rPr>
        <w:t xml:space="preserve">年初预算</w:t>
      </w:r>
      <w:r>
        <w:rPr>
          <w:rFonts w:hint="eastAsia" w:ascii="仿宋_GB2312" w:hAnsi="仿宋_GB2312" w:eastAsia="仿宋_GB2312" w:cs="仿宋_GB2312"/>
          <w:szCs w:val="32"/>
        </w:rPr>
        <w:t xml:space="preserve">安排</w:t>
      </w:r>
      <w:r>
        <w:rPr>
          <w:rFonts w:hint="eastAsia" w:ascii="仿宋_GB2312" w:hAnsi="仿宋_GB2312" w:cs="仿宋_GB2312"/>
          <w:szCs w:val="32"/>
          <w:lang w:val="en-US" w:eastAsia="zh-CN"/>
        </w:rPr>
        <w:t xml:space="preserve">2715025元，实际到位落实2593910.3</w:t>
      </w:r>
      <w:r>
        <w:rPr>
          <w:rFonts w:hint="eastAsia" w:ascii="仿宋_GB2312" w:hAnsi="仿宋_GB2312" w:cs="仿宋_GB2312"/>
          <w:szCs w:val="32"/>
          <w:lang w:val="en-US" w:eastAsia="zh-CN"/>
        </w:rPr>
      </w:r>
    </w:p>
    <w:p>
      <w:pPr>
        <w:keepNext w:val="false"/>
        <w:keepLines w:val="false"/>
        <w:pageBreakBefore w:val="false"/>
        <w:widowControl w:val="false"/>
        <w:pBdr/>
        <w:spacing w:line="240" w:lineRule="auto"/>
        <w:ind w:right="0"/>
        <w:jc w:val="both"/>
        <w:outlineLvl w:val="9"/>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 xml:space="preserve">元，全部投入为一般公共预算资金。年初预算18个项目，实际执行25个，市级转移支付项目5个，转移支付金额154000元。10月预算调增追加2个项目，追加经费411926.1元。</w:t>
      </w:r>
      <w:r>
        <w:rPr>
          <w:rFonts w:hint="eastAsia" w:ascii="仿宋_GB2312"/>
          <w:szCs w:val="32"/>
        </w:rPr>
        <w:t xml:space="preserve">预算调整项目3个，其中课题经费调减10</w:t>
      </w:r>
      <w:r>
        <w:rPr>
          <w:rFonts w:hint="eastAsia" w:ascii="仿宋_GB2312"/>
          <w:szCs w:val="32"/>
          <w:lang w:val="en-US" w:eastAsia="zh-CN"/>
        </w:rPr>
        <w:t xml:space="preserve">0000</w:t>
      </w:r>
      <w:r>
        <w:rPr>
          <w:rFonts w:hint="eastAsia" w:ascii="仿宋_GB2312"/>
          <w:szCs w:val="32"/>
        </w:rPr>
        <w:t xml:space="preserve">元，代表补选项目调增10</w:t>
      </w:r>
      <w:r>
        <w:rPr>
          <w:rFonts w:hint="eastAsia" w:ascii="仿宋_GB2312"/>
          <w:szCs w:val="32"/>
          <w:lang w:val="en-US" w:eastAsia="zh-CN"/>
        </w:rPr>
        <w:t xml:space="preserve">0000</w:t>
      </w:r>
      <w:r>
        <w:rPr>
          <w:rFonts w:hint="eastAsia" w:ascii="仿宋_GB2312"/>
          <w:szCs w:val="32"/>
        </w:rPr>
        <w:t xml:space="preserve">元，同时调增因公出国境项目</w:t>
      </w:r>
      <w:r>
        <w:rPr>
          <w:rFonts w:hint="eastAsia" w:ascii="仿宋_GB2312"/>
          <w:szCs w:val="32"/>
          <w:lang w:val="en-US" w:eastAsia="zh-CN"/>
        </w:rPr>
        <w:t xml:space="preserve">调增55,474.00元，</w:t>
      </w:r>
      <w:r>
        <w:rPr>
          <w:rFonts w:hint="eastAsia" w:ascii="仿宋_GB2312"/>
          <w:szCs w:val="32"/>
          <w:lang w:eastAsia="zh-CN"/>
        </w:rPr>
        <w:t xml:space="preserve">2020</w:t>
      </w:r>
      <w:r>
        <w:rPr>
          <w:rFonts w:hint="eastAsia" w:ascii="仿宋_GB2312"/>
          <w:szCs w:val="32"/>
        </w:rPr>
        <w:t xml:space="preserve">年上级转移支付项目5个，转移支付金额：16.66万元</w:t>
      </w:r>
      <w:r>
        <w:rPr>
          <w:rFonts w:hint="eastAsia" w:ascii="仿宋_GB2312"/>
          <w:szCs w:val="32"/>
          <w:lang w:eastAsia="zh-CN"/>
        </w:rPr>
        <w:t xml:space="preserve">。</w:t>
      </w:r>
      <w:r>
        <w:rPr>
          <w:rFonts w:hint="eastAsia" w:ascii="仿宋_GB2312" w:hAnsi="仿宋_GB2312" w:eastAsia="仿宋_GB2312" w:cs="仿宋_GB2312"/>
          <w:szCs w:val="32"/>
          <w:lang w:val="en-US" w:eastAsia="zh-CN"/>
        </w:rPr>
      </w:r>
    </w:p>
    <w:p>
      <w:pPr>
        <w:pBdr/>
        <w:spacing/>
        <w:ind w:firstLine="594"/>
        <w:rPr>
          <w:rFonts w:hint="eastAsia" w:ascii="黑体" w:eastAsia="黑体"/>
          <w:szCs w:val="32"/>
          <w:lang w:eastAsia="zh-CN"/>
        </w:rPr>
      </w:pPr>
      <w:r>
        <w:rPr>
          <w:rFonts w:hint="eastAsia" w:ascii="黑体" w:eastAsia="黑体"/>
          <w:szCs w:val="32"/>
          <w:lang w:eastAsia="zh-CN"/>
        </w:rPr>
        <w:t xml:space="preserve">三、项目组织实施情况</w:t>
      </w:r>
      <w:r>
        <w:rPr>
          <w:rFonts w:hint="eastAsia" w:ascii="黑体" w:eastAsia="黑体"/>
          <w:szCs w:val="32"/>
          <w:lang w:eastAsia="zh-CN"/>
        </w:rPr>
      </w:r>
    </w:p>
    <w:p>
      <w:pPr>
        <w:pBdr/>
        <w:spacing/>
        <w:ind w:firstLine="594"/>
        <w:rPr>
          <w:rFonts w:hint="eastAsia" w:ascii="仿宋_GB2312" w:hAnsi="仿宋_GB2312" w:cs="仿宋_GB2312"/>
          <w:szCs w:val="32"/>
          <w:lang w:val="en-US" w:eastAsia="zh-CN"/>
        </w:rPr>
      </w:pPr>
      <w:r>
        <w:rPr>
          <w:rFonts w:hint="eastAsia" w:ascii="仿宋_GB2312" w:hAnsi="仿宋_GB2312" w:eastAsia="仿宋_GB2312" w:cs="仿宋_GB2312"/>
          <w:szCs w:val="32"/>
        </w:rPr>
        <w:t xml:space="preserve">项目</w:t>
      </w:r>
      <w:r>
        <w:rPr>
          <w:rFonts w:hint="eastAsia" w:ascii="仿宋_GB2312" w:hAnsi="仿宋_GB2312" w:cs="仿宋_GB2312"/>
          <w:szCs w:val="32"/>
          <w:lang w:val="en-US" w:eastAsia="zh-CN"/>
        </w:rPr>
        <w:t xml:space="preserve">开展由年初预算科室及经办人组织，月初申请项目用款计划，根据执行进度，合同约定情况，验收结果，单据齐全，审批合格后支付，按季度展开项目绩效自评工作，讨论项目进度与后续开展情况，找出问题，解决问题，保障项目有效实施，按年度进行绩效评价，整理全部项目，为后续预算实施做准备。区人大不涉工程类项目，也不涉及招投标项目。针对2020年人员变动情况进行内控小组成员变动，更新。</w:t>
      </w:r>
      <w:r>
        <w:rPr>
          <w:rFonts w:hint="eastAsia" w:ascii="仿宋_GB2312" w:hAnsi="仿宋_GB2312" w:cs="仿宋_GB2312"/>
          <w:szCs w:val="32"/>
          <w:lang w:val="en-US" w:eastAsia="zh-CN"/>
        </w:rPr>
      </w:r>
    </w:p>
    <w:p>
      <w:pPr>
        <w:pBdr/>
        <w:spacing/>
        <w:ind w:firstLine="594"/>
        <w:rPr>
          <w:rFonts w:ascii="黑体" w:eastAsia="黑体"/>
          <w:szCs w:val="32"/>
        </w:rPr>
      </w:pPr>
      <w:r>
        <w:rPr>
          <w:rFonts w:hint="eastAsia" w:ascii="黑体" w:eastAsia="黑体"/>
          <w:szCs w:val="32"/>
          <w:lang w:eastAsia="zh-CN"/>
        </w:rPr>
        <w:t xml:space="preserve">四</w:t>
      </w:r>
      <w:r>
        <w:rPr>
          <w:rFonts w:hint="eastAsia" w:ascii="黑体" w:eastAsia="黑体"/>
          <w:szCs w:val="32"/>
        </w:rPr>
        <w:t xml:space="preserve">、项目绩效情况</w:t>
      </w:r>
      <w:r>
        <w:rPr>
          <w:rFonts w:ascii="黑体" w:eastAsia="黑体"/>
          <w:szCs w:val="32"/>
        </w:rPr>
      </w:r>
    </w:p>
    <w:p>
      <w:pPr>
        <w:pBdr/>
        <w:spacing/>
        <w:ind w:firstLine="594"/>
        <w:jc w:val="both"/>
        <w:rPr>
          <w:rFonts w:ascii="仿宋_GB2312"/>
          <w:szCs w:val="32"/>
        </w:rPr>
      </w:pPr>
      <w:r>
        <w:rPr>
          <w:rFonts w:hint="eastAsia" w:ascii="仿宋_GB2312"/>
          <w:szCs w:val="32"/>
          <w:lang w:val="en-US" w:eastAsia="zh-CN"/>
        </w:rPr>
        <w:t xml:space="preserve">项目绩效评价过程中，根据年初设定的质量指标，数量指标，时效指标，成本指标，经济效益指标、社会效益指标，一一对应明细指标对比，找出偏离原因，发现问题，解决问题，吸取经验，为后续的开展工作起到了很大的促进作用。人员变化应及时告知科室负责人，让其最快时间掌握资金使用情况。</w:t>
      </w:r>
      <w:r>
        <w:rPr>
          <w:rFonts w:ascii="仿宋_GB2312"/>
          <w:szCs w:val="32"/>
        </w:rPr>
      </w:r>
    </w:p>
    <w:p>
      <w:pPr>
        <w:pBdr/>
        <w:spacing/>
        <w:ind w:firstLine="594"/>
        <w:rPr>
          <w:rFonts w:ascii="黑体" w:eastAsia="黑体"/>
          <w:szCs w:val="32"/>
        </w:rPr>
      </w:pPr>
      <w:r>
        <w:rPr>
          <w:rFonts w:hint="eastAsia" w:ascii="黑体" w:eastAsia="黑体"/>
          <w:szCs w:val="32"/>
          <w:lang w:eastAsia="zh-CN"/>
        </w:rPr>
        <w:t xml:space="preserve">五</w:t>
      </w:r>
      <w:r>
        <w:rPr>
          <w:rFonts w:hint="eastAsia" w:ascii="黑体" w:eastAsia="黑体"/>
          <w:szCs w:val="32"/>
        </w:rPr>
        <w:t xml:space="preserve">、存在的问题</w:t>
      </w:r>
      <w:r>
        <w:rPr>
          <w:rFonts w:ascii="黑体" w:eastAsia="黑体"/>
          <w:szCs w:val="32"/>
        </w:rPr>
      </w:r>
    </w:p>
    <w:p>
      <w:pPr>
        <w:pBdr/>
        <w:spacing/>
        <w:ind w:firstLine="594"/>
        <w:rPr>
          <w:rFonts w:hint="eastAsia" w:ascii="仿宋_GB2312"/>
          <w:szCs w:val="32"/>
        </w:rPr>
      </w:pPr>
      <w:r>
        <w:rPr>
          <w:rFonts w:hint="eastAsia" w:ascii="仿宋_GB2312"/>
          <w:szCs w:val="32"/>
        </w:rPr>
        <w:t xml:space="preserve">（一）专项管理方面的问题。</w:t>
      </w:r>
      <w:r>
        <w:rPr>
          <w:rFonts w:hint="eastAsia" w:ascii="仿宋_GB2312"/>
          <w:szCs w:val="32"/>
        </w:rPr>
      </w:r>
    </w:p>
    <w:p>
      <w:pPr>
        <w:pBdr/>
        <w:spacing/>
        <w:ind w:firstLine="594"/>
        <w:rPr>
          <w:rFonts w:ascii="仿宋_GB2312"/>
          <w:szCs w:val="32"/>
        </w:rPr>
      </w:pPr>
      <w:r>
        <w:rPr>
          <w:rFonts w:hint="eastAsia" w:ascii="仿宋_GB2312"/>
          <w:szCs w:val="32"/>
          <w:lang w:val="en-US" w:eastAsia="zh-CN"/>
        </w:rPr>
        <w:t xml:space="preserve">项目预算</w:t>
      </w:r>
      <w:r>
        <w:rPr>
          <w:rFonts w:hint="eastAsia" w:ascii="仿宋_GB2312"/>
          <w:szCs w:val="32"/>
        </w:rPr>
        <w:t xml:space="preserve">专项立项依据充分</w:t>
      </w:r>
      <w:r>
        <w:rPr>
          <w:rFonts w:hint="eastAsia" w:ascii="仿宋_GB2312"/>
          <w:szCs w:val="32"/>
          <w:lang w:eastAsia="zh-CN"/>
        </w:rPr>
        <w:t xml:space="preserve">，</w:t>
      </w:r>
      <w:r>
        <w:rPr>
          <w:rFonts w:hint="eastAsia" w:ascii="仿宋_GB2312"/>
          <w:szCs w:val="32"/>
          <w:lang w:val="en-US" w:eastAsia="zh-CN"/>
        </w:rPr>
        <w:t xml:space="preserve">并且根据财政</w:t>
      </w:r>
      <w:r>
        <w:rPr>
          <w:rFonts w:hint="eastAsia" w:ascii="仿宋_GB2312"/>
          <w:szCs w:val="32"/>
        </w:rPr>
        <w:t xml:space="preserve">资金管理办法</w:t>
      </w:r>
      <w:r>
        <w:rPr>
          <w:rFonts w:hint="eastAsia" w:ascii="仿宋_GB2312"/>
          <w:szCs w:val="32"/>
          <w:lang w:val="en-US" w:eastAsia="zh-CN"/>
        </w:rPr>
        <w:t xml:space="preserve">对资金规范管理，2020年加强财务制度、会计制度学习，积极学习资金文件，规范管理资金</w:t>
      </w:r>
      <w:r>
        <w:rPr>
          <w:rFonts w:hint="eastAsia" w:ascii="仿宋_GB2312"/>
          <w:szCs w:val="32"/>
        </w:rPr>
        <w:t xml:space="preserve">。</w:t>
      </w:r>
      <w:r>
        <w:rPr>
          <w:rFonts w:ascii="仿宋_GB2312"/>
          <w:szCs w:val="32"/>
        </w:rPr>
      </w:r>
    </w:p>
    <w:p>
      <w:pPr>
        <w:numPr>
          <w:ilvl w:val="0"/>
          <w:numId w:val="2"/>
        </w:numPr>
        <w:pBdr/>
        <w:spacing/>
        <w:ind w:firstLine="594" w:left="0"/>
        <w:rPr>
          <w:rFonts w:hint="eastAsia" w:ascii="仿宋_GB2312"/>
          <w:szCs w:val="32"/>
        </w:rPr>
      </w:pPr>
      <w:r>
        <w:rPr>
          <w:rFonts w:hint="eastAsia" w:ascii="仿宋_GB2312"/>
          <w:szCs w:val="32"/>
        </w:rPr>
        <w:t xml:space="preserve">资金分配方面的问题。</w:t>
      </w:r>
      <w:r>
        <w:rPr>
          <w:rFonts w:hint="eastAsia" w:ascii="仿宋_GB2312"/>
          <w:szCs w:val="32"/>
        </w:rPr>
      </w:r>
    </w:p>
    <w:p>
      <w:pPr>
        <w:numPr>
          <w:ilvl w:val="0"/>
          <w:numId w:val="0"/>
        </w:numPr>
        <w:pBdr/>
        <w:spacing/>
        <w:ind/>
        <w:rPr>
          <w:rFonts w:ascii="仿宋_GB2312"/>
          <w:szCs w:val="32"/>
        </w:rPr>
      </w:pPr>
      <w:r>
        <w:rPr>
          <w:rFonts w:hint="eastAsia" w:ascii="仿宋_GB2312"/>
          <w:szCs w:val="32"/>
          <w:lang w:val="en-US" w:eastAsia="zh-CN"/>
        </w:rPr>
        <w:t xml:space="preserve">区人大</w:t>
      </w:r>
      <w:r>
        <w:rPr>
          <w:rFonts w:hint="eastAsia" w:ascii="仿宋_GB2312"/>
          <w:szCs w:val="32"/>
        </w:rPr>
        <w:t xml:space="preserve">资金分配合理，突出重点，公平公正；资金分配和使用方向</w:t>
      </w:r>
      <w:r>
        <w:rPr>
          <w:rFonts w:hint="eastAsia" w:ascii="仿宋_GB2312"/>
          <w:szCs w:val="32"/>
          <w:lang w:val="en-US" w:eastAsia="zh-CN"/>
        </w:rPr>
        <w:t xml:space="preserve">符合</w:t>
      </w:r>
      <w:r>
        <w:rPr>
          <w:rFonts w:hint="eastAsia" w:ascii="仿宋_GB2312"/>
          <w:szCs w:val="32"/>
        </w:rPr>
        <w:t xml:space="preserve">资金管理办法相符。</w:t>
      </w:r>
      <w:r>
        <w:rPr>
          <w:rFonts w:ascii="仿宋_GB2312"/>
          <w:szCs w:val="32"/>
        </w:rPr>
      </w:r>
    </w:p>
    <w:p>
      <w:pPr>
        <w:numPr>
          <w:ilvl w:val="0"/>
          <w:numId w:val="2"/>
        </w:numPr>
        <w:pBdr/>
        <w:spacing/>
        <w:ind w:firstLine="594" w:left="0"/>
        <w:rPr>
          <w:rFonts w:hint="eastAsia" w:ascii="仿宋_GB2312"/>
          <w:szCs w:val="32"/>
        </w:rPr>
      </w:pPr>
      <w:r>
        <w:rPr>
          <w:rFonts w:hint="eastAsia" w:ascii="仿宋_GB2312"/>
          <w:szCs w:val="32"/>
        </w:rPr>
        <w:t xml:space="preserve">资金拨付方面的问题。</w:t>
      </w:r>
      <w:r>
        <w:rPr>
          <w:rFonts w:hint="eastAsia" w:ascii="仿宋_GB2312"/>
          <w:szCs w:val="32"/>
        </w:rPr>
      </w:r>
    </w:p>
    <w:p>
      <w:pPr>
        <w:numPr>
          <w:ilvl w:val="0"/>
          <w:numId w:val="0"/>
        </w:numPr>
        <w:pBdr/>
        <w:spacing/>
        <w:ind/>
        <w:rPr>
          <w:rFonts w:ascii="仿宋_GB2312"/>
          <w:szCs w:val="32"/>
        </w:rPr>
      </w:pPr>
      <w:r>
        <w:rPr>
          <w:rFonts w:hint="eastAsia" w:ascii="仿宋_GB2312"/>
          <w:szCs w:val="32"/>
          <w:lang w:val="en-US" w:eastAsia="zh-CN"/>
        </w:rPr>
        <w:t xml:space="preserve">资金</w:t>
      </w:r>
      <w:r>
        <w:rPr>
          <w:rFonts w:hint="eastAsia" w:ascii="仿宋_GB2312"/>
          <w:szCs w:val="32"/>
        </w:rPr>
        <w:t xml:space="preserve">拨付及时，无滞留、闲置等现象。</w:t>
      </w:r>
      <w:r>
        <w:rPr>
          <w:rFonts w:ascii="仿宋_GB2312"/>
          <w:szCs w:val="32"/>
        </w:rPr>
      </w:r>
    </w:p>
    <w:p>
      <w:pPr>
        <w:numPr>
          <w:ilvl w:val="0"/>
          <w:numId w:val="2"/>
        </w:numPr>
        <w:pBdr/>
        <w:spacing/>
        <w:ind w:firstLine="594" w:left="0"/>
        <w:rPr>
          <w:rFonts w:hint="eastAsia" w:ascii="仿宋_GB2312"/>
          <w:szCs w:val="32"/>
        </w:rPr>
      </w:pPr>
      <w:r>
        <w:rPr>
          <w:rFonts w:hint="eastAsia" w:ascii="仿宋_GB2312"/>
          <w:szCs w:val="32"/>
        </w:rPr>
        <w:t xml:space="preserve">资金使用方面的问题。</w:t>
      </w:r>
      <w:r>
        <w:rPr>
          <w:rFonts w:hint="eastAsia" w:ascii="仿宋_GB2312"/>
          <w:szCs w:val="32"/>
        </w:rPr>
      </w:r>
    </w:p>
    <w:p>
      <w:pPr>
        <w:numPr>
          <w:ilvl w:val="0"/>
          <w:numId w:val="0"/>
        </w:numPr>
        <w:pBdr/>
        <w:spacing/>
        <w:ind/>
        <w:rPr>
          <w:rFonts w:ascii="仿宋_GB2312"/>
          <w:szCs w:val="32"/>
        </w:rPr>
      </w:pPr>
      <w:r>
        <w:rPr>
          <w:rFonts w:hint="eastAsia" w:ascii="仿宋_GB2312"/>
          <w:szCs w:val="32"/>
        </w:rPr>
        <w:t xml:space="preserve">资金使用</w:t>
      </w:r>
      <w:r>
        <w:rPr>
          <w:rFonts w:hint="eastAsia" w:ascii="仿宋_GB2312"/>
          <w:szCs w:val="32"/>
          <w:lang w:val="en-US" w:eastAsia="zh-CN"/>
        </w:rPr>
        <w:t xml:space="preserve">根据预算法、财务收支管理管理办法、内部控制管理办法，政府会计制度等执行，符合政策法规，不存在</w:t>
      </w:r>
      <w:r>
        <w:rPr>
          <w:rFonts w:hint="eastAsia" w:ascii="仿宋_GB2312"/>
          <w:szCs w:val="32"/>
        </w:rPr>
        <w:t xml:space="preserve">截留、挪用</w:t>
      </w:r>
      <w:r>
        <w:rPr>
          <w:rFonts w:hint="eastAsia" w:ascii="仿宋_GB2312"/>
          <w:szCs w:val="32"/>
          <w:lang w:val="en-US" w:eastAsia="zh-CN"/>
        </w:rPr>
        <w:t xml:space="preserve">资金</w:t>
      </w:r>
      <w:r>
        <w:rPr>
          <w:rFonts w:hint="eastAsia" w:ascii="仿宋_GB2312"/>
          <w:szCs w:val="32"/>
        </w:rPr>
        <w:t xml:space="preserve">等现象。</w:t>
      </w:r>
      <w:r>
        <w:rPr>
          <w:rFonts w:ascii="仿宋_GB2312"/>
          <w:szCs w:val="32"/>
        </w:rPr>
      </w:r>
    </w:p>
    <w:p>
      <w:pPr>
        <w:pBdr/>
        <w:spacing/>
        <w:ind w:firstLine="594"/>
        <w:rPr>
          <w:rFonts w:ascii="黑体" w:eastAsia="黑体"/>
          <w:szCs w:val="32"/>
        </w:rPr>
      </w:pPr>
      <w:r>
        <w:rPr>
          <w:rFonts w:hint="eastAsia" w:ascii="黑体" w:eastAsia="黑体"/>
          <w:szCs w:val="32"/>
          <w:lang w:eastAsia="zh-CN"/>
        </w:rPr>
        <w:t xml:space="preserve">六</w:t>
      </w:r>
      <w:r>
        <w:rPr>
          <w:rFonts w:hint="eastAsia" w:ascii="黑体" w:eastAsia="黑体"/>
          <w:szCs w:val="32"/>
        </w:rPr>
        <w:t xml:space="preserve">、其他需要说明的问题</w:t>
      </w:r>
      <w:r>
        <w:rPr>
          <w:rFonts w:ascii="黑体" w:eastAsia="黑体"/>
          <w:szCs w:val="32"/>
        </w:rPr>
      </w:r>
    </w:p>
    <w:p>
      <w:pPr>
        <w:pBdr/>
        <w:spacing/>
        <w:ind w:firstLine="594"/>
        <w:rPr>
          <w:rFonts w:hint="eastAsia" w:ascii="仿宋_GB2312"/>
          <w:szCs w:val="32"/>
        </w:rPr>
      </w:pPr>
      <w:r>
        <w:rPr>
          <w:rFonts w:hint="eastAsia" w:ascii="仿宋_GB2312"/>
          <w:szCs w:val="32"/>
        </w:rPr>
        <w:t xml:space="preserve">（一）后续工作计划。</w:t>
      </w:r>
      <w:r>
        <w:rPr>
          <w:rFonts w:hint="eastAsia" w:ascii="仿宋_GB2312"/>
          <w:szCs w:val="32"/>
        </w:rPr>
      </w:r>
    </w:p>
    <w:p>
      <w:pPr>
        <w:pBdr/>
        <w:spacing/>
        <w:ind w:firstLine="594"/>
        <w:rPr>
          <w:rFonts w:hint="eastAsia" w:ascii="仿宋_GB2312"/>
          <w:szCs w:val="32"/>
          <w:lang w:val="en-US" w:eastAsia="zh-CN"/>
        </w:rPr>
      </w:pPr>
      <w:r>
        <w:rPr>
          <w:rFonts w:hint="eastAsia" w:ascii="仿宋_GB2312"/>
          <w:szCs w:val="32"/>
          <w:lang w:val="en-US" w:eastAsia="zh-CN"/>
        </w:rPr>
        <w:t xml:space="preserve">提升全部人员能力水平、加快工作效率。</w:t>
      </w:r>
      <w:r>
        <w:rPr>
          <w:rFonts w:hint="eastAsia" w:ascii="仿宋_GB2312"/>
          <w:szCs w:val="32"/>
          <w:lang w:val="en-US" w:eastAsia="zh-CN"/>
        </w:rPr>
      </w:r>
    </w:p>
    <w:p>
      <w:pPr>
        <w:pBdr/>
        <w:spacing/>
        <w:ind w:firstLine="594"/>
        <w:rPr>
          <w:rFonts w:hint="default" w:ascii="仿宋_GB2312"/>
          <w:szCs w:val="32"/>
          <w:lang w:val="en-US" w:eastAsia="zh-CN"/>
        </w:rPr>
      </w:pPr>
      <w:r>
        <w:rPr>
          <w:rFonts w:hint="eastAsia" w:ascii="仿宋_GB2312"/>
          <w:szCs w:val="32"/>
          <w:lang w:val="en-US" w:eastAsia="zh-CN"/>
        </w:rPr>
        <w:t xml:space="preserve">整理散小资金，按科室进行合并。</w:t>
      </w:r>
      <w:bookmarkStart w:id="0" w:name="_GoBack"/>
      <w:r/>
      <w:bookmarkEnd w:id="0"/>
      <w:r/>
      <w:r>
        <w:rPr>
          <w:rFonts w:hint="default" w:ascii="仿宋_GB2312"/>
          <w:szCs w:val="32"/>
          <w:lang w:val="en-US" w:eastAsia="zh-CN"/>
        </w:rPr>
      </w:r>
    </w:p>
    <w:p>
      <w:pPr>
        <w:pBdr/>
        <w:spacing/>
        <w:ind w:firstLine="594"/>
        <w:rPr>
          <w:rFonts w:ascii="仿宋_GB2312"/>
          <w:szCs w:val="32"/>
        </w:rPr>
      </w:pPr>
      <w:r>
        <w:rPr>
          <w:rFonts w:hint="eastAsia" w:ascii="仿宋_GB2312"/>
          <w:szCs w:val="32"/>
        </w:rPr>
        <w:t xml:space="preserve">（二）主要经验做法、改进措施和有关建议等。</w:t>
      </w:r>
      <w:r>
        <w:rPr>
          <w:rFonts w:ascii="仿宋_GB2312"/>
          <w:szCs w:val="32"/>
        </w:rPr>
      </w:r>
    </w:p>
    <w:p>
      <w:pPr>
        <w:pBdr/>
        <w:spacing/>
        <w:ind/>
        <w:rPr>
          <w:rFonts w:hint="default" w:eastAsia="仿宋_GB2312"/>
          <w:lang w:val="en-US" w:eastAsia="zh-CN"/>
        </w:rPr>
      </w:pPr>
      <w:r>
        <w:rPr>
          <w:rFonts w:hint="eastAsia"/>
          <w:lang w:val="en-US" w:eastAsia="zh-CN"/>
        </w:rPr>
        <w:t xml:space="preserve">    无</w:t>
      </w:r>
      <w:r>
        <w:rPr>
          <w:rFonts w:hint="default" w:eastAsia="仿宋_GB2312"/>
          <w:lang w:val="en-US" w:eastAsia="zh-CN"/>
        </w:rPr>
      </w:r>
    </w:p>
    <w:sectPr>
      <w:footnotePr/>
      <w:endnotePr/>
      <w:type w:val="nextPage"/>
      <w:pgSz w:h="16838" w:orient="landscape" w:w="11906"/>
      <w:pgMar w:top="1723" w:right="1800" w:bottom="1723" w:left="1800" w:header="851" w:footer="992"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20B0604020202020204"/>
  </w:font>
  <w:font w:name="黑体">
    <w:panose1 w:val="02010609060101010101"/>
  </w:font>
  <w:font w:name="Symbol">
    <w:panose1 w:val="05050102010706020507"/>
  </w:font>
  <w:font w:name="Wingdings">
    <w:panose1 w:val="05000000000000000000"/>
  </w:font>
  <w:font w:name="仿宋_GB2312">
    <w:panose1 w:val="02010609060101010101"/>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2"/>
    <w:next w:val="62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3"/>
    <w:link w:val="13"/>
    <w:uiPriority w:val="9"/>
    <w:pPr>
      <w:pBdr/>
      <w:spacing/>
      <w:ind/>
    </w:pPr>
    <w:rPr>
      <w:rFonts w:ascii="等线" w:hAnsi="等线" w:eastAsia="等线" w:cs="等线"/>
      <w:sz w:val="40"/>
      <w:szCs w:val="40"/>
    </w:rPr>
  </w:style>
  <w:style w:type="paragraph" w:styleId="15">
    <w:name w:val="Heading 2"/>
    <w:basedOn w:val="622"/>
    <w:next w:val="62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3"/>
    <w:link w:val="15"/>
    <w:uiPriority w:val="9"/>
    <w:pPr>
      <w:pBdr/>
      <w:spacing/>
      <w:ind/>
    </w:pPr>
    <w:rPr>
      <w:rFonts w:ascii="等线" w:hAnsi="等线" w:eastAsia="等线" w:cs="等线"/>
      <w:sz w:val="34"/>
    </w:rPr>
  </w:style>
  <w:style w:type="paragraph" w:styleId="17">
    <w:name w:val="Heading 3"/>
    <w:basedOn w:val="622"/>
    <w:next w:val="62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3"/>
    <w:link w:val="17"/>
    <w:uiPriority w:val="9"/>
    <w:pPr>
      <w:pBdr/>
      <w:spacing/>
      <w:ind/>
    </w:pPr>
    <w:rPr>
      <w:rFonts w:ascii="等线" w:hAnsi="等线" w:eastAsia="等线" w:cs="等线"/>
      <w:sz w:val="30"/>
      <w:szCs w:val="30"/>
    </w:rPr>
  </w:style>
  <w:style w:type="paragraph" w:styleId="19">
    <w:name w:val="Heading 4"/>
    <w:basedOn w:val="622"/>
    <w:next w:val="62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3"/>
    <w:link w:val="19"/>
    <w:uiPriority w:val="9"/>
    <w:pPr>
      <w:pBdr/>
      <w:spacing/>
      <w:ind/>
    </w:pPr>
    <w:rPr>
      <w:rFonts w:ascii="等线" w:hAnsi="等线" w:eastAsia="等线" w:cs="等线"/>
      <w:b/>
      <w:bCs/>
      <w:sz w:val="26"/>
      <w:szCs w:val="26"/>
    </w:rPr>
  </w:style>
  <w:style w:type="paragraph" w:styleId="21">
    <w:name w:val="Heading 5"/>
    <w:basedOn w:val="622"/>
    <w:next w:val="62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3"/>
    <w:link w:val="21"/>
    <w:uiPriority w:val="9"/>
    <w:pPr>
      <w:pBdr/>
      <w:spacing/>
      <w:ind/>
    </w:pPr>
    <w:rPr>
      <w:rFonts w:ascii="等线" w:hAnsi="等线" w:eastAsia="等线" w:cs="等线"/>
      <w:b/>
      <w:bCs/>
      <w:sz w:val="24"/>
      <w:szCs w:val="24"/>
    </w:rPr>
  </w:style>
  <w:style w:type="paragraph" w:styleId="23">
    <w:name w:val="Heading 6"/>
    <w:basedOn w:val="622"/>
    <w:next w:val="62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3"/>
    <w:link w:val="23"/>
    <w:uiPriority w:val="9"/>
    <w:pPr>
      <w:pBdr/>
      <w:spacing/>
      <w:ind/>
    </w:pPr>
    <w:rPr>
      <w:rFonts w:ascii="等线" w:hAnsi="等线" w:eastAsia="等线" w:cs="等线"/>
      <w:b/>
      <w:bCs/>
      <w:sz w:val="22"/>
      <w:szCs w:val="22"/>
    </w:rPr>
  </w:style>
  <w:style w:type="paragraph" w:styleId="25">
    <w:name w:val="Heading 7"/>
    <w:basedOn w:val="622"/>
    <w:next w:val="62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3"/>
    <w:link w:val="25"/>
    <w:uiPriority w:val="9"/>
    <w:pPr>
      <w:pBdr/>
      <w:spacing/>
      <w:ind/>
    </w:pPr>
    <w:rPr>
      <w:rFonts w:ascii="等线" w:hAnsi="等线" w:eastAsia="等线" w:cs="等线"/>
      <w:b/>
      <w:bCs/>
      <w:i/>
      <w:iCs/>
      <w:sz w:val="22"/>
      <w:szCs w:val="22"/>
    </w:rPr>
  </w:style>
  <w:style w:type="paragraph" w:styleId="27">
    <w:name w:val="Heading 8"/>
    <w:basedOn w:val="622"/>
    <w:next w:val="62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3"/>
    <w:link w:val="27"/>
    <w:uiPriority w:val="9"/>
    <w:pPr>
      <w:pBdr/>
      <w:spacing/>
      <w:ind/>
    </w:pPr>
    <w:rPr>
      <w:rFonts w:ascii="等线" w:hAnsi="等线" w:eastAsia="等线" w:cs="等线"/>
      <w:i/>
      <w:iCs/>
      <w:sz w:val="22"/>
      <w:szCs w:val="22"/>
    </w:rPr>
  </w:style>
  <w:style w:type="paragraph" w:styleId="29">
    <w:name w:val="Heading 9"/>
    <w:basedOn w:val="622"/>
    <w:next w:val="62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3"/>
    <w:link w:val="29"/>
    <w:uiPriority w:val="9"/>
    <w:pPr>
      <w:pBdr/>
      <w:spacing/>
      <w:ind/>
    </w:pPr>
    <w:rPr>
      <w:rFonts w:ascii="等线" w:hAnsi="等线" w:eastAsia="等线" w:cs="等线"/>
      <w:i/>
      <w:iCs/>
      <w:sz w:val="21"/>
      <w:szCs w:val="21"/>
    </w:rPr>
  </w:style>
  <w:style w:type="paragraph" w:styleId="31">
    <w:name w:val="List Paragraph"/>
    <w:basedOn w:val="62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2"/>
    <w:next w:val="622"/>
    <w:link w:val="35"/>
    <w:uiPriority w:val="10"/>
    <w:qFormat/>
    <w:pPr>
      <w:pBdr/>
      <w:spacing w:after="200" w:before="300"/>
      <w:ind/>
      <w:contextualSpacing w:val="true"/>
    </w:pPr>
    <w:rPr>
      <w:sz w:val="48"/>
      <w:szCs w:val="48"/>
    </w:rPr>
  </w:style>
  <w:style w:type="character" w:styleId="35">
    <w:name w:val="Title Char"/>
    <w:basedOn w:val="623"/>
    <w:link w:val="34"/>
    <w:uiPriority w:val="10"/>
    <w:pPr>
      <w:pBdr/>
      <w:spacing/>
      <w:ind/>
    </w:pPr>
    <w:rPr>
      <w:sz w:val="48"/>
      <w:szCs w:val="48"/>
    </w:rPr>
  </w:style>
  <w:style w:type="paragraph" w:styleId="36">
    <w:name w:val="Subtitle"/>
    <w:basedOn w:val="622"/>
    <w:next w:val="622"/>
    <w:link w:val="37"/>
    <w:uiPriority w:val="11"/>
    <w:qFormat/>
    <w:pPr>
      <w:pBdr/>
      <w:spacing w:after="200" w:before="200"/>
      <w:ind/>
    </w:pPr>
    <w:rPr>
      <w:sz w:val="24"/>
      <w:szCs w:val="24"/>
    </w:rPr>
  </w:style>
  <w:style w:type="character" w:styleId="37">
    <w:name w:val="Subtitle Char"/>
    <w:basedOn w:val="623"/>
    <w:link w:val="36"/>
    <w:uiPriority w:val="11"/>
    <w:pPr>
      <w:pBdr/>
      <w:spacing/>
      <w:ind/>
    </w:pPr>
    <w:rPr>
      <w:sz w:val="24"/>
      <w:szCs w:val="24"/>
    </w:rPr>
  </w:style>
  <w:style w:type="paragraph" w:styleId="38">
    <w:name w:val="Quote"/>
    <w:basedOn w:val="622"/>
    <w:next w:val="62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2"/>
    <w:next w:val="62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2"/>
    <w:link w:val="43"/>
    <w:uiPriority w:val="99"/>
    <w:unhideWhenUsed/>
    <w:pPr>
      <w:pBdr/>
      <w:tabs>
        <w:tab w:val="center" w:leader="none" w:pos="7143"/>
        <w:tab w:val="right" w:leader="none" w:pos="14287"/>
      </w:tabs>
      <w:spacing w:after="0" w:line="240" w:lineRule="auto"/>
      <w:ind/>
    </w:pPr>
  </w:style>
  <w:style w:type="character" w:styleId="43">
    <w:name w:val="Header Char"/>
    <w:basedOn w:val="623"/>
    <w:link w:val="42"/>
    <w:uiPriority w:val="99"/>
    <w:pPr>
      <w:pBdr/>
      <w:spacing/>
      <w:ind/>
    </w:pPr>
  </w:style>
  <w:style w:type="paragraph" w:styleId="44">
    <w:name w:val="Footer"/>
    <w:basedOn w:val="622"/>
    <w:link w:val="47"/>
    <w:uiPriority w:val="99"/>
    <w:unhideWhenUsed/>
    <w:pPr>
      <w:pBdr/>
      <w:tabs>
        <w:tab w:val="center" w:leader="none" w:pos="7143"/>
        <w:tab w:val="right" w:leader="none" w:pos="14287"/>
      </w:tabs>
      <w:spacing w:after="0" w:line="240" w:lineRule="auto"/>
      <w:ind/>
    </w:pPr>
  </w:style>
  <w:style w:type="character" w:styleId="45">
    <w:name w:val="Footer Char"/>
    <w:basedOn w:val="623"/>
    <w:link w:val="44"/>
    <w:uiPriority w:val="99"/>
    <w:pPr>
      <w:pBdr/>
      <w:spacing/>
      <w:ind/>
    </w:pPr>
  </w:style>
  <w:style w:type="paragraph" w:styleId="46">
    <w:name w:val="Caption"/>
    <w:basedOn w:val="622"/>
    <w:next w:val="62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3"/>
    <w:uiPriority w:val="99"/>
    <w:unhideWhenUsed/>
    <w:pPr>
      <w:pBdr/>
      <w:spacing/>
      <w:ind/>
    </w:pPr>
    <w:rPr>
      <w:vertAlign w:val="superscript"/>
    </w:rPr>
  </w:style>
  <w:style w:type="paragraph" w:styleId="178">
    <w:name w:val="endnote text"/>
    <w:basedOn w:val="62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3"/>
    <w:uiPriority w:val="99"/>
    <w:semiHidden/>
    <w:unhideWhenUsed/>
    <w:pPr>
      <w:pBdr/>
      <w:spacing/>
      <w:ind/>
    </w:pPr>
    <w:rPr>
      <w:vertAlign w:val="superscript"/>
    </w:rPr>
  </w:style>
  <w:style w:type="paragraph" w:styleId="181">
    <w:name w:val="toc 1"/>
    <w:basedOn w:val="622"/>
    <w:next w:val="622"/>
    <w:uiPriority w:val="39"/>
    <w:unhideWhenUsed/>
    <w:pPr>
      <w:pBdr/>
      <w:spacing w:after="57"/>
      <w:ind w:right="0" w:firstLine="0" w:left="0"/>
    </w:pPr>
  </w:style>
  <w:style w:type="paragraph" w:styleId="182">
    <w:name w:val="toc 2"/>
    <w:basedOn w:val="622"/>
    <w:next w:val="622"/>
    <w:uiPriority w:val="39"/>
    <w:unhideWhenUsed/>
    <w:pPr>
      <w:pBdr/>
      <w:spacing w:after="57"/>
      <w:ind w:right="0" w:firstLine="0" w:left="283"/>
    </w:pPr>
  </w:style>
  <w:style w:type="paragraph" w:styleId="183">
    <w:name w:val="toc 3"/>
    <w:basedOn w:val="622"/>
    <w:next w:val="622"/>
    <w:uiPriority w:val="39"/>
    <w:unhideWhenUsed/>
    <w:pPr>
      <w:pBdr/>
      <w:spacing w:after="57"/>
      <w:ind w:right="0" w:firstLine="0" w:left="567"/>
    </w:pPr>
  </w:style>
  <w:style w:type="paragraph" w:styleId="184">
    <w:name w:val="toc 4"/>
    <w:basedOn w:val="622"/>
    <w:next w:val="622"/>
    <w:uiPriority w:val="39"/>
    <w:unhideWhenUsed/>
    <w:pPr>
      <w:pBdr/>
      <w:spacing w:after="57"/>
      <w:ind w:right="0" w:firstLine="0" w:left="850"/>
    </w:pPr>
  </w:style>
  <w:style w:type="paragraph" w:styleId="185">
    <w:name w:val="toc 5"/>
    <w:basedOn w:val="622"/>
    <w:next w:val="622"/>
    <w:uiPriority w:val="39"/>
    <w:unhideWhenUsed/>
    <w:pPr>
      <w:pBdr/>
      <w:spacing w:after="57"/>
      <w:ind w:right="0" w:firstLine="0" w:left="1134"/>
    </w:pPr>
  </w:style>
  <w:style w:type="paragraph" w:styleId="186">
    <w:name w:val="toc 6"/>
    <w:basedOn w:val="622"/>
    <w:next w:val="622"/>
    <w:uiPriority w:val="39"/>
    <w:unhideWhenUsed/>
    <w:pPr>
      <w:pBdr/>
      <w:spacing w:after="57"/>
      <w:ind w:right="0" w:firstLine="0" w:left="1417"/>
    </w:pPr>
  </w:style>
  <w:style w:type="paragraph" w:styleId="187">
    <w:name w:val="toc 7"/>
    <w:basedOn w:val="622"/>
    <w:next w:val="622"/>
    <w:uiPriority w:val="39"/>
    <w:unhideWhenUsed/>
    <w:pPr>
      <w:pBdr/>
      <w:spacing w:after="57"/>
      <w:ind w:right="0" w:firstLine="0" w:left="1701"/>
    </w:pPr>
  </w:style>
  <w:style w:type="paragraph" w:styleId="188">
    <w:name w:val="toc 8"/>
    <w:basedOn w:val="622"/>
    <w:next w:val="622"/>
    <w:uiPriority w:val="39"/>
    <w:unhideWhenUsed/>
    <w:pPr>
      <w:pBdr/>
      <w:spacing w:after="57"/>
      <w:ind w:right="0" w:firstLine="0" w:left="1984"/>
    </w:pPr>
  </w:style>
  <w:style w:type="paragraph" w:styleId="189">
    <w:name w:val="toc 9"/>
    <w:basedOn w:val="622"/>
    <w:next w:val="62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2"/>
    <w:next w:val="622"/>
    <w:uiPriority w:val="99"/>
    <w:unhideWhenUsed/>
    <w:pPr>
      <w:pBdr/>
      <w:spacing w:after="0" w:afterAutospacing="0"/>
      <w:ind/>
    </w:pPr>
  </w:style>
  <w:style w:type="paragraph" w:styleId="622" w:default="1">
    <w:name w:val="Normal"/>
    <w:uiPriority w:val="0"/>
    <w:qFormat/>
    <w:pPr>
      <w:widowControl w:val="false"/>
      <w:pBdr/>
      <w:spacing/>
      <w:ind/>
      <w:jc w:val="both"/>
    </w:pPr>
    <w:rPr>
      <w:rFonts w:eastAsia="仿宋_GB2312" w:asciiTheme="minorHAnsi" w:hAnsiTheme="minorHAnsi" w:cstheme="minorBidi"/>
      <w:sz w:val="32"/>
      <w:szCs w:val="22"/>
      <w:lang w:val="en-US" w:eastAsia="zh-CN" w:bidi="ar-SA"/>
    </w:rPr>
  </w:style>
  <w:style w:type="character" w:styleId="623" w:default="1">
    <w:name w:val="Default Paragraph Font"/>
    <w:uiPriority w:val="0"/>
    <w:semiHidden/>
    <w:qFormat/>
    <w:pPr>
      <w:pBdr/>
      <w:spacing/>
      <w:ind/>
    </w:pPr>
  </w:style>
  <w:style w:type="table" w:styleId="624"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6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匿名</cp:lastModifiedBy>
  <cp:revision>1</cp:revision>
  <dcterms:created xsi:type="dcterms:W3CDTF">2014-10-29T12:08:00Z</dcterms:created>
  <dcterms:modified xsi:type="dcterms:W3CDTF">2025-04-11T07:09:04Z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86B93B51FB3A4A3E87619E93C392A771</vt:lpwstr>
  </property>
</Properties>
</file>