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5"/>
          <w:rFonts w:ascii="宋体" w:hAnsi="宋体" w:eastAsia="宋体" w:cs="宋体"/>
          <w:kern w:val="0"/>
          <w:sz w:val="18"/>
          <w:szCs w:val="18"/>
          <w:lang w:val="en-US" w:eastAsia="zh-CN" w:bidi="ar"/>
        </w:rPr>
      </w:pPr>
      <w:r>
        <w:rPr>
          <w:rStyle w:val="5"/>
          <w:rFonts w:hint="eastAsia" w:ascii="宋体" w:hAnsi="宋体" w:eastAsia="宋体" w:cs="宋体"/>
          <w:kern w:val="0"/>
          <w:sz w:val="32"/>
          <w:szCs w:val="32"/>
          <w:lang w:val="en-US" w:eastAsia="zh-CN" w:bidi="ar"/>
        </w:rPr>
        <w:t>昆明市呈贡区公共交通企业信息主动公开</w:t>
      </w:r>
      <w:bookmarkStart w:id="0" w:name="_GoBack"/>
      <w:bookmarkEnd w:id="0"/>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600"/>
        <w:gridCol w:w="6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jc w:val="center"/>
        </w:trPr>
        <w:tc>
          <w:tcPr>
            <w:tcW w:w="600"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center"/>
              <w:rPr>
                <w:sz w:val="18"/>
                <w:szCs w:val="18"/>
              </w:rPr>
            </w:pPr>
            <w:r>
              <w:rPr>
                <w:rStyle w:val="5"/>
                <w:rFonts w:ascii="宋体" w:hAnsi="宋体" w:eastAsia="宋体" w:cs="宋体"/>
                <w:kern w:val="0"/>
                <w:sz w:val="18"/>
                <w:szCs w:val="18"/>
                <w:lang w:val="en-US" w:eastAsia="zh-CN" w:bidi="ar"/>
              </w:rPr>
              <w:t>序号</w:t>
            </w:r>
          </w:p>
        </w:tc>
        <w:tc>
          <w:tcPr>
            <w:tcW w:w="600"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center"/>
              <w:rPr>
                <w:sz w:val="18"/>
                <w:szCs w:val="18"/>
              </w:rPr>
            </w:pPr>
            <w:r>
              <w:rPr>
                <w:rStyle w:val="5"/>
                <w:rFonts w:ascii="宋体" w:hAnsi="宋体" w:eastAsia="宋体" w:cs="宋体"/>
                <w:kern w:val="0"/>
                <w:sz w:val="18"/>
                <w:szCs w:val="18"/>
                <w:lang w:val="en-US" w:eastAsia="zh-CN" w:bidi="ar"/>
              </w:rPr>
              <w:t>一级栏目</w:t>
            </w:r>
          </w:p>
        </w:tc>
        <w:tc>
          <w:tcPr>
            <w:tcW w:w="6063"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center"/>
              <w:rPr>
                <w:sz w:val="18"/>
                <w:szCs w:val="18"/>
              </w:rPr>
            </w:pPr>
            <w:r>
              <w:rPr>
                <w:rStyle w:val="5"/>
                <w:rFonts w:ascii="宋体" w:hAnsi="宋体" w:eastAsia="宋体" w:cs="宋体"/>
                <w:kern w:val="0"/>
                <w:sz w:val="18"/>
                <w:szCs w:val="18"/>
                <w:lang w:val="en-US" w:eastAsia="zh-CN" w:bidi="ar"/>
              </w:rPr>
              <w:t>公开内容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jc w:val="center"/>
        </w:trPr>
        <w:tc>
          <w:tcPr>
            <w:tcW w:w="600"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w:t>
            </w:r>
          </w:p>
        </w:tc>
        <w:tc>
          <w:tcPr>
            <w:tcW w:w="600"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企业概况</w:t>
            </w:r>
          </w:p>
        </w:tc>
        <w:tc>
          <w:tcPr>
            <w:tcW w:w="6063"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rFonts w:hint="default"/>
                <w:sz w:val="18"/>
                <w:szCs w:val="18"/>
                <w:lang w:val="en-US"/>
              </w:rPr>
            </w:pPr>
            <w:r>
              <w:rPr>
                <w:rFonts w:hint="eastAsia" w:ascii="宋体" w:hAnsi="宋体" w:eastAsia="宋体" w:cs="宋体"/>
                <w:kern w:val="0"/>
                <w:sz w:val="18"/>
                <w:szCs w:val="18"/>
                <w:lang w:val="en-US" w:eastAsia="zh-CN" w:bidi="ar"/>
              </w:rPr>
              <w:t>昆明新南站交通产业开发有限公司</w:t>
            </w:r>
            <w:r>
              <w:rPr>
                <w:rFonts w:hint="eastAsia" w:ascii="宋体" w:hAnsi="宋体" w:cs="宋体"/>
                <w:kern w:val="0"/>
                <w:sz w:val="18"/>
                <w:szCs w:val="18"/>
                <w:lang w:val="en-US" w:eastAsia="zh-CN" w:bidi="ar"/>
              </w:rPr>
              <w:t>是</w:t>
            </w:r>
            <w:r>
              <w:rPr>
                <w:rFonts w:hint="eastAsia" w:ascii="宋体" w:hAnsi="宋体" w:eastAsia="宋体" w:cs="宋体"/>
                <w:kern w:val="0"/>
                <w:sz w:val="18"/>
                <w:szCs w:val="18"/>
                <w:lang w:val="en-US" w:eastAsia="zh-CN" w:bidi="ar"/>
              </w:rPr>
              <w:t>经昆明市国资委批准成立的合资公司，</w:t>
            </w:r>
            <w:r>
              <w:rPr>
                <w:rFonts w:hint="default" w:ascii="宋体" w:hAnsi="宋体" w:eastAsia="宋体" w:cs="宋体"/>
                <w:kern w:val="0"/>
                <w:sz w:val="18"/>
                <w:szCs w:val="18"/>
                <w:lang w:val="en-US" w:eastAsia="zh-CN" w:bidi="ar"/>
              </w:rPr>
              <w:t>由昆明新南站开发运营有限公司与云南交通运输集团有限公司发起成立，</w:t>
            </w:r>
            <w:r>
              <w:rPr>
                <w:rFonts w:hint="eastAsia" w:ascii="宋体" w:hAnsi="宋体" w:eastAsia="宋体" w:cs="宋体"/>
                <w:kern w:val="0"/>
                <w:sz w:val="18"/>
                <w:szCs w:val="18"/>
                <w:lang w:val="en-US" w:eastAsia="zh-CN" w:bidi="ar"/>
              </w:rPr>
              <w:t>于2015年10月10日成立。</w:t>
            </w:r>
            <w:r>
              <w:rPr>
                <w:rFonts w:hint="eastAsia" w:ascii="宋体" w:hAnsi="宋体" w:cs="宋体"/>
                <w:kern w:val="0"/>
                <w:sz w:val="18"/>
                <w:szCs w:val="18"/>
                <w:lang w:val="en-US" w:eastAsia="zh-CN" w:bidi="ar"/>
              </w:rPr>
              <w:t>公司隶属于昆明市呈贡区交通运输局监管。</w:t>
            </w:r>
            <w:r>
              <w:rPr>
                <w:rFonts w:hint="eastAsia" w:ascii="宋体" w:hAnsi="宋体" w:eastAsia="宋体" w:cs="宋体"/>
                <w:kern w:val="0"/>
                <w:sz w:val="18"/>
                <w:szCs w:val="18"/>
                <w:lang w:val="en-US" w:eastAsia="zh-CN" w:bidi="ar"/>
              </w:rPr>
              <w:t>公司位于昆明市呈贡区洛龙街道秀岭路211号，咨询电话0871-67482213</w:t>
            </w:r>
            <w:r>
              <w:rPr>
                <w:rFonts w:hint="eastAsia" w:ascii="宋体" w:hAnsi="宋体" w:cs="宋体"/>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jc w:val="center"/>
        </w:trPr>
        <w:tc>
          <w:tcPr>
            <w:tcW w:w="600"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sz w:val="18"/>
                <w:szCs w:val="18"/>
              </w:rPr>
            </w:pPr>
            <w:r>
              <w:rPr>
                <w:rFonts w:hint="eastAsia" w:ascii="宋体" w:hAnsi="宋体" w:cs="宋体"/>
                <w:kern w:val="0"/>
                <w:sz w:val="18"/>
                <w:szCs w:val="18"/>
                <w:lang w:val="en-US" w:eastAsia="zh-CN" w:bidi="ar"/>
              </w:rPr>
              <w:t>2</w:t>
            </w:r>
          </w:p>
        </w:tc>
        <w:tc>
          <w:tcPr>
            <w:tcW w:w="600"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rPr>
                <w:rFonts w:hint="default" w:ascii="宋体" w:eastAsia="宋体"/>
                <w:sz w:val="18"/>
                <w:szCs w:val="18"/>
                <w:lang w:val="en-US" w:eastAsia="zh-CN"/>
              </w:rPr>
            </w:pPr>
            <w:r>
              <w:rPr>
                <w:rFonts w:hint="eastAsia" w:ascii="宋体"/>
                <w:sz w:val="18"/>
                <w:szCs w:val="18"/>
                <w:lang w:val="en-US" w:eastAsia="zh-CN"/>
              </w:rPr>
              <w:t>运营服务</w:t>
            </w:r>
          </w:p>
        </w:tc>
        <w:tc>
          <w:tcPr>
            <w:tcW w:w="6063"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rFonts w:hint="eastAsia" w:eastAsia="宋体"/>
                <w:sz w:val="18"/>
                <w:szCs w:val="18"/>
                <w:lang w:eastAsia="zh-CN"/>
              </w:rPr>
            </w:pPr>
            <w:r>
              <w:rPr>
                <w:rFonts w:hint="eastAsia"/>
                <w:sz w:val="18"/>
                <w:szCs w:val="18"/>
                <w:lang w:eastAsia="zh-CN"/>
              </w:rPr>
              <w:t>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00"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sz w:val="18"/>
                <w:szCs w:val="18"/>
              </w:rPr>
            </w:pPr>
            <w:r>
              <w:rPr>
                <w:rFonts w:hint="eastAsia" w:ascii="宋体" w:hAnsi="宋体" w:cs="宋体"/>
                <w:kern w:val="0"/>
                <w:sz w:val="18"/>
                <w:szCs w:val="18"/>
                <w:lang w:val="en-US" w:eastAsia="zh-CN" w:bidi="ar"/>
              </w:rPr>
              <w:t>3</w:t>
            </w:r>
          </w:p>
        </w:tc>
        <w:tc>
          <w:tcPr>
            <w:tcW w:w="600"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安全防范</w:t>
            </w:r>
          </w:p>
        </w:tc>
        <w:tc>
          <w:tcPr>
            <w:tcW w:w="6063"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禁止携带和托运的物品目录</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（一）枪支、子弹及相关物品类（含主要零部件）：</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1.军用枪、公务用枪：手枪、冲锋枪、步枪、机枪、防暴枪等以及各类配用子弹；</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2.民用枪：气枪、猎枪、运动枪、麻醉注射枪等以及各类配用子弹；</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3.发令枪、样品枪、道具枪、钢珠枪、催泪枪、电击枪、水弹枪等；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4.上述物品的样品、仿制品。</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（二）爆炸物品类：</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1.弹药：炸弹、手榴弹、手雷、地雷、照明弹、燃烧弹、烟幕弹、信号弹、催泪弹、毒气弹等；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2.爆破器材：炸药、雷管、导火索、导爆索、震源弹、爆破剂等；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3.烟火制品：礼花弹、烟花（含冷光烟花）、鞭炮、摔炮、拉炮、砸炮等各类烟花爆竹，发令纸、黑火药、烟火药、引火线，以及“钢丝棉烟花”等具有烟花效果的制品等；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4.上述物品的仿制品。</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（三）管制器具：</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管制刀具：匕首、三棱刀（包括机械加工用的三棱刮刀）、带有自锁装置的弹簧刀（跳刀）、刀尖角度小于60度、刀身长度超过150毫米的各类单刃、双刃和多刃刀具，刀尖角度大于60度、刀身长度超过220毫米的各类单刃、双刃和多刃刀具，以及符合上述条件的陶瓷类刀具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2.其他器具：警棍、军用或警用匕首、刺刀、催泪器、电击器、防卫器、弩、弩箭等。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（四）易燃、易爆物品：</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压缩气体和液化气体：氢气、甲烷、乙烷、环氧乙烷、二甲醚、丁烷、天然气、乙烯、氯乙烯、丙烯、乙炔（溶于介质的）、一氧化碳、液化石油气、氟利昂、氧气（供病人吸氧的袋装医用氧气除外）、水煤气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易燃液体：汽油（包括甲醇汽油、乙醇汽油）、煤油、柴油、苯、体积百分含量大于75%或标识不清晰的酒精及酒类饮品、1,2-环氧丙烷、二硫化碳、甲醇、丙酮、乙醚、油漆、稀料、松香油及含易燃溶剂的制品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3.易燃固体：红磷、闪光粉、固体酒精、赛璐珞、发泡剂H、偶氮二异庚腈等；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4.自燃物品：黄磷、白磷、硝化纤维（含胶片）、油纸及其制品等；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5.遇湿易燃物品：金属钾、钠、锂、碳化钙（电石）、镁铝粉等；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6.氧化剂和有机过氧化物：高锰酸钾、氯酸钾、过氧化钠、过氧化钾、过氧化铅、过醋酸、双氧水、氯酸钠、硝酸铵等。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（五）毒害品：</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氰化物、砒霜、硒粉、苯酚、氯、氨、异氰酸甲酯、硫酸二甲酯等高毒化学品以及剧毒农药等。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（六）腐蚀性物品：</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硫酸、盐酸、硝酸、有液蓄电池（含氢氧化钾固体、注有酸液或碱液的）、氢氧化钠、氢氧化钾、汞（水银）等。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（七）放射性物品：</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指含有放射性核素，并且其活度和比活度均高于国家规定豁免值的物品，详见《放射性物品分类和名录（试行）》。</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（八）感染性物质：</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包括可感染人类的高致病性病原微生物菌（毒）种和感染性样本，详见《人间传染的病原微生物名录》中危害程度分类为第一类、第二类的病原微生物。</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（九）其他危害道路客运车辆公共卫生或运行安全的物品：</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1.硫化氢及有粪臭、腐败臭等强烈刺激性的气味或者有恶臭等异味的物品；</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容易引起旅客恐慌情绪的物品，以及不能判明性质，但是可能具有危险性、妨碍公共安全或公共卫生的物品（含活动物，按照规定佩戴犬牌并采取系犬绳、戴口套等措施的服务犬除外）。农村客运车辆经营者可视情况允许旅客携带少量家禽。</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（十）国家法律、行政法规、规章规定的其他禁止携带、运输的物品。</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二、限制携带和托运的物品目录</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（一）包装密封完好、标识清晰且体积百分含量大于或等于24%、小于或等于75%的酒精及酒类饮品累计不超过3000毫升。</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（二）指甲油、去光剂累计不超过50毫升。</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（三）冷烫精、染发剂、摩丝、发胶、杀虫剂、空气清新剂等自喷压力容器累计不超过600毫升。</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（四）安全火柴不超过2小盒，普通打火机不超过2个。</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（五）标识清晰的充电宝、锂电池数量不超过5块，单块额定能量不超过100Wh（如充电宝或锂电池未直接标注额定能量Wh，则可以按照换算公式计算）</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*100WH（千瓦小时）=27777mAH（毫安小时）充电宝电压一般是3.6V，计算公式是额定能量(WH)=容量(AH)乘以电压(V)。若容量注明mAH(毫安)，则还要除以1000即得到AH(安)。1AH（安培小时）=1000mAH（毫安小时）。</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（六）国家法律、行政法规、规章规定的其他限制携带、运输的物品。</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三、禁止旅客随身携带但可以在行李舱放置（托运）的物品目录</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（一）锐器：菜刀、水果刀、剪刀、美工刀、裁纸刀等日用刀具；手术刀、屠宰刀、雕刻刀、刨刀、铣刀等专业刀具；刀、矛、剑、戟等表演刀具。</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（二）钝器：棍棒、球棒、桌球杆、曲棍球杆等。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（三）工具农具：钻机、凿、锥、锯、斧头、焊枪、锤、冰镐、耙、铁锹、镢头、锄头、农用叉、镰刀、铡刀等。</w:t>
            </w:r>
          </w:p>
          <w:p>
            <w:pPr>
              <w:keepNext w:val="0"/>
              <w:keepLines w:val="0"/>
              <w:widowControl/>
              <w:suppressLineNumbers w:val="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（四）其他：反曲弓、复合弓等非机械弓箭类器材，飞镖、弹弓，不超过50毫升的防身喷剂等。</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cs="宋体"/>
                <w:kern w:val="0"/>
                <w:sz w:val="18"/>
                <w:szCs w:val="18"/>
                <w:lang w:val="en-US" w:eastAsia="zh-CN" w:bidi="ar"/>
              </w:rPr>
            </w:pPr>
            <w:r>
              <w:rPr>
                <w:rFonts w:hint="eastAsia" w:ascii="宋体" w:hAnsi="宋体" w:eastAsia="宋体" w:cs="宋体"/>
                <w:kern w:val="0"/>
                <w:sz w:val="18"/>
                <w:szCs w:val="18"/>
                <w:lang w:val="en-US" w:eastAsia="zh-CN" w:bidi="ar"/>
              </w:rPr>
              <w:t>（五）持有身份证明和检疫证明、装于封闭容器内的宠物可在具备通风条件的行李舱托运，并应向旅客说明运输过程中通风、温度条件</w:t>
            </w:r>
            <w:r>
              <w:rPr>
                <w:rFonts w:hint="eastAsia" w:ascii="宋体" w:hAnsi="宋体" w:cs="宋体"/>
                <w:kern w:val="0"/>
                <w:sz w:val="18"/>
                <w:szCs w:val="18"/>
                <w:lang w:val="en-US" w:eastAsia="zh-CN" w:bidi="ar"/>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乘客须知：</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一、旅客乘车请在合法有效的网络购票平台或南站汽车客运中心“售票厅”购票。凡是合法购得并在本站发车的车票，均被视为有效客票。</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为维护旅客的合法权益，请旅客们到“售票厅”将电子票换为实体车票并在站内乘车以免造成损失。</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二、旅客应出示身份证等有效身份证明进行实名制购票，并核对乘车站地址、到达站、日期、时间，及票、款是否相符。如有差错请当面提出纠正。同一站点的票价可能因车型不同，金额也不一样，请各位旅客核对清楚。另外春运期间票价按物价局规定上浮幅度调整，票价以窗口发售为准。</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三、成年人或身高超过1.5米的儿童应购买全价票；持有一张全票旅客可免费携带身高1.2米以下的儿童一名乘车，但不供给座位；携带免费乘车儿童超过一人或供给座位时应购买儿童票。身高1.2米到1.5米的应购买儿童票，儿童乘车购买儿童票，提供座位（15座以下商务车型，1.2米以下儿童乘坐须购儿童票）。</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四、现役军人可凭《士兵证》《军官证》购买优待票，因公伤残军人、警察乘车可凭《伤残军人抚恤证》或《人民警察伤残抚恤证》购买优待票，享受半价票旅客待遇。</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现役军人优先购票，儿童票和军人优待票按该车票基价的50%计算。按规定免费的儿童以外，在载客人数已满的情况下，按照规定免费的免票儿童不得超过核定载客人数的10%，10座以下车辆无免票儿童。</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凡有下列情况之一者不准乘车</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1、不遵守汽车客运规章而不听劝告者。</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2、精神失常无人护送或虽有人护送仍可能危及其他旅客安全者。</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3、恶性传染病患者。</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六、旅客们在购买车票后，持身份证通过验票机实名验证后，进入候车大厅候车。按班车标示到指定入口检票上车。上车后请凭票对号入座。</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七、旅客退票，按以下规定计收退票费：班车距发车时间2小时前办理退票的，按票额10%计收；班车距发车时间2小时以内办理退票的，按20%计收；班车发车以后不办理退票，但可加收其他班次实际票价50%的手续费，改乘到其他未卖满座位的班次（不得超员）。</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八、旅客随身携带的旅行用品，每张全票免费10千克（儿童票5千克），休积不超过0.02立方米，长度不超过1.8米并以能放置于本人座位下或车内行李架上为限。</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九、非旅行用品或超过上述规定应于发车前向行包处托运。占用座位时按实际占用座位购票。</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严禁携带易燃、易爆、有毒、异味、污染、腐蚀、管制刀具和未经检疫的动物、尸骨，以及枪支弹药、警用器械及其仿制品等法律法规明令禁运物品进站、乘车或藏入行包内托运。</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十、客车中途停靠（休息或就餐），旅客们应认准停车位置。不按时上车造成漏乘、错乘和自理行包及随身携带的物品丢失、损坏的，由旅客承担责任。</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十一、我客运中心规定：站务人员应礼貌待客、文明用语、遵章守则、规范操作，遵照交通运输部门“三优”（优美环境、优良秩序、优质服务）和“三化”（服务质量标准化、服务管理规范化、服务过程程序化》的规定进行服务。</w:t>
            </w:r>
          </w:p>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00"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sz w:val="18"/>
                <w:szCs w:val="18"/>
              </w:rPr>
            </w:pPr>
            <w:r>
              <w:rPr>
                <w:rFonts w:hint="eastAsia" w:ascii="宋体" w:hAnsi="宋体" w:cs="宋体"/>
                <w:kern w:val="0"/>
                <w:sz w:val="18"/>
                <w:szCs w:val="18"/>
                <w:lang w:val="en-US" w:eastAsia="zh-CN" w:bidi="ar"/>
              </w:rPr>
              <w:t>4</w:t>
            </w:r>
          </w:p>
        </w:tc>
        <w:tc>
          <w:tcPr>
            <w:tcW w:w="600"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应急处置</w:t>
            </w:r>
          </w:p>
        </w:tc>
        <w:tc>
          <w:tcPr>
            <w:tcW w:w="6063"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rFonts w:hint="eastAsia" w:eastAsia="宋体"/>
                <w:sz w:val="18"/>
                <w:szCs w:val="18"/>
                <w:lang w:eastAsia="zh-CN"/>
              </w:rPr>
            </w:pPr>
            <w:r>
              <w:rPr>
                <w:rFonts w:hint="eastAsia" w:eastAsia="宋体"/>
                <w:sz w:val="18"/>
                <w:szCs w:val="18"/>
                <w:lang w:eastAsia="zh-CN"/>
              </w:rPr>
              <w:drawing>
                <wp:inline distT="0" distB="0" distL="114300" distR="114300">
                  <wp:extent cx="1525905" cy="2033905"/>
                  <wp:effectExtent l="0" t="0" r="17145" b="4445"/>
                  <wp:docPr id="1" name="图片 1" descr="0e72bb846d0ac569ecbb5d9e4c314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72bb846d0ac569ecbb5d9e4c3143e"/>
                          <pic:cNvPicPr>
                            <a:picLocks noChangeAspect="1"/>
                          </pic:cNvPicPr>
                        </pic:nvPicPr>
                        <pic:blipFill>
                          <a:blip r:embed="rId4"/>
                          <a:stretch>
                            <a:fillRect/>
                          </a:stretch>
                        </pic:blipFill>
                        <pic:spPr>
                          <a:xfrm>
                            <a:off x="0" y="0"/>
                            <a:ext cx="1525905" cy="2033905"/>
                          </a:xfrm>
                          <a:prstGeom prst="rect">
                            <a:avLst/>
                          </a:prstGeom>
                        </pic:spPr>
                      </pic:pic>
                    </a:graphicData>
                  </a:graphic>
                </wp:inline>
              </w:drawing>
            </w:r>
            <w:r>
              <w:rPr>
                <w:rFonts w:hint="eastAsia" w:eastAsia="宋体"/>
                <w:sz w:val="18"/>
                <w:szCs w:val="18"/>
                <w:lang w:eastAsia="zh-CN"/>
              </w:rPr>
              <w:drawing>
                <wp:inline distT="0" distB="0" distL="114300" distR="114300">
                  <wp:extent cx="1668145" cy="2223770"/>
                  <wp:effectExtent l="0" t="0" r="8255" b="5080"/>
                  <wp:docPr id="2" name="图片 2" descr="bf4efce0fa12d0aa2eabfad13bc7c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4efce0fa12d0aa2eabfad13bc7c7f"/>
                          <pic:cNvPicPr>
                            <a:picLocks noChangeAspect="1"/>
                          </pic:cNvPicPr>
                        </pic:nvPicPr>
                        <pic:blipFill>
                          <a:blip r:embed="rId5"/>
                          <a:stretch>
                            <a:fillRect/>
                          </a:stretch>
                        </pic:blipFill>
                        <pic:spPr>
                          <a:xfrm>
                            <a:off x="0" y="0"/>
                            <a:ext cx="1668145" cy="2223770"/>
                          </a:xfrm>
                          <a:prstGeom prst="rect">
                            <a:avLst/>
                          </a:prstGeom>
                        </pic:spPr>
                      </pic:pic>
                    </a:graphicData>
                  </a:graphic>
                </wp:inline>
              </w:drawing>
            </w:r>
            <w:r>
              <w:rPr>
                <w:rFonts w:hint="eastAsia" w:eastAsia="宋体"/>
                <w:sz w:val="18"/>
                <w:szCs w:val="18"/>
                <w:lang w:eastAsia="zh-CN"/>
              </w:rPr>
              <w:drawing>
                <wp:inline distT="0" distB="0" distL="114300" distR="114300">
                  <wp:extent cx="1668145" cy="1500505"/>
                  <wp:effectExtent l="0" t="0" r="8255" b="4445"/>
                  <wp:docPr id="3" name="图片 3" descr="7b6c8913fcd86501690dadc9f153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b6c8913fcd86501690dadc9f15377b"/>
                          <pic:cNvPicPr>
                            <a:picLocks noChangeAspect="1"/>
                          </pic:cNvPicPr>
                        </pic:nvPicPr>
                        <pic:blipFill>
                          <a:blip r:embed="rId6"/>
                          <a:stretch>
                            <a:fillRect/>
                          </a:stretch>
                        </pic:blipFill>
                        <pic:spPr>
                          <a:xfrm>
                            <a:off x="0" y="0"/>
                            <a:ext cx="1668145" cy="1500505"/>
                          </a:xfrm>
                          <a:prstGeom prst="rect">
                            <a:avLst/>
                          </a:prstGeom>
                        </pic:spPr>
                      </pic:pic>
                    </a:graphicData>
                  </a:graphic>
                </wp:inline>
              </w:drawing>
            </w:r>
            <w:r>
              <w:rPr>
                <w:rFonts w:hint="eastAsia" w:eastAsia="宋体"/>
                <w:sz w:val="18"/>
                <w:szCs w:val="18"/>
                <w:lang w:eastAsia="zh-CN"/>
              </w:rPr>
              <w:drawing>
                <wp:inline distT="0" distB="0" distL="114300" distR="114300">
                  <wp:extent cx="1734820" cy="1475105"/>
                  <wp:effectExtent l="0" t="0" r="17780" b="10795"/>
                  <wp:docPr id="4" name="图片 4" descr="4ea7636f6c0bda33785f12121329d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ea7636f6c0bda33785f12121329d4d"/>
                          <pic:cNvPicPr>
                            <a:picLocks noChangeAspect="1"/>
                          </pic:cNvPicPr>
                        </pic:nvPicPr>
                        <pic:blipFill>
                          <a:blip r:embed="rId7"/>
                          <a:stretch>
                            <a:fillRect/>
                          </a:stretch>
                        </pic:blipFill>
                        <pic:spPr>
                          <a:xfrm>
                            <a:off x="0" y="0"/>
                            <a:ext cx="1734820" cy="14751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600"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sz w:val="18"/>
                <w:szCs w:val="18"/>
              </w:rPr>
            </w:pPr>
            <w:r>
              <w:rPr>
                <w:rFonts w:hint="eastAsia" w:ascii="宋体" w:hAnsi="宋体" w:cs="宋体"/>
                <w:kern w:val="0"/>
                <w:sz w:val="18"/>
                <w:szCs w:val="18"/>
                <w:lang w:val="en-US" w:eastAsia="zh-CN" w:bidi="ar"/>
              </w:rPr>
              <w:t>5</w:t>
            </w:r>
          </w:p>
        </w:tc>
        <w:tc>
          <w:tcPr>
            <w:tcW w:w="600"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权益维护</w:t>
            </w:r>
          </w:p>
        </w:tc>
        <w:tc>
          <w:tcPr>
            <w:tcW w:w="6063" w:type="dxa"/>
            <w:tcBorders>
              <w:top w:val="single" w:color="262626" w:sz="6" w:space="0"/>
              <w:left w:val="single" w:color="262626" w:sz="6" w:space="0"/>
              <w:bottom w:val="single" w:color="262626" w:sz="6" w:space="0"/>
              <w:right w:val="single" w:color="262626" w:sz="6" w:space="0"/>
            </w:tcBorders>
            <w:noWrap w:val="0"/>
            <w:tcMar>
              <w:top w:w="75" w:type="dxa"/>
              <w:left w:w="150" w:type="dxa"/>
              <w:bottom w:w="75" w:type="dxa"/>
              <w:right w:w="150" w:type="dxa"/>
            </w:tcMar>
            <w:vAlign w:val="center"/>
          </w:tcPr>
          <w:p>
            <w:pPr>
              <w:keepNext w:val="0"/>
              <w:keepLines w:val="0"/>
              <w:widowControl/>
              <w:suppressLineNumbers w:val="0"/>
              <w:jc w:val="left"/>
              <w:rPr>
                <w:rFonts w:ascii="宋体" w:hAnsi="宋体" w:eastAsia="宋体" w:cs="宋体"/>
                <w:kern w:val="0"/>
                <w:sz w:val="18"/>
                <w:szCs w:val="18"/>
                <w:lang w:val="en-US" w:eastAsia="zh-CN" w:bidi="ar"/>
              </w:rPr>
            </w:pPr>
            <w:r>
              <w:rPr>
                <w:rFonts w:ascii="宋体" w:hAnsi="宋体" w:eastAsia="宋体" w:cs="宋体"/>
                <w:kern w:val="0"/>
                <w:sz w:val="18"/>
                <w:szCs w:val="18"/>
                <w:lang w:val="en-US" w:eastAsia="zh-CN" w:bidi="ar"/>
              </w:rPr>
              <w:t>企业服务监督电话</w:t>
            </w:r>
            <w:r>
              <w:rPr>
                <w:rFonts w:hint="eastAsia" w:ascii="宋体" w:hAnsi="宋体" w:cs="宋体"/>
                <w:kern w:val="0"/>
                <w:sz w:val="18"/>
                <w:szCs w:val="18"/>
                <w:lang w:val="en-US" w:eastAsia="zh-CN" w:bidi="ar"/>
              </w:rPr>
              <w:t>：0871-67482213</w:t>
            </w:r>
          </w:p>
        </w:tc>
      </w:tr>
    </w:tbl>
    <w:tbl>
      <w:tblPr>
        <w:tblStyle w:val="3"/>
        <w:tblpPr w:leftFromText="180" w:rightFromText="180" w:vertAnchor="text" w:horzAnchor="page" w:tblpX="1334" w:tblpY="1186"/>
        <w:tblOverlap w:val="never"/>
        <w:tblW w:w="9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2475"/>
        <w:gridCol w:w="3393"/>
        <w:gridCol w:w="3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1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昆明南站汽车客运中心车次、线路，价格明细表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发车时间</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昆明——安宁</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9:10、10:30、12：10、13:20、14:30、15:30、16：30、17:50、19:30</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安宁：32/人/次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昆明——昭通（途经：会泽、迤车、鲁甸）</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9：:00、11:00、11：30、12:10、13:30、15:30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昭通：79元/人/次 （旺季：138元/人/次）会泽：50元/人/次   迤车：79元/人/次    鲁甸：79元/人/次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昆明——澄江、禄充风景区、月亮湾湿地公园、希尔顿酒店</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9：:40--19:40 每一小时发一班</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澄江：50元/人/次 禄充风景区：60元/人/次 月亮湾湿地公园：50元/人/次            希尔顿酒店：55元/人/次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昆明——金平（途经：开远、蒙自、蛮耗）</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9:00、12:00、15:00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金平：180元/人/次 开远：120元/人/次   蒙自：160元/人/次 蛮耗：200元/人/次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昆明——重庆（途经：宜宾、自贡、内江、隆昌、荣昌、永川、走马）</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重庆：240元/人/次  宜宾：190元/人/次  自贡：240元/人/次  内江：240元/人/次   隆昌：240元/人/次  荣昌：240元/人/次  永川：240元/人/次  走马：240元/人/次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昆明——汕头（途经：汕尾、广州、东莞、惠州、澄海）</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汕头：500元/人/次 汕尾：500元/人/次   广州：450元/人/次  东莞：450元/人/次  惠州：450元/人/次  澄海：500元/人/次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昆明——福州（途经：漳州、漳浦、厦门、龙海、泉州、水头）</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福州：600元/人/次 漳州：600元/人/次   漳浦：600元/人/次 厦门：600元/人/次   龙海：600元/人/次  泉州：600元/人/次  水头：600元/人/次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昆明——保山（途经：大理、龙陵、腾冲、施甸、昌宁、芒市、瑞丽）</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  19:00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保山：220元/人/次  大理：120元/人/次  龙陵：268元/人/次  腾冲：286元/人/次  施甸：246元/人/次  昌宁：268元/人/次  芒市：280元/人/次  瑞丽：315元/人/次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昆明——沧源（途经：祥云、南涧、云县、临沧、双江、耿马）</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沧源：290元/人/次  祥云：145元/人/次  南涧：175元/人/次  云县：197元/人/次  临沧：207元/人/次  双江：240元/人/次  耿马：268元/人/次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昆明——通海（途经：玉溪、江川、华宁)</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9:00——17:00每一小时发一班</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通海：80元/人/次  玉溪：50元/人/次    江川：70元/人/次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华宁80元/人/次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昆明——文山（途经：砚山、马关、西畴、麻栗坡）</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9:30——19:30每一小时发一班</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文山：180元/人/次  砚山：180元/人/次   马关：200元/人/次   西畴：200元/人/次   麻栗坡：200元/人/次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昆明——新平（途经：峨山，大开门、嘎洒）</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  13:30  15:30  17:30  18:30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新平：80元/人/次  峨山：60元/人/次    大开门：70元/人/次  嘎洒：100元/人/次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昆明——澜沧</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昆明——孟连</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昆明——无锡（途经：邵阳、义乌、杭州、嘉兴、苏州、）</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无锡：700元/人/次  邵阳：450元/人/次  义乌：650元/人/次   杭州：650元/人/次   嘉兴：650元/人/次  苏州：700元/人/次</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NTU5MTZjMThkNjA4Y2IzYjhlY2IyYmQwNjIzZjIifQ=="/>
    <w:docVar w:name="KSO_WPS_MARK_KEY" w:val="02f0ee33-8da8-4d4d-8fb6-6c2809990599"/>
  </w:docVars>
  <w:rsids>
    <w:rsidRoot w:val="491509D1"/>
    <w:rsid w:val="03360B81"/>
    <w:rsid w:val="09EF2748"/>
    <w:rsid w:val="491509D1"/>
    <w:rsid w:val="4A226E23"/>
    <w:rsid w:val="5716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办文拟办意见"/>
    <w:basedOn w:val="4"/>
    <w:qFormat/>
    <w:uiPriority w:val="0"/>
    <w:rPr>
      <w:rFonts w:hint="eastAsia" w:ascii="仿宋_GB2312"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4283</Words>
  <Characters>4703</Characters>
  <Lines>0</Lines>
  <Paragraphs>0</Paragraphs>
  <TotalTime>44</TotalTime>
  <ScaleCrop>false</ScaleCrop>
  <LinksUpToDate>false</LinksUpToDate>
  <CharactersWithSpaces>4843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2023-11-29T13:32:00Z</dcterms:created>
  <dc:creator>玉霞</dc:creator>
  <cp:lastModifiedBy>耿顺莉</cp:lastModifiedBy>
  <cp:lastPrinted>2023-11-30T00:52:00Z</cp:lastPrinted>
  <dcterms:modified xsi:type="dcterms:W3CDTF">2025-04-10T02:07:59Z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4401B6D1F47A447E9F20CA1E39F21D0D_11</vt:lpwstr>
  </property>
</Properties>
</file>