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E4E041">
      <w:pPr>
        <w:spacing w:line="570" w:lineRule="exact"/>
        <w:jc w:val="center"/>
        <w:rPr>
          <w:rFonts w:hint="eastAsia" w:ascii="方正小标宋简体" w:hAnsi="华文中宋" w:eastAsia="方正小标宋简体"/>
          <w:spacing w:val="14"/>
          <w:sz w:val="44"/>
          <w:szCs w:val="44"/>
        </w:rPr>
      </w:pPr>
    </w:p>
    <w:p w14:paraId="3AFE2644">
      <w:pPr>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rPr>
        <w:t>昆明市呈贡区人民代表大会常务委员会</w:t>
      </w:r>
      <w:r>
        <w:rPr>
          <w:rFonts w:hint="eastAsia" w:ascii="方正小标宋简体" w:eastAsia="方正小标宋简体"/>
          <w:sz w:val="36"/>
          <w:szCs w:val="36"/>
          <w:lang w:val="en-US" w:eastAsia="zh-CN"/>
        </w:rPr>
        <w:t>2020</w:t>
      </w:r>
      <w:r>
        <w:rPr>
          <w:rFonts w:hint="eastAsia" w:ascii="方正小标宋简体" w:eastAsia="方正小标宋简体"/>
          <w:sz w:val="36"/>
          <w:szCs w:val="36"/>
        </w:rPr>
        <w:t>年</w:t>
      </w:r>
      <w:r>
        <w:rPr>
          <w:rFonts w:hint="eastAsia" w:ascii="方正小标宋简体" w:hAnsi="华文中宋" w:eastAsia="方正小标宋简体"/>
          <w:spacing w:val="14"/>
          <w:sz w:val="36"/>
          <w:szCs w:val="36"/>
          <w:lang w:eastAsia="zh-CN"/>
        </w:rPr>
        <w:t>召开区人大常委会会议费</w:t>
      </w:r>
      <w:r>
        <w:rPr>
          <w:rFonts w:hint="eastAsia" w:ascii="方正小标宋简体" w:hAnsi="华文中宋" w:eastAsia="方正小标宋简体"/>
          <w:spacing w:val="14"/>
          <w:sz w:val="36"/>
          <w:szCs w:val="36"/>
        </w:rPr>
        <w:t>项目</w:t>
      </w:r>
    </w:p>
    <w:p w14:paraId="2BB9D5E1">
      <w:pPr>
        <w:spacing w:line="570" w:lineRule="exact"/>
        <w:jc w:val="center"/>
        <w:rPr>
          <w:rFonts w:hint="eastAsia" w:ascii="方正小标宋简体" w:hAnsi="华文中宋" w:eastAsia="方正小标宋简体"/>
          <w:spacing w:val="14"/>
          <w:sz w:val="44"/>
          <w:szCs w:val="44"/>
        </w:rPr>
      </w:pPr>
    </w:p>
    <w:p w14:paraId="4CCB45C4">
      <w:pPr>
        <w:widowControl/>
        <w:numPr>
          <w:ilvl w:val="0"/>
          <w:numId w:val="1"/>
        </w:numPr>
        <w:ind w:firstLine="600"/>
        <w:jc w:val="left"/>
        <w:rPr>
          <w:rFonts w:hint="eastAsia" w:ascii="黑体" w:hAnsi="黑体" w:eastAsia="黑体"/>
          <w:sz w:val="30"/>
          <w:szCs w:val="30"/>
        </w:rPr>
      </w:pPr>
      <w:r>
        <w:rPr>
          <w:rFonts w:hint="eastAsia" w:ascii="黑体" w:hAnsi="黑体" w:eastAsia="黑体"/>
          <w:sz w:val="30"/>
          <w:szCs w:val="30"/>
        </w:rPr>
        <w:t>项目名称</w:t>
      </w:r>
    </w:p>
    <w:p w14:paraId="22E4D5CC">
      <w:pPr>
        <w:widowControl/>
        <w:ind w:firstLine="600"/>
        <w:jc w:val="left"/>
        <w:rPr>
          <w:rFonts w:eastAsia="仿宋_GB2312"/>
          <w:sz w:val="30"/>
          <w:szCs w:val="30"/>
        </w:rPr>
      </w:pPr>
      <w:r>
        <w:rPr>
          <w:rFonts w:hint="eastAsia" w:eastAsia="仿宋_GB2312"/>
          <w:sz w:val="30"/>
          <w:szCs w:val="30"/>
          <w:lang w:eastAsia="zh-CN"/>
        </w:rPr>
        <w:t>召开区人大常委会会议费</w:t>
      </w:r>
    </w:p>
    <w:p w14:paraId="182E0F40">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立项依据</w:t>
      </w:r>
    </w:p>
    <w:p w14:paraId="13B9092A">
      <w:pPr>
        <w:widowControl/>
        <w:ind w:firstLine="600"/>
        <w:jc w:val="left"/>
        <w:rPr>
          <w:rFonts w:eastAsia="仿宋_GB2312"/>
          <w:sz w:val="30"/>
          <w:szCs w:val="30"/>
        </w:rPr>
      </w:pPr>
      <w:r>
        <w:rPr>
          <w:rFonts w:hint="eastAsia" w:eastAsia="仿宋_GB2312"/>
          <w:sz w:val="30"/>
          <w:szCs w:val="30"/>
        </w:rPr>
        <w:t>87号+关于印发呈贡区区级机关会议费管理办法等两办法一规定的通知</w:t>
      </w:r>
    </w:p>
    <w:p w14:paraId="76238AB5">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项目实施单位</w:t>
      </w:r>
    </w:p>
    <w:p w14:paraId="32B87FBA">
      <w:pPr>
        <w:widowControl/>
        <w:ind w:firstLine="600"/>
        <w:jc w:val="left"/>
        <w:rPr>
          <w:rFonts w:hint="eastAsia" w:eastAsia="仿宋_GB2312"/>
          <w:sz w:val="30"/>
          <w:szCs w:val="30"/>
        </w:rPr>
      </w:pPr>
      <w:r>
        <w:rPr>
          <w:rFonts w:hint="eastAsia" w:eastAsia="仿宋_GB2312"/>
          <w:sz w:val="30"/>
          <w:szCs w:val="30"/>
        </w:rPr>
        <w:t>单位名称：昆明市呈贡区人民代表大会常务委员会</w:t>
      </w:r>
    </w:p>
    <w:p w14:paraId="4B19061D">
      <w:pPr>
        <w:widowControl/>
        <w:ind w:firstLine="600"/>
        <w:jc w:val="left"/>
        <w:rPr>
          <w:rFonts w:hint="eastAsia" w:eastAsia="仿宋_GB2312"/>
          <w:sz w:val="30"/>
          <w:szCs w:val="30"/>
        </w:rPr>
      </w:pPr>
      <w:r>
        <w:rPr>
          <w:rFonts w:hint="eastAsia" w:eastAsia="仿宋_GB2312"/>
          <w:sz w:val="30"/>
          <w:szCs w:val="30"/>
        </w:rPr>
        <w:t>组织机构代码：11530121015129018A</w:t>
      </w:r>
    </w:p>
    <w:p w14:paraId="2229D587">
      <w:pPr>
        <w:widowControl/>
        <w:ind w:firstLine="600"/>
        <w:jc w:val="left"/>
        <w:rPr>
          <w:rFonts w:hint="eastAsia" w:eastAsia="仿宋_GB2312"/>
          <w:sz w:val="30"/>
          <w:szCs w:val="30"/>
        </w:rPr>
      </w:pPr>
      <w:r>
        <w:rPr>
          <w:rFonts w:hint="eastAsia" w:eastAsia="仿宋_GB2312"/>
          <w:sz w:val="30"/>
          <w:szCs w:val="30"/>
        </w:rPr>
        <w:t>地址：云南省昆明市呈贡区公安大楼内</w:t>
      </w:r>
    </w:p>
    <w:p w14:paraId="3A5E8A5B">
      <w:pPr>
        <w:widowControl/>
        <w:ind w:firstLine="600"/>
        <w:jc w:val="left"/>
        <w:rPr>
          <w:rFonts w:eastAsia="仿宋_GB2312"/>
          <w:sz w:val="30"/>
          <w:szCs w:val="30"/>
          <w:lang w:val="en-US" w:eastAsia="zh-CN"/>
        </w:rPr>
      </w:pPr>
      <w:r>
        <w:rPr>
          <w:rFonts w:hint="eastAsia" w:eastAsia="仿宋_GB2312"/>
          <w:sz w:val="30"/>
          <w:szCs w:val="30"/>
        </w:rPr>
        <w:t>联系电话：</w:t>
      </w:r>
      <w:r>
        <w:rPr>
          <w:rFonts w:hint="eastAsia" w:eastAsia="仿宋_GB2312"/>
          <w:sz w:val="30"/>
          <w:szCs w:val="30"/>
          <w:lang w:val="en-US" w:eastAsia="zh-CN"/>
        </w:rPr>
        <w:t>0871-6749071</w:t>
      </w:r>
    </w:p>
    <w:p w14:paraId="03196EFA">
      <w:pPr>
        <w:widowControl/>
        <w:ind w:firstLine="600"/>
        <w:jc w:val="left"/>
        <w:rPr>
          <w:rFonts w:hint="eastAsia" w:eastAsia="仿宋_GB2312"/>
          <w:sz w:val="30"/>
          <w:szCs w:val="30"/>
        </w:rPr>
      </w:pPr>
      <w:r>
        <w:rPr>
          <w:rFonts w:hint="eastAsia" w:eastAsia="仿宋_GB2312"/>
          <w:sz w:val="30"/>
          <w:szCs w:val="30"/>
        </w:rPr>
        <w:t>法人代表：马宏途</w:t>
      </w:r>
    </w:p>
    <w:p w14:paraId="0785CF9F">
      <w:pPr>
        <w:widowControl/>
        <w:ind w:firstLine="600"/>
        <w:jc w:val="left"/>
        <w:rPr>
          <w:rFonts w:hint="eastAsia" w:eastAsia="仿宋_GB2312"/>
          <w:sz w:val="30"/>
          <w:szCs w:val="30"/>
        </w:rPr>
      </w:pPr>
      <w:r>
        <w:rPr>
          <w:rFonts w:hint="eastAsia" w:eastAsia="仿宋_GB2312"/>
          <w:sz w:val="30"/>
          <w:szCs w:val="30"/>
        </w:rPr>
        <w:t>经费来源：区级财政预算</w:t>
      </w:r>
    </w:p>
    <w:p w14:paraId="09A6B330">
      <w:pPr>
        <w:widowControl/>
        <w:ind w:firstLine="600"/>
        <w:jc w:val="left"/>
        <w:rPr>
          <w:rFonts w:hint="eastAsia" w:eastAsia="仿宋_GB2312"/>
          <w:sz w:val="30"/>
          <w:szCs w:val="30"/>
        </w:rPr>
      </w:pPr>
      <w:r>
        <w:rPr>
          <w:rFonts w:hint="eastAsia" w:eastAsia="仿宋_GB2312"/>
          <w:sz w:val="30"/>
          <w:szCs w:val="30"/>
        </w:rPr>
        <w:t>代为概况：</w:t>
      </w:r>
    </w:p>
    <w:p w14:paraId="0406B752">
      <w:pPr>
        <w:widowControl/>
        <w:ind w:firstLine="600"/>
        <w:jc w:val="left"/>
        <w:rPr>
          <w:rFonts w:hint="eastAsia" w:eastAsia="仿宋_GB2312"/>
          <w:sz w:val="30"/>
          <w:szCs w:val="30"/>
        </w:rPr>
      </w:pPr>
      <w:r>
        <w:rPr>
          <w:rFonts w:hint="eastAsia" w:eastAsia="仿宋_GB2312"/>
          <w:sz w:val="30"/>
          <w:szCs w:val="30"/>
        </w:rPr>
        <w:t>一、按照区人大常委会的决定，协调各部门做好人民代表大会会议召开的各项筹备工作。</w:t>
      </w:r>
    </w:p>
    <w:p w14:paraId="3229B433">
      <w:pPr>
        <w:widowControl/>
        <w:ind w:firstLine="600"/>
        <w:jc w:val="left"/>
        <w:rPr>
          <w:rFonts w:hint="eastAsia" w:eastAsia="仿宋_GB2312"/>
          <w:sz w:val="30"/>
          <w:szCs w:val="30"/>
        </w:rPr>
      </w:pPr>
      <w:r>
        <w:rPr>
          <w:rFonts w:hint="eastAsia" w:eastAsia="仿宋_GB2312"/>
          <w:sz w:val="30"/>
          <w:szCs w:val="30"/>
        </w:rPr>
        <w:t>二、筹备和安排区人大常委会会议、区人大常委会主任会议及区人大常委会主任、副主任根据工作需要召集的其他会议，并协调有关部门，督促检查会议决定事项的落实。</w:t>
      </w:r>
    </w:p>
    <w:p w14:paraId="03013F58">
      <w:pPr>
        <w:widowControl/>
        <w:ind w:firstLine="600"/>
        <w:jc w:val="left"/>
        <w:rPr>
          <w:rFonts w:hint="eastAsia" w:eastAsia="仿宋_GB2312"/>
          <w:sz w:val="30"/>
          <w:szCs w:val="30"/>
        </w:rPr>
      </w:pPr>
      <w:r>
        <w:rPr>
          <w:rFonts w:hint="eastAsia" w:eastAsia="仿宋_GB2312"/>
          <w:sz w:val="30"/>
          <w:szCs w:val="30"/>
        </w:rPr>
        <w:t>三、在常委会主任、副主任的领导下，全面负责机关内务管理和对内、对外的联络、协调和接待工作。</w:t>
      </w:r>
    </w:p>
    <w:p w14:paraId="5B671FAA">
      <w:pPr>
        <w:widowControl/>
        <w:ind w:firstLine="600"/>
        <w:jc w:val="left"/>
        <w:rPr>
          <w:rFonts w:hint="eastAsia" w:eastAsia="仿宋_GB2312"/>
          <w:sz w:val="30"/>
          <w:szCs w:val="30"/>
        </w:rPr>
      </w:pPr>
      <w:r>
        <w:rPr>
          <w:rFonts w:hint="eastAsia" w:eastAsia="仿宋_GB2312"/>
          <w:sz w:val="30"/>
          <w:szCs w:val="30"/>
        </w:rPr>
        <w:t>四、负责区人大常委会及办公室文件的起草，把好公文关，抓好公文处理的各项工作。</w:t>
      </w:r>
    </w:p>
    <w:p w14:paraId="24A7905E">
      <w:pPr>
        <w:widowControl/>
        <w:ind w:firstLine="600"/>
        <w:jc w:val="left"/>
        <w:rPr>
          <w:rFonts w:hint="eastAsia" w:eastAsia="仿宋_GB2312"/>
          <w:sz w:val="30"/>
          <w:szCs w:val="30"/>
        </w:rPr>
      </w:pPr>
      <w:r>
        <w:rPr>
          <w:rFonts w:hint="eastAsia" w:eastAsia="仿宋_GB2312"/>
          <w:sz w:val="30"/>
          <w:szCs w:val="30"/>
        </w:rPr>
        <w:t>五、负责管理好本单位的文书档案、印鉴、保密安全等工作。</w:t>
      </w:r>
    </w:p>
    <w:p w14:paraId="00439BBB">
      <w:pPr>
        <w:widowControl/>
        <w:ind w:firstLine="600"/>
        <w:jc w:val="left"/>
        <w:rPr>
          <w:rFonts w:hint="eastAsia" w:eastAsia="仿宋_GB2312"/>
          <w:sz w:val="30"/>
          <w:szCs w:val="30"/>
        </w:rPr>
      </w:pPr>
      <w:r>
        <w:rPr>
          <w:rFonts w:hint="eastAsia" w:eastAsia="仿宋_GB2312"/>
          <w:sz w:val="30"/>
          <w:szCs w:val="30"/>
        </w:rPr>
        <w:t>六、配合各工作委员会深入调查研究，做好代表视察、执法检查等活动的组织服务工作。</w:t>
      </w:r>
    </w:p>
    <w:p w14:paraId="1AA65CA3">
      <w:pPr>
        <w:widowControl/>
        <w:ind w:firstLine="600"/>
        <w:jc w:val="left"/>
        <w:rPr>
          <w:rFonts w:hint="eastAsia" w:eastAsia="仿宋_GB2312"/>
          <w:sz w:val="30"/>
          <w:szCs w:val="30"/>
        </w:rPr>
      </w:pPr>
      <w:r>
        <w:rPr>
          <w:rFonts w:hint="eastAsia" w:eastAsia="仿宋_GB2312"/>
          <w:sz w:val="30"/>
          <w:szCs w:val="30"/>
        </w:rPr>
        <w:t>七、督促办理好代表议案、建议、批评、意见和有关群众来信来访工作。</w:t>
      </w:r>
    </w:p>
    <w:p w14:paraId="0D0FE2FD">
      <w:pPr>
        <w:widowControl/>
        <w:ind w:firstLine="600"/>
        <w:jc w:val="left"/>
        <w:rPr>
          <w:rFonts w:hint="eastAsia" w:eastAsia="仿宋_GB2312"/>
          <w:sz w:val="30"/>
          <w:szCs w:val="30"/>
        </w:rPr>
      </w:pPr>
      <w:r>
        <w:rPr>
          <w:rFonts w:hint="eastAsia" w:eastAsia="仿宋_GB2312"/>
          <w:sz w:val="30"/>
          <w:szCs w:val="30"/>
        </w:rPr>
        <w:t>八、搞好机关精神文明建设，负责离退休干部的服务工作。</w:t>
      </w:r>
    </w:p>
    <w:p w14:paraId="6A03EF0E">
      <w:pPr>
        <w:widowControl/>
        <w:ind w:firstLine="600"/>
        <w:jc w:val="left"/>
        <w:rPr>
          <w:rFonts w:hint="eastAsia" w:eastAsia="仿宋_GB2312"/>
          <w:sz w:val="30"/>
          <w:szCs w:val="30"/>
        </w:rPr>
      </w:pPr>
      <w:r>
        <w:rPr>
          <w:rFonts w:hint="eastAsia" w:eastAsia="仿宋_GB2312"/>
          <w:sz w:val="30"/>
          <w:szCs w:val="30"/>
        </w:rPr>
        <w:t>九、完成区人大常委会党组、常委会、主任会议和领导交办的其他工作。　</w:t>
      </w:r>
    </w:p>
    <w:p w14:paraId="577AE0A6">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项目基本概况</w:t>
      </w:r>
    </w:p>
    <w:p w14:paraId="5C39D965">
      <w:pPr>
        <w:widowControl/>
        <w:ind w:firstLine="600"/>
        <w:jc w:val="left"/>
        <w:rPr>
          <w:rFonts w:eastAsia="仿宋_GB2312"/>
          <w:sz w:val="30"/>
          <w:szCs w:val="30"/>
        </w:rPr>
      </w:pPr>
      <w:r>
        <w:rPr>
          <w:rFonts w:hint="eastAsia" w:eastAsia="仿宋_GB2312"/>
          <w:sz w:val="30"/>
          <w:szCs w:val="30"/>
        </w:rPr>
        <w:t>2017年-2021年为区三届人大常委会任期的5年，每年召开区人</w:t>
      </w:r>
      <w:r>
        <w:rPr>
          <w:rFonts w:hint="eastAsia" w:eastAsia="仿宋_GB2312"/>
          <w:sz w:val="30"/>
          <w:szCs w:val="30"/>
          <w:lang w:val="en-US" w:eastAsia="zh-CN"/>
        </w:rPr>
        <w:t>大</w:t>
      </w:r>
      <w:r>
        <w:rPr>
          <w:rFonts w:hint="eastAsia" w:eastAsia="仿宋_GB2312"/>
          <w:sz w:val="30"/>
          <w:szCs w:val="30"/>
        </w:rPr>
        <w:t>常委会至少6次，每次会期约1天，出、列席人员60余人。会议议程：听取和审议“一府一委两院”相关专项工作报告，讨论决定全区经济社会发展重大事项，围绕全区经济社会发展重要问题开展质询、询问，研究讨论重要人事任免等。</w:t>
      </w:r>
    </w:p>
    <w:p w14:paraId="48AA2D60">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项目实施内容</w:t>
      </w:r>
    </w:p>
    <w:p w14:paraId="5B214B8E">
      <w:pPr>
        <w:widowControl/>
        <w:ind w:left="600"/>
        <w:jc w:val="left"/>
        <w:rPr>
          <w:rFonts w:hint="eastAsia" w:eastAsia="仿宋_GB2312"/>
          <w:sz w:val="30"/>
          <w:szCs w:val="30"/>
        </w:rPr>
      </w:pPr>
      <w:r>
        <w:rPr>
          <w:rFonts w:hint="eastAsia" w:eastAsia="仿宋_GB2312"/>
          <w:sz w:val="30"/>
          <w:szCs w:val="30"/>
        </w:rPr>
        <w:t>区人大常委会每两个月召开一次，会期一天，一年召开6次会议。要提高会议质量和议会水平，筹备好人大常委会议，搞好会议具体组织，切实提高人大机关日常工作效率。</w:t>
      </w:r>
    </w:p>
    <w:p w14:paraId="00C314DA">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资金安排情况</w:t>
      </w:r>
    </w:p>
    <w:p w14:paraId="629DB8FE">
      <w:pPr>
        <w:widowControl/>
        <w:ind w:firstLine="600"/>
        <w:jc w:val="left"/>
        <w:rPr>
          <w:rFonts w:hint="eastAsia" w:ascii="黑体" w:hAnsi="黑体" w:eastAsia="黑体" w:cs="黑体"/>
          <w:sz w:val="30"/>
          <w:szCs w:val="30"/>
        </w:rPr>
      </w:pPr>
      <w:r>
        <w:rPr>
          <w:rFonts w:hint="eastAsia" w:eastAsia="仿宋_GB2312"/>
          <w:sz w:val="30"/>
          <w:szCs w:val="30"/>
          <w:lang w:val="en-US" w:eastAsia="zh-CN"/>
        </w:rPr>
        <w:t>区人大常委会工作经费由区级财政预算安排8.71万元</w:t>
      </w:r>
      <w:r>
        <w:rPr>
          <w:rFonts w:hint="eastAsia" w:eastAsia="仿宋_GB2312"/>
          <w:sz w:val="30"/>
          <w:szCs w:val="30"/>
        </w:rPr>
        <w:t>。</w:t>
      </w:r>
    </w:p>
    <w:p w14:paraId="4C82FF70">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项目实施计划</w:t>
      </w:r>
    </w:p>
    <w:p w14:paraId="55DBA9D9">
      <w:pPr>
        <w:widowControl/>
        <w:ind w:firstLine="600"/>
        <w:jc w:val="left"/>
        <w:rPr>
          <w:rFonts w:hint="eastAsia" w:ascii="黑体" w:hAnsi="黑体" w:eastAsia="黑体" w:cs="黑体"/>
          <w:sz w:val="30"/>
          <w:szCs w:val="30"/>
          <w:lang w:eastAsia="zh-CN"/>
        </w:rPr>
      </w:pPr>
      <w:r>
        <w:rPr>
          <w:rFonts w:hint="eastAsia" w:eastAsia="仿宋_GB2312"/>
          <w:sz w:val="30"/>
          <w:szCs w:val="30"/>
          <w:lang w:val="en-US" w:eastAsia="zh-CN"/>
        </w:rPr>
        <w:t>由办公室组织牵头，2月安排一次，组织常委会委会参加会议。</w:t>
      </w:r>
    </w:p>
    <w:p w14:paraId="66994EFB">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项目实施成效</w:t>
      </w:r>
    </w:p>
    <w:p w14:paraId="5EEE3E73">
      <w:pPr>
        <w:widowControl/>
        <w:ind w:left="600"/>
        <w:jc w:val="left"/>
        <w:rPr>
          <w:rFonts w:ascii="黑体" w:hAnsi="黑体" w:eastAsia="黑体" w:cs="黑体"/>
          <w:sz w:val="30"/>
          <w:szCs w:val="30"/>
        </w:rPr>
        <w:sectPr>
          <w:headerReference r:id="rId3" w:type="default"/>
          <w:headerReference r:id="rId4" w:type="even"/>
          <w:pgSz w:w="11906" w:h="16838" w:orient="landscape"/>
          <w:pgMar w:top="1247" w:right="1797" w:bottom="1247" w:left="1797" w:header="851" w:footer="992" w:gutter="0"/>
          <w:cols w:space="1701" w:num="1"/>
        </w:sectPr>
      </w:pPr>
      <w:r>
        <w:rPr>
          <w:rFonts w:hint="eastAsia" w:eastAsia="仿宋_GB2312"/>
          <w:sz w:val="30"/>
          <w:szCs w:val="30"/>
        </w:rPr>
        <w:t>听取和审议“一府一委两院”相关专项工作报告，讨论决定全区经济社会发展重大事项，围绕全区经济社会发展重要问题开展质询、询问，研究讨论重要人事任免等</w:t>
      </w:r>
    </w:p>
    <w:tbl>
      <w:tblPr>
        <w:tblStyle w:val="28"/>
        <w:tblW w:w="12660" w:type="dxa"/>
        <w:tblInd w:w="-12" w:type="dxa"/>
        <w:tblLayout w:type="autofit"/>
        <w:tblCellMar>
          <w:top w:w="12" w:type="dxa"/>
          <w:left w:w="12" w:type="dxa"/>
          <w:bottom w:w="0" w:type="dxa"/>
          <w:right w:w="12" w:type="dxa"/>
        </w:tblCellMar>
      </w:tblPr>
      <w:tblGrid>
        <w:gridCol w:w="756"/>
        <w:gridCol w:w="756"/>
        <w:gridCol w:w="1171"/>
        <w:gridCol w:w="2314"/>
        <w:gridCol w:w="1574"/>
        <w:gridCol w:w="1250"/>
        <w:gridCol w:w="1265"/>
        <w:gridCol w:w="2129"/>
        <w:gridCol w:w="1450"/>
      </w:tblGrid>
      <w:tr w14:paraId="622548FF">
        <w:trPr>
          <w:trHeight w:val="540" w:hRule="atLeast"/>
        </w:trPr>
        <w:tc>
          <w:tcPr>
            <w:tcW w:w="12666" w:type="dxa"/>
            <w:gridSpan w:val="9"/>
            <w:tcBorders>
              <w:top w:val="nil"/>
              <w:left w:val="nil"/>
              <w:bottom w:val="nil"/>
              <w:right w:val="nil"/>
            </w:tcBorders>
            <w:noWrap w:val="0"/>
            <w:tcMar>
              <w:top w:w="12" w:type="dxa"/>
              <w:left w:w="12" w:type="dxa"/>
              <w:right w:w="12" w:type="dxa"/>
            </w:tcMar>
            <w:vAlign w:val="center"/>
          </w:tcPr>
          <w:p w14:paraId="3ACD04A9">
            <w:pPr>
              <w:keepNext w:val="0"/>
              <w:keepLines w:val="0"/>
              <w:widowControl/>
              <w:suppressLineNumbers w:val="0"/>
              <w:jc w:val="center"/>
              <w:rPr>
                <w:rFonts w:ascii="方正小标宋简体" w:hAnsi="方正小标宋简体" w:eastAsia="方正小标宋简体" w:cs="方正小标宋简体"/>
                <w:i w:val="0"/>
                <w:color w:val="000000"/>
                <w:sz w:val="40"/>
                <w:szCs w:val="40"/>
                <w:u w:val="none"/>
              </w:rPr>
            </w:pPr>
            <w:r>
              <w:rPr>
                <w:rFonts w:ascii="方正小标宋简体" w:hAnsi="方正小标宋简体" w:eastAsia="方正小标宋简体" w:cs="方正小标宋简体"/>
                <w:i w:val="0"/>
                <w:color w:val="000000"/>
                <w:sz w:val="40"/>
                <w:szCs w:val="40"/>
                <w:u w:val="none"/>
                <w:lang w:val="en-US" w:eastAsia="zh-CN" w:bidi="ar"/>
              </w:rPr>
              <w:t>11.昆明市呈贡区人民代表大会常务委员会</w:t>
            </w:r>
          </w:p>
        </w:tc>
      </w:tr>
      <w:tr w14:paraId="2C744B8B">
        <w:tblPrEx>
          <w:tblCellMar>
            <w:top w:w="12" w:type="dxa"/>
            <w:left w:w="12" w:type="dxa"/>
            <w:bottom w:w="0" w:type="dxa"/>
            <w:right w:w="12" w:type="dxa"/>
          </w:tblCellMar>
        </w:tblPrEx>
        <w:trPr>
          <w:trHeight w:val="516" w:hRule="atLeast"/>
        </w:trPr>
        <w:tc>
          <w:tcPr>
            <w:tcW w:w="12666" w:type="dxa"/>
            <w:gridSpan w:val="9"/>
            <w:tcBorders>
              <w:top w:val="nil"/>
              <w:left w:val="nil"/>
              <w:bottom w:val="nil"/>
              <w:right w:val="nil"/>
            </w:tcBorders>
            <w:noWrap w:val="0"/>
            <w:tcMar>
              <w:top w:w="12" w:type="dxa"/>
              <w:left w:w="12" w:type="dxa"/>
              <w:right w:w="12" w:type="dxa"/>
            </w:tcMar>
            <w:vAlign w:val="center"/>
          </w:tcPr>
          <w:p w14:paraId="09E1D581">
            <w:pPr>
              <w:keepNext w:val="0"/>
              <w:keepLines w:val="0"/>
              <w:widowControl/>
              <w:suppressLineNumbers w:val="0"/>
              <w:jc w:val="center"/>
              <w:rPr>
                <w:rFonts w:ascii="方正小标宋简体" w:hAnsi="方正小标宋简体" w:eastAsia="方正小标宋简体" w:cs="方正小标宋简体"/>
                <w:i w:val="0"/>
                <w:color w:val="000000"/>
                <w:sz w:val="40"/>
                <w:szCs w:val="40"/>
                <w:u w:val="none"/>
              </w:rPr>
            </w:pPr>
            <w:r>
              <w:rPr>
                <w:rFonts w:ascii="方正小标宋简体" w:hAnsi="方正小标宋简体" w:eastAsia="方正小标宋简体" w:cs="方正小标宋简体"/>
                <w:i w:val="0"/>
                <w:color w:val="000000"/>
                <w:sz w:val="40"/>
                <w:szCs w:val="40"/>
                <w:u w:val="none"/>
                <w:lang w:val="en-US" w:eastAsia="zh-CN" w:bidi="ar"/>
              </w:rPr>
              <w:t>项目支出绩效目标申报表</w:t>
            </w:r>
          </w:p>
        </w:tc>
      </w:tr>
      <w:tr w14:paraId="59EAFEA3">
        <w:tblPrEx>
          <w:tblCellMar>
            <w:top w:w="12" w:type="dxa"/>
            <w:left w:w="12" w:type="dxa"/>
            <w:bottom w:w="0" w:type="dxa"/>
            <w:right w:w="12" w:type="dxa"/>
          </w:tblCellMar>
        </w:tblPrEx>
        <w:trPr>
          <w:trHeight w:val="288" w:hRule="atLeast"/>
        </w:trPr>
        <w:tc>
          <w:tcPr>
            <w:tcW w:w="12660" w:type="dxa"/>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DD760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（2020年度）</w:t>
            </w:r>
          </w:p>
        </w:tc>
      </w:tr>
      <w:tr w14:paraId="1A9BFCE2">
        <w:tblPrEx>
          <w:tblCellMar>
            <w:top w:w="12" w:type="dxa"/>
            <w:left w:w="12" w:type="dxa"/>
            <w:bottom w:w="0" w:type="dxa"/>
            <w:right w:w="12" w:type="dxa"/>
          </w:tblCellMar>
        </w:tblPrEx>
        <w:trPr>
          <w:trHeight w:val="288"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CD00F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项目名称</w:t>
            </w:r>
          </w:p>
        </w:tc>
        <w:tc>
          <w:tcPr>
            <w:tcW w:w="998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AE08D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区人大常委会会议费</w:t>
            </w:r>
          </w:p>
        </w:tc>
      </w:tr>
      <w:tr w14:paraId="547462F8">
        <w:tblPrEx>
          <w:tblCellMar>
            <w:top w:w="12" w:type="dxa"/>
            <w:left w:w="12" w:type="dxa"/>
            <w:bottom w:w="0" w:type="dxa"/>
            <w:right w:w="12" w:type="dxa"/>
          </w:tblCellMar>
        </w:tblPrEx>
        <w:trPr>
          <w:trHeight w:val="288"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747F8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主管部门及代码</w:t>
            </w:r>
          </w:p>
        </w:tc>
        <w:tc>
          <w:tcPr>
            <w:tcW w:w="38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E68E89">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昆明市呈贡区人民代表大会常务委员会</w:t>
            </w:r>
          </w:p>
        </w:tc>
        <w:tc>
          <w:tcPr>
            <w:tcW w:w="25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9845E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实施单位</w:t>
            </w:r>
          </w:p>
        </w:tc>
        <w:tc>
          <w:tcPr>
            <w:tcW w:w="35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DBF17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昆明市呈贡区人民代表大会常务委员会办公室</w:t>
            </w:r>
          </w:p>
        </w:tc>
      </w:tr>
      <w:tr w14:paraId="26C11737">
        <w:tblPrEx>
          <w:tblCellMar>
            <w:top w:w="12" w:type="dxa"/>
            <w:left w:w="12" w:type="dxa"/>
            <w:bottom w:w="0" w:type="dxa"/>
            <w:right w:w="12" w:type="dxa"/>
          </w:tblCellMar>
        </w:tblPrEx>
        <w:trPr>
          <w:trHeight w:val="288"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E9181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项目属性</w:t>
            </w:r>
          </w:p>
        </w:tc>
        <w:tc>
          <w:tcPr>
            <w:tcW w:w="3888" w:type="dxa"/>
            <w:gridSpan w:val="2"/>
            <w:tcBorders>
              <w:top w:val="nil"/>
              <w:left w:val="nil"/>
              <w:bottom w:val="single" w:color="000000" w:sz="4" w:space="0"/>
              <w:right w:val="single" w:color="000000" w:sz="4" w:space="0"/>
            </w:tcBorders>
            <w:noWrap w:val="0"/>
            <w:tcMar>
              <w:top w:w="12" w:type="dxa"/>
              <w:left w:w="12" w:type="dxa"/>
              <w:right w:w="12" w:type="dxa"/>
            </w:tcMar>
            <w:vAlign w:val="bottom"/>
          </w:tcPr>
          <w:p w14:paraId="1A6C629B">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002 延续性项目</w:t>
            </w:r>
          </w:p>
        </w:tc>
        <w:tc>
          <w:tcPr>
            <w:tcW w:w="25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394FB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项目期</w:t>
            </w:r>
          </w:p>
        </w:tc>
        <w:tc>
          <w:tcPr>
            <w:tcW w:w="35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0C7EE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经常性项目</w:t>
            </w:r>
          </w:p>
        </w:tc>
      </w:tr>
      <w:tr w14:paraId="26C201C5">
        <w:tblPrEx>
          <w:tblCellMar>
            <w:top w:w="12" w:type="dxa"/>
            <w:left w:w="12" w:type="dxa"/>
            <w:bottom w:w="0" w:type="dxa"/>
            <w:right w:w="12" w:type="dxa"/>
          </w:tblCellMar>
        </w:tblPrEx>
        <w:trPr>
          <w:trHeight w:val="288"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51EF0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项目负责人</w:t>
            </w:r>
          </w:p>
        </w:tc>
        <w:tc>
          <w:tcPr>
            <w:tcW w:w="38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AF0F7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张宝珍</w:t>
            </w:r>
          </w:p>
        </w:tc>
        <w:tc>
          <w:tcPr>
            <w:tcW w:w="25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BAD55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联系电话</w:t>
            </w:r>
          </w:p>
        </w:tc>
        <w:tc>
          <w:tcPr>
            <w:tcW w:w="35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CBEB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7490708</w:t>
            </w:r>
          </w:p>
        </w:tc>
      </w:tr>
      <w:tr w14:paraId="555E2D16">
        <w:tblPrEx>
          <w:tblCellMar>
            <w:top w:w="12" w:type="dxa"/>
            <w:left w:w="12" w:type="dxa"/>
            <w:bottom w:w="0" w:type="dxa"/>
            <w:right w:w="12" w:type="dxa"/>
          </w:tblCellMar>
        </w:tblPrEx>
        <w:trPr>
          <w:trHeight w:val="1305"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E2957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项目概况</w:t>
            </w:r>
          </w:p>
        </w:tc>
        <w:tc>
          <w:tcPr>
            <w:tcW w:w="998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2CBC5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2017年-2021年为区三届人大常委会任期的5年，每年召开区人</w:t>
            </w:r>
            <w:r>
              <w:rPr>
                <w:rFonts w:hint="eastAsia" w:ascii="宋体" w:hAnsi="宋体" w:cs="宋体"/>
                <w:i w:val="0"/>
                <w:color w:val="000000"/>
                <w:sz w:val="22"/>
                <w:szCs w:val="22"/>
                <w:u w:val="none"/>
                <w:lang w:val="en-US" w:eastAsia="zh-CN" w:bidi="ar"/>
              </w:rPr>
              <w:t>大</w:t>
            </w:r>
            <w:bookmarkStart w:id="0" w:name="_GoBack"/>
            <w:bookmarkEnd w:id="0"/>
            <w:r>
              <w:rPr>
                <w:rFonts w:hint="eastAsia" w:ascii="宋体" w:hAnsi="宋体" w:eastAsia="宋体" w:cs="宋体"/>
                <w:i w:val="0"/>
                <w:color w:val="000000"/>
                <w:sz w:val="22"/>
                <w:szCs w:val="22"/>
                <w:u w:val="none"/>
                <w:lang w:val="en-US" w:eastAsia="zh-CN" w:bidi="ar"/>
              </w:rPr>
              <w:t>常委会至少6次，每次会期约1天，出、列席人员60余人。会议议程：听取和审议“一府一委两院”相关专项工作报告，讨论决定全区经济社会发展重大事项，围绕全区经济社会发展重要问题开展质询、询问，研究讨论重要人事任免等。</w:t>
            </w:r>
          </w:p>
        </w:tc>
      </w:tr>
      <w:tr w14:paraId="598B7B18">
        <w:tblPrEx>
          <w:tblCellMar>
            <w:top w:w="12" w:type="dxa"/>
            <w:left w:w="12" w:type="dxa"/>
            <w:bottom w:w="0" w:type="dxa"/>
            <w:right w:w="12" w:type="dxa"/>
          </w:tblCellMar>
        </w:tblPrEx>
        <w:trPr>
          <w:trHeight w:val="288"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0D3F0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项目立项依据</w:t>
            </w:r>
          </w:p>
        </w:tc>
        <w:tc>
          <w:tcPr>
            <w:tcW w:w="998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5CCD08">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区委、区政府联发文件</w:t>
            </w:r>
          </w:p>
        </w:tc>
      </w:tr>
      <w:tr w14:paraId="67239098">
        <w:tblPrEx>
          <w:tblCellMar>
            <w:top w:w="12" w:type="dxa"/>
            <w:left w:w="12" w:type="dxa"/>
            <w:bottom w:w="0" w:type="dxa"/>
            <w:right w:w="12" w:type="dxa"/>
          </w:tblCellMar>
        </w:tblPrEx>
        <w:trPr>
          <w:trHeight w:val="282"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A90F46">
            <w:pPr>
              <w:jc w:val="center"/>
              <w:rPr>
                <w:rFonts w:hint="eastAsia" w:ascii="宋体" w:hAnsi="宋体" w:eastAsia="宋体" w:cs="宋体"/>
                <w:i w:val="0"/>
                <w:color w:val="000000"/>
                <w:sz w:val="22"/>
                <w:szCs w:val="22"/>
                <w:u w:val="none"/>
              </w:rPr>
            </w:pPr>
          </w:p>
        </w:tc>
        <w:tc>
          <w:tcPr>
            <w:tcW w:w="2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3B26B3E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总投入</w:t>
            </w:r>
          </w:p>
        </w:tc>
        <w:tc>
          <w:tcPr>
            <w:tcW w:w="1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3AE6C2C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中央财政</w:t>
            </w:r>
          </w:p>
        </w:tc>
        <w:tc>
          <w:tcPr>
            <w:tcW w:w="12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605EDD2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省级财政</w:t>
            </w:r>
          </w:p>
        </w:tc>
        <w:tc>
          <w:tcPr>
            <w:tcW w:w="12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24466E2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市本级财政</w:t>
            </w:r>
          </w:p>
        </w:tc>
        <w:tc>
          <w:tcPr>
            <w:tcW w:w="2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3D3629F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县（市）区级财政</w:t>
            </w:r>
          </w:p>
        </w:tc>
        <w:tc>
          <w:tcPr>
            <w:tcW w:w="14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3482222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其他</w:t>
            </w:r>
          </w:p>
        </w:tc>
      </w:tr>
      <w:tr w14:paraId="030853C4">
        <w:tblPrEx>
          <w:tblCellMar>
            <w:top w:w="12" w:type="dxa"/>
            <w:left w:w="12" w:type="dxa"/>
            <w:bottom w:w="0" w:type="dxa"/>
            <w:right w:w="12" w:type="dxa"/>
          </w:tblCellMar>
        </w:tblPrEx>
        <w:trPr>
          <w:trHeight w:val="342" w:hRule="atLeast"/>
        </w:trPr>
        <w:tc>
          <w:tcPr>
            <w:tcW w:w="26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EBB79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中期资金来源（元）</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12F4E1">
            <w:pPr>
              <w:keepNext w:val="0"/>
              <w:keepLines w:val="0"/>
              <w:widowControl/>
              <w:suppressLineNumbers w:val="0"/>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261,360.00 </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4C510A">
            <w:pPr>
              <w:jc w:val="right"/>
              <w:rPr>
                <w:rFonts w:hint="eastAsia" w:ascii="宋体" w:hAnsi="宋体" w:eastAsia="宋体" w:cs="宋体"/>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6D818B">
            <w:pPr>
              <w:jc w:val="right"/>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C3265D">
            <w:pPr>
              <w:jc w:val="right"/>
              <w:rPr>
                <w:rFonts w:hint="eastAsia" w:ascii="宋体" w:hAnsi="宋体" w:eastAsia="宋体" w:cs="宋体"/>
                <w:i w:val="0"/>
                <w:color w:val="000000"/>
                <w:sz w:val="22"/>
                <w:szCs w:val="22"/>
                <w:u w:val="none"/>
              </w:rPr>
            </w:pPr>
          </w:p>
        </w:tc>
        <w:tc>
          <w:tcPr>
            <w:tcW w:w="2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22255E">
            <w:pPr>
              <w:keepNext w:val="0"/>
              <w:keepLines w:val="0"/>
              <w:widowControl/>
              <w:suppressLineNumbers w:val="0"/>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261,360.00 </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4C58B5">
            <w:pPr>
              <w:jc w:val="right"/>
              <w:rPr>
                <w:rFonts w:hint="eastAsia" w:ascii="宋体" w:hAnsi="宋体" w:eastAsia="宋体" w:cs="宋体"/>
                <w:i w:val="0"/>
                <w:color w:val="000000"/>
                <w:sz w:val="22"/>
                <w:szCs w:val="22"/>
                <w:u w:val="none"/>
              </w:rPr>
            </w:pPr>
          </w:p>
        </w:tc>
      </w:tr>
      <w:tr w14:paraId="0D6BAADB">
        <w:tblPrEx>
          <w:tblCellMar>
            <w:top w:w="12" w:type="dxa"/>
            <w:left w:w="12" w:type="dxa"/>
            <w:bottom w:w="0" w:type="dxa"/>
            <w:right w:w="12" w:type="dxa"/>
          </w:tblCellMar>
        </w:tblPrEx>
        <w:trPr>
          <w:trHeight w:val="402" w:hRule="atLeast"/>
        </w:trPr>
        <w:tc>
          <w:tcPr>
            <w:tcW w:w="268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F1B99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年度资金来源（元）</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22A0EB">
            <w:pPr>
              <w:keepNext w:val="0"/>
              <w:keepLines w:val="0"/>
              <w:widowControl/>
              <w:suppressLineNumbers w:val="0"/>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87,120.00 </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4F7ED9">
            <w:pPr>
              <w:jc w:val="right"/>
              <w:rPr>
                <w:rFonts w:hint="eastAsia" w:ascii="宋体" w:hAnsi="宋体" w:eastAsia="宋体" w:cs="宋体"/>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83F9DA">
            <w:pPr>
              <w:jc w:val="right"/>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E9AB53">
            <w:pPr>
              <w:jc w:val="right"/>
              <w:rPr>
                <w:rFonts w:hint="eastAsia" w:ascii="宋体" w:hAnsi="宋体" w:eastAsia="宋体" w:cs="宋体"/>
                <w:i w:val="0"/>
                <w:color w:val="000000"/>
                <w:sz w:val="22"/>
                <w:szCs w:val="22"/>
                <w:u w:val="none"/>
              </w:rPr>
            </w:pPr>
          </w:p>
        </w:tc>
        <w:tc>
          <w:tcPr>
            <w:tcW w:w="2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FF293E">
            <w:pPr>
              <w:keepNext w:val="0"/>
              <w:keepLines w:val="0"/>
              <w:widowControl/>
              <w:suppressLineNumbers w:val="0"/>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87,120.00 </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83DC1A">
            <w:pPr>
              <w:jc w:val="right"/>
              <w:rPr>
                <w:rFonts w:hint="eastAsia" w:ascii="宋体" w:hAnsi="宋体" w:eastAsia="宋体" w:cs="宋体"/>
                <w:i w:val="0"/>
                <w:color w:val="000000"/>
                <w:sz w:val="22"/>
                <w:szCs w:val="22"/>
                <w:u w:val="none"/>
              </w:rPr>
            </w:pPr>
          </w:p>
        </w:tc>
      </w:tr>
      <w:tr w14:paraId="09959B95">
        <w:tblPrEx>
          <w:tblCellMar>
            <w:top w:w="12" w:type="dxa"/>
            <w:left w:w="12" w:type="dxa"/>
            <w:bottom w:w="0" w:type="dxa"/>
            <w:right w:w="12" w:type="dxa"/>
          </w:tblCellMar>
        </w:tblPrEx>
        <w:trPr>
          <w:trHeight w:val="402" w:hRule="atLeast"/>
        </w:trPr>
        <w:tc>
          <w:tcPr>
            <w:tcW w:w="75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1E22CC">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总  体   目  标</w:t>
            </w:r>
          </w:p>
        </w:tc>
        <w:tc>
          <w:tcPr>
            <w:tcW w:w="5812"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A3C05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中期目标</w:t>
            </w:r>
          </w:p>
        </w:tc>
        <w:tc>
          <w:tcPr>
            <w:tcW w:w="6092"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927EF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年度目标</w:t>
            </w:r>
          </w:p>
        </w:tc>
      </w:tr>
      <w:tr w14:paraId="68CA9E9A">
        <w:tblPrEx>
          <w:tblCellMar>
            <w:top w:w="12" w:type="dxa"/>
            <w:left w:w="12" w:type="dxa"/>
            <w:bottom w:w="0" w:type="dxa"/>
            <w:right w:w="12" w:type="dxa"/>
          </w:tblCellMar>
        </w:tblPrEx>
        <w:trPr>
          <w:trHeight w:val="186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974E49">
            <w:pPr>
              <w:jc w:val="left"/>
              <w:rPr>
                <w:rFonts w:hint="eastAsia" w:ascii="宋体" w:hAnsi="宋体" w:eastAsia="宋体" w:cs="宋体"/>
                <w:i w:val="0"/>
                <w:color w:val="000000"/>
                <w:sz w:val="22"/>
                <w:szCs w:val="22"/>
                <w:u w:val="none"/>
              </w:rPr>
            </w:pPr>
          </w:p>
        </w:tc>
        <w:tc>
          <w:tcPr>
            <w:tcW w:w="581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0E4D74">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根据呈新综办通【2015】87号文件，区人大常委会属二类会议，区人大常委会每两个月召开一次，会期一天，一年召开6次会议。要提高会议质量和议会水平，筹备好人大常委会议，搞好会议具体组织，切实提高人大机关日常工作效率。   </w:t>
            </w:r>
          </w:p>
        </w:tc>
        <w:tc>
          <w:tcPr>
            <w:tcW w:w="609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01580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根据呈新综办通【2015】87号文件，区人大常委会属二类会议，区人大常委会每两个月召开一次，会期一天，一年召开6次会议。要提高会议质量和议会水平，筹备好人大常委会议，搞好会议具体组织，切实提高人大机关日常工作效率。</w:t>
            </w:r>
            <w:r>
              <w:rPr>
                <w:rFonts w:ascii="Arial" w:hAnsi="Arial" w:eastAsia="宋体" w:cs="Arial"/>
                <w:i w:val="0"/>
                <w:color w:val="000000"/>
                <w:sz w:val="22"/>
                <w:szCs w:val="22"/>
                <w:u w:val="none"/>
                <w:lang w:val="en-US" w:eastAsia="zh-CN" w:bidi="ar"/>
              </w:rPr>
              <w:t xml:space="preserve">      </w:t>
            </w:r>
          </w:p>
        </w:tc>
      </w:tr>
      <w:tr w14:paraId="7FB97D04">
        <w:tblPrEx>
          <w:tblCellMar>
            <w:top w:w="12" w:type="dxa"/>
            <w:left w:w="12" w:type="dxa"/>
            <w:bottom w:w="0" w:type="dxa"/>
            <w:right w:w="12" w:type="dxa"/>
          </w:tblCellMar>
        </w:tblPrEx>
        <w:trPr>
          <w:trHeight w:val="576" w:hRule="atLeast"/>
        </w:trPr>
        <w:tc>
          <w:tcPr>
            <w:tcW w:w="75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70E398">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绩  效  指  标</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632C2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CA81F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二级指标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93D89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三级指标</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E56A0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指标值</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47BC3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二级指标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79B2D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三级指标</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7AAAA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指标值</w:t>
            </w:r>
          </w:p>
        </w:tc>
      </w:tr>
      <w:tr w14:paraId="2DB75DAA">
        <w:tblPrEx>
          <w:tblCellMar>
            <w:top w:w="12" w:type="dxa"/>
            <w:left w:w="12" w:type="dxa"/>
            <w:bottom w:w="0" w:type="dxa"/>
            <w:right w:w="12" w:type="dxa"/>
          </w:tblCellMar>
        </w:tblPrEx>
        <w:trPr>
          <w:trHeight w:val="57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13C94A">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F1E1813">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产出指标</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4D048DEC">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数量指标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3960612">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召开会议次数</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2799277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18次</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5322374">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数量指标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A0C82CC">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召开会议次数</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99B6CE6">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6次/年</w:t>
            </w:r>
          </w:p>
        </w:tc>
      </w:tr>
      <w:tr w14:paraId="1167FE22">
        <w:tblPrEx>
          <w:tblCellMar>
            <w:top w:w="12" w:type="dxa"/>
            <w:left w:w="12" w:type="dxa"/>
            <w:bottom w:w="0" w:type="dxa"/>
            <w:right w:w="12" w:type="dxa"/>
          </w:tblCellMar>
        </w:tblPrEx>
        <w:trPr>
          <w:trHeight w:val="288"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CAF9C6">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213575">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5E183567">
            <w:pPr>
              <w:rPr>
                <w:rFonts w:hint="eastAsia" w:ascii="宋体" w:hAnsi="宋体" w:eastAsia="宋体" w:cs="宋体"/>
                <w:i w:val="0"/>
                <w:color w:val="000000"/>
                <w:sz w:val="22"/>
                <w:szCs w:val="22"/>
                <w:u w:val="none"/>
              </w:rPr>
            </w:pP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1B36C6">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参会人员</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4ECA4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198人</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42759E87">
            <w:pPr>
              <w:rPr>
                <w:rFonts w:hint="eastAsia" w:ascii="宋体" w:hAnsi="宋体" w:eastAsia="宋体" w:cs="宋体"/>
                <w:i w:val="0"/>
                <w:color w:val="000000"/>
                <w:sz w:val="22"/>
                <w:szCs w:val="22"/>
                <w:u w:val="none"/>
              </w:rPr>
            </w:pP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71A0B6">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参会人员</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EF9EB4">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66人</w:t>
            </w:r>
          </w:p>
        </w:tc>
      </w:tr>
      <w:tr w14:paraId="257D3F8E">
        <w:tblPrEx>
          <w:tblCellMar>
            <w:top w:w="12" w:type="dxa"/>
            <w:left w:w="12" w:type="dxa"/>
            <w:bottom w:w="0" w:type="dxa"/>
            <w:right w:w="12" w:type="dxa"/>
          </w:tblCellMar>
        </w:tblPrEx>
        <w:trPr>
          <w:trHeight w:val="1152"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24E5EF">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D8BE8B">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6A2295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质量指标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B89DB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提高会议质量和议会水平</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AE572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每次会议保质保量召开</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0FF9038">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质量指标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8F6260">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提高会议质量和议会水平</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5022E4">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提高会议质量和议会水平 每次会议保质保量召开</w:t>
            </w:r>
          </w:p>
        </w:tc>
      </w:tr>
      <w:tr w14:paraId="38DD735D">
        <w:tblPrEx>
          <w:tblCellMar>
            <w:top w:w="12" w:type="dxa"/>
            <w:left w:w="12" w:type="dxa"/>
            <w:bottom w:w="0" w:type="dxa"/>
            <w:right w:w="12" w:type="dxa"/>
          </w:tblCellMar>
        </w:tblPrEx>
        <w:trPr>
          <w:trHeight w:val="288"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73A71F">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F29194">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26E18FA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时效指标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23C9B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会议召开及时率</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8DC6A2">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F0FC080">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时效指标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67D286">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会议召开及时率</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F6740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100%</w:t>
            </w:r>
          </w:p>
        </w:tc>
      </w:tr>
      <w:tr w14:paraId="501ECCD4">
        <w:tblPrEx>
          <w:tblCellMar>
            <w:top w:w="12" w:type="dxa"/>
            <w:left w:w="12" w:type="dxa"/>
            <w:bottom w:w="0" w:type="dxa"/>
            <w:right w:w="12" w:type="dxa"/>
          </w:tblCellMar>
        </w:tblPrEx>
        <w:trPr>
          <w:trHeight w:val="288"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EF550D">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C229EA">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737FFF8">
            <w:pPr>
              <w:rPr>
                <w:rFonts w:hint="eastAsia" w:ascii="宋体" w:hAnsi="宋体" w:eastAsia="宋体" w:cs="宋体"/>
                <w:i w:val="0"/>
                <w:color w:val="000000"/>
                <w:sz w:val="22"/>
                <w:szCs w:val="22"/>
                <w:u w:val="none"/>
              </w:rPr>
            </w:pP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D1E03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会议召开时间</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5A60C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2019-2021年</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6E9F4B01">
            <w:pPr>
              <w:rPr>
                <w:rFonts w:hint="eastAsia" w:ascii="宋体" w:hAnsi="宋体" w:eastAsia="宋体" w:cs="宋体"/>
                <w:i w:val="0"/>
                <w:color w:val="000000"/>
                <w:sz w:val="22"/>
                <w:szCs w:val="22"/>
                <w:u w:val="none"/>
              </w:rPr>
            </w:pP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14434E">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会议召开时间</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5AF00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2019年1-12月</w:t>
            </w:r>
          </w:p>
        </w:tc>
      </w:tr>
      <w:tr w14:paraId="36CCBD2D">
        <w:tblPrEx>
          <w:tblCellMar>
            <w:top w:w="12" w:type="dxa"/>
            <w:left w:w="12" w:type="dxa"/>
            <w:bottom w:w="0" w:type="dxa"/>
            <w:right w:w="12" w:type="dxa"/>
          </w:tblCellMar>
        </w:tblPrEx>
        <w:trPr>
          <w:trHeight w:val="288"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C4C9EA">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844E74">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AF4AF0D">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成本指标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9F6FDE">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召开会议所需成本</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097B59">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261360元</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201A83C8">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成本指标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DCD252">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区人大常委会每两个月召开一次，会期一天，一年召开6次会议。二类会议，除去住宿费外，每人每天220元包干使用。委员35人，列席25人，工作人员人6人，共计66人，每次会议经费14520元，一年合计87120元。</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46B89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87120元</w:t>
            </w:r>
          </w:p>
        </w:tc>
      </w:tr>
      <w:tr w14:paraId="07B88660">
        <w:tblPrEx>
          <w:tblCellMar>
            <w:top w:w="12" w:type="dxa"/>
            <w:left w:w="12" w:type="dxa"/>
            <w:bottom w:w="0" w:type="dxa"/>
            <w:right w:w="12" w:type="dxa"/>
          </w:tblCellMar>
        </w:tblPrEx>
        <w:trPr>
          <w:trHeight w:val="57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34061B">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92687D">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效益指标</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23B13B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经济效益指标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E295F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促进国民经济发展 </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96E74A">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明显提升</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BF531F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经济效益指标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FBD623">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促进国民经济发展 </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6B990C">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明显提升</w:t>
            </w:r>
          </w:p>
        </w:tc>
      </w:tr>
      <w:tr w14:paraId="416DAE49">
        <w:tblPrEx>
          <w:tblCellMar>
            <w:top w:w="12" w:type="dxa"/>
            <w:left w:w="12" w:type="dxa"/>
            <w:bottom w:w="0" w:type="dxa"/>
            <w:right w:w="12" w:type="dxa"/>
          </w:tblCellMar>
        </w:tblPrEx>
        <w:trPr>
          <w:trHeight w:val="864"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9CFF1E">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D5E696">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5B02E3F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社会效益指标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9595AB">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提高参会人员履职能力。提高会议质量和议会水平</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D8029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逐步提高</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07132493">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社会效益指标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79E326">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提高参会人员履职能力。提高会议质量和议会水平</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A0B38A">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逐步提高</w:t>
            </w:r>
          </w:p>
        </w:tc>
      </w:tr>
      <w:tr w14:paraId="0BF554D9">
        <w:tblPrEx>
          <w:tblCellMar>
            <w:top w:w="12" w:type="dxa"/>
            <w:left w:w="12" w:type="dxa"/>
            <w:bottom w:w="0" w:type="dxa"/>
            <w:right w:w="12" w:type="dxa"/>
          </w:tblCellMar>
        </w:tblPrEx>
        <w:trPr>
          <w:trHeight w:val="864"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E83AA8">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B7600A">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4AB737F4">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可持续影响指标 </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2D166D">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持续提升社会和谐发展 </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78EECE">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持续提升</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6B17502">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可持续影响指标 </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E3024A">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 xml:space="preserve">持续提升社会和谐发展 </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BC1077">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持续提升</w:t>
            </w:r>
          </w:p>
        </w:tc>
      </w:tr>
      <w:tr w14:paraId="4789AF57">
        <w:tblPrEx>
          <w:tblCellMar>
            <w:top w:w="12" w:type="dxa"/>
            <w:left w:w="12" w:type="dxa"/>
            <w:bottom w:w="0" w:type="dxa"/>
            <w:right w:w="12"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981BB7">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E900CD">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满意度指标</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4BC6C92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服务对象满意度指标</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A6EA51">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参会人员满意度</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567DAF">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98%</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2BB2C987">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服务对象满意度指标</w:t>
            </w: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FA0C30">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参会人员满意度</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A23BE9">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95%</w:t>
            </w:r>
          </w:p>
        </w:tc>
      </w:tr>
      <w:tr w14:paraId="53B7E4E7">
        <w:tblPrEx>
          <w:tblCellMar>
            <w:top w:w="12" w:type="dxa"/>
            <w:left w:w="12" w:type="dxa"/>
            <w:bottom w:w="0" w:type="dxa"/>
            <w:right w:w="12" w:type="dxa"/>
          </w:tblCellMar>
        </w:tblPrEx>
        <w:trPr>
          <w:trHeight w:val="288"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72B3ED">
            <w:pPr>
              <w:jc w:val="left"/>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DB07AC">
            <w:pPr>
              <w:jc w:val="left"/>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84BC4F1">
            <w:pPr>
              <w:rPr>
                <w:rFonts w:hint="eastAsia" w:ascii="宋体" w:hAnsi="宋体" w:eastAsia="宋体" w:cs="宋体"/>
                <w:i w:val="0"/>
                <w:color w:val="000000"/>
                <w:sz w:val="22"/>
                <w:szCs w:val="22"/>
                <w:u w:val="none"/>
              </w:rPr>
            </w:pP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D116BC">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群众满意度</w:t>
            </w:r>
          </w:p>
        </w:tc>
        <w:tc>
          <w:tcPr>
            <w:tcW w:w="1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FDA110">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98%</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F7B6892">
            <w:pPr>
              <w:rPr>
                <w:rFonts w:hint="eastAsia" w:ascii="宋体" w:hAnsi="宋体" w:eastAsia="宋体" w:cs="宋体"/>
                <w:i w:val="0"/>
                <w:color w:val="000000"/>
                <w:sz w:val="22"/>
                <w:szCs w:val="22"/>
                <w:u w:val="none"/>
              </w:rPr>
            </w:pPr>
          </w:p>
        </w:tc>
        <w:tc>
          <w:tcPr>
            <w:tcW w:w="339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2C2786">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群众满意度</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3166C5">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95%</w:t>
            </w:r>
          </w:p>
        </w:tc>
      </w:tr>
      <w:tr w14:paraId="6354893A">
        <w:tblPrEx>
          <w:tblCellMar>
            <w:top w:w="12" w:type="dxa"/>
            <w:left w:w="12" w:type="dxa"/>
            <w:bottom w:w="0" w:type="dxa"/>
            <w:right w:w="12" w:type="dxa"/>
          </w:tblCellMar>
        </w:tblPrEx>
        <w:trPr>
          <w:trHeight w:val="1170" w:hRule="atLeast"/>
        </w:trPr>
        <w:tc>
          <w:tcPr>
            <w:tcW w:w="15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7860A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单位已有的保障项目实施的制度措施</w:t>
            </w:r>
          </w:p>
        </w:tc>
        <w:tc>
          <w:tcPr>
            <w:tcW w:w="11154"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2A8BF9">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87号+关于印发呈贡区区级机关会议费管理办法等两办法一规定的通知</w:t>
            </w:r>
          </w:p>
        </w:tc>
      </w:tr>
      <w:tr w14:paraId="227DFD80">
        <w:tblPrEx>
          <w:tblCellMar>
            <w:top w:w="12" w:type="dxa"/>
            <w:left w:w="12" w:type="dxa"/>
            <w:bottom w:w="0" w:type="dxa"/>
            <w:right w:w="12" w:type="dxa"/>
          </w:tblCellMar>
        </w:tblPrEx>
        <w:trPr>
          <w:trHeight w:val="1065" w:hRule="atLeast"/>
        </w:trPr>
        <w:tc>
          <w:tcPr>
            <w:tcW w:w="15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B3E24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预算绩效说明</w:t>
            </w:r>
          </w:p>
        </w:tc>
        <w:tc>
          <w:tcPr>
            <w:tcW w:w="11154"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FC95AD">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严格按照87号+关于印发呈贡区区级机关会议费管理办法等两办法一规定的通知规定执行，实现预算与实际开展相匹配。</w:t>
            </w:r>
          </w:p>
        </w:tc>
      </w:tr>
      <w:tr w14:paraId="2FCCE1BD">
        <w:tblPrEx>
          <w:tblCellMar>
            <w:top w:w="12" w:type="dxa"/>
            <w:left w:w="12" w:type="dxa"/>
            <w:bottom w:w="0" w:type="dxa"/>
            <w:right w:w="12" w:type="dxa"/>
          </w:tblCellMar>
        </w:tblPrEx>
        <w:trPr>
          <w:trHeight w:val="288" w:hRule="atLeast"/>
        </w:trPr>
        <w:tc>
          <w:tcPr>
            <w:tcW w:w="26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CF70C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单位负责人：</w:t>
            </w:r>
          </w:p>
        </w:tc>
        <w:tc>
          <w:tcPr>
            <w:tcW w:w="2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9B193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张宝珍</w:t>
            </w:r>
          </w:p>
        </w:tc>
        <w:tc>
          <w:tcPr>
            <w:tcW w:w="1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B781F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填报人：</w:t>
            </w:r>
          </w:p>
        </w:tc>
        <w:tc>
          <w:tcPr>
            <w:tcW w:w="251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98981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刘钰</w:t>
            </w:r>
          </w:p>
        </w:tc>
        <w:tc>
          <w:tcPr>
            <w:tcW w:w="2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4F2DD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填报日期：</w:t>
            </w:r>
          </w:p>
        </w:tc>
        <w:tc>
          <w:tcPr>
            <w:tcW w:w="14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E71C2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2019-10-18</w:t>
            </w:r>
          </w:p>
        </w:tc>
      </w:tr>
    </w:tbl>
    <w:p w14:paraId="2402394E"/>
    <w:sectPr>
      <w:pgSz w:w="16838" w:h="11906"/>
      <w:pgMar w:top="1797" w:right="1247" w:bottom="1797" w:left="124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3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44CD">
    <w:pPr>
      <w:pStyle w:val="189"/>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FCC1">
    <w:pPr>
      <w:pStyle w:val="189"/>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52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6"/>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4">
    <w:name w:val="批注引用1"/>
    <w:link w:val="1"/>
    <w:semiHidden/>
    <w:qFormat/>
    <w:uiPriority w:val="0"/>
    <w:rPr>
      <w:sz w:val="21"/>
      <w:szCs w:val="21"/>
    </w:rPr>
  </w:style>
  <w:style w:type="character" w:customStyle="1" w:styleId="185">
    <w:name w:val="font21"/>
    <w:basedOn w:val="182"/>
    <w:link w:val="1"/>
    <w:uiPriority w:val="0"/>
    <w:rPr>
      <w:rFonts w:ascii="Arial" w:hAnsi="Arial" w:cs="Arial"/>
      <w:color w:val="000000"/>
      <w:sz w:val="22"/>
      <w:szCs w:val="22"/>
      <w:u w:val="none"/>
    </w:rPr>
  </w:style>
  <w:style w:type="character" w:customStyle="1" w:styleId="186">
    <w:name w:val="font31"/>
    <w:basedOn w:val="182"/>
    <w:link w:val="1"/>
    <w:uiPriority w:val="0"/>
    <w:rPr>
      <w:rFonts w:hint="eastAsia" w:ascii="宋体" w:hAnsi="宋体" w:eastAsia="宋体" w:cs="宋体"/>
      <w:color w:val="000000"/>
      <w:sz w:val="22"/>
      <w:szCs w:val="22"/>
      <w:u w:val="none"/>
    </w:rPr>
  </w:style>
  <w:style w:type="paragraph" w:customStyle="1" w:styleId="187">
    <w:name w:val="批注主题1"/>
    <w:basedOn w:val="188"/>
    <w:next w:val="188"/>
    <w:semiHidden/>
    <w:qFormat/>
    <w:uiPriority w:val="0"/>
    <w:rPr>
      <w:b/>
      <w:bCs/>
    </w:rPr>
  </w:style>
  <w:style w:type="paragraph" w:customStyle="1" w:styleId="188">
    <w:name w:val="批注文字1"/>
    <w:basedOn w:val="1"/>
    <w:semiHidden/>
    <w:qFormat/>
    <w:uiPriority w:val="0"/>
    <w:pPr>
      <w:jc w:val="left"/>
    </w:pPr>
  </w:style>
  <w:style w:type="paragraph" w:customStyle="1" w:styleId="189">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90">
    <w:name w:val="批注框文本1"/>
    <w:basedOn w:val="1"/>
    <w:semiHidden/>
    <w:qFormat/>
    <w:uiPriority w:val="0"/>
    <w:rPr>
      <w:sz w:val="18"/>
      <w:szCs w:val="18"/>
    </w:rPr>
  </w:style>
  <w:style w:type="paragraph" w:customStyle="1" w:styleId="191">
    <w:name w:val="页脚1"/>
    <w:basedOn w:val="1"/>
    <w:qFormat/>
    <w:uiPriority w:val="0"/>
    <w:pPr>
      <w:tabs>
        <w:tab w:val="center" w:pos="4153"/>
        <w:tab w:val="right" w:pos="8306"/>
      </w:tabs>
      <w:jc w:val="left"/>
    </w:pPr>
    <w:rPr>
      <w:sz w:val="18"/>
      <w:szCs w:val="18"/>
    </w:rPr>
  </w:style>
  <w:style w:type="paragraph" w:customStyle="1" w:styleId="192">
    <w:name w:val="Revision"/>
    <w:semiHidden/>
    <w:qFormat/>
    <w:uiPriority w:val="99"/>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zh</Company>
  <Pages>5</Pages>
  <Words>905</Words>
  <Characters>950</Characters>
  <TotalTime>1</TotalTime>
  <ScaleCrop>false</ScaleCrop>
  <LinksUpToDate>false</LinksUpToDate>
  <CharactersWithSpaces>951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dc:creator>
  <dc:description>ZHGenApp().GetProper</dc:description>
  <cp:lastModifiedBy>Administrator</cp:lastModifiedBy>
  <dcterms:modified xsi:type="dcterms:W3CDTF">2025-04-08T08:18:19Z</dcterms:modified>
  <dc:title>年部门预算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eyJoZGlkIjoiOTE4ODcxN2QzOTJlMjgxZWE5ZDkyMzEzMzcxM2NkM2QifQ==</vt:lpwstr>
  </property>
  <property fmtid="{D5CDD505-2E9C-101B-9397-08002B2CF9AE}" pid="3" name="KSOProductBuildVer">
    <vt:lpwstr>2052-12.1.0.20784</vt:lpwstr>
  </property>
  <property fmtid="{D5CDD505-2E9C-101B-9397-08002B2CF9AE}" pid="4" name="ICV">
    <vt:lpwstr>D70803C39C004484B6F6D7DDC6DAE9DA_12</vt:lpwstr>
  </property>
</Properties>
</file>