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55349">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昆明市呈贡区第二小学</w:t>
      </w:r>
      <w:r>
        <w:rPr>
          <w:rFonts w:hint="eastAsia" w:ascii="方正小标宋简体" w:eastAsia="方正小标宋简体"/>
          <w:sz w:val="44"/>
          <w:szCs w:val="44"/>
          <w:lang w:val="en-US" w:eastAsia="zh-CN"/>
        </w:rPr>
        <w:t>2025</w:t>
      </w:r>
      <w:r>
        <w:rPr>
          <w:rFonts w:hint="eastAsia" w:ascii="方正小标宋简体" w:eastAsia="方正小标宋简体"/>
          <w:sz w:val="44"/>
          <w:szCs w:val="44"/>
        </w:rPr>
        <w:t>年义务教育课后服务</w:t>
      </w:r>
      <w:r>
        <w:rPr>
          <w:rFonts w:hint="eastAsia" w:ascii="方正小标宋简体" w:hAnsi="华文中宋" w:eastAsia="方正小标宋简体"/>
          <w:spacing w:val="14"/>
          <w:sz w:val="44"/>
          <w:szCs w:val="44"/>
          <w:lang w:eastAsia="zh-CN"/>
        </w:rPr>
        <w:t>经费</w:t>
      </w:r>
      <w:r>
        <w:rPr>
          <w:rFonts w:hint="eastAsia" w:ascii="方正小标宋简体" w:hAnsi="华文中宋" w:eastAsia="方正小标宋简体"/>
          <w:spacing w:val="14"/>
          <w:sz w:val="44"/>
          <w:szCs w:val="44"/>
        </w:rPr>
        <w:t>项目</w:t>
      </w:r>
    </w:p>
    <w:p w14:paraId="4A8A7DF6">
      <w:pPr>
        <w:snapToGrid w:val="0"/>
        <w:spacing w:line="570" w:lineRule="exact"/>
        <w:jc w:val="center"/>
        <w:rPr>
          <w:rFonts w:hint="eastAsia" w:ascii="方正小标宋简体" w:hAnsi="华文中宋" w:eastAsia="方正小标宋简体"/>
          <w:spacing w:val="14"/>
          <w:sz w:val="44"/>
          <w:szCs w:val="44"/>
        </w:rPr>
      </w:pPr>
    </w:p>
    <w:p w14:paraId="53A03F53">
      <w:pPr>
        <w:widowControl/>
        <w:numPr>
          <w:ilvl w:val="0"/>
          <w:numId w:val="1"/>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项目名称</w:t>
      </w:r>
    </w:p>
    <w:p w14:paraId="22AFB4F1">
      <w:pPr>
        <w:widowControl/>
        <w:ind w:firstLine="640" w:firstLineChars="200"/>
        <w:jc w:val="left"/>
        <w:rPr>
          <w:rFonts w:hint="eastAsia" w:eastAsia="仿宋_GB2312"/>
          <w:kern w:val="0"/>
          <w:sz w:val="32"/>
          <w:szCs w:val="32"/>
          <w:lang w:eastAsia="zh-CN"/>
        </w:rPr>
      </w:pPr>
      <w:r>
        <w:rPr>
          <w:rFonts w:hint="eastAsia" w:eastAsia="仿宋_GB2312"/>
          <w:kern w:val="0"/>
          <w:sz w:val="32"/>
          <w:szCs w:val="32"/>
        </w:rPr>
        <w:t>义务教育课后服务</w:t>
      </w:r>
      <w:r>
        <w:rPr>
          <w:rFonts w:hint="eastAsia" w:eastAsia="仿宋_GB2312"/>
          <w:kern w:val="0"/>
          <w:sz w:val="32"/>
          <w:szCs w:val="32"/>
          <w:lang w:eastAsia="zh-CN"/>
        </w:rPr>
        <w:t>经费</w:t>
      </w:r>
    </w:p>
    <w:p w14:paraId="484B7586">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立项依据</w:t>
      </w:r>
    </w:p>
    <w:p w14:paraId="710E3A50">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根据《昆明市呈贡区教育体育局等五部门关于印发呈贡区进一步做好义务教育课后服务实施方案的通知》和主管部门通知要求、参与课后服务学生统计数据等文件立项。</w:t>
      </w:r>
    </w:p>
    <w:p w14:paraId="246673C8">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项目实施单位</w:t>
      </w:r>
    </w:p>
    <w:p w14:paraId="192E4339">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单位名称：</w:t>
      </w:r>
      <w:r>
        <w:rPr>
          <w:rFonts w:hint="eastAsia" w:ascii="Times New Roman" w:hAnsi="Times New Roman" w:eastAsia="仿宋_GB2312" w:cs="Times New Roman"/>
          <w:kern w:val="0"/>
          <w:sz w:val="32"/>
          <w:szCs w:val="32"/>
          <w:lang w:val="en-US" w:eastAsia="zh-CN"/>
        </w:rPr>
        <w:t>昆明市呈贡区第二小学</w:t>
      </w:r>
    </w:p>
    <w:p w14:paraId="3B4F32EA">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组织机构代码：</w:t>
      </w:r>
      <w:r>
        <w:rPr>
          <w:rFonts w:hint="eastAsia" w:ascii="Times New Roman" w:hAnsi="Times New Roman" w:eastAsia="仿宋_GB2312" w:cs="Times New Roman"/>
          <w:kern w:val="0"/>
          <w:sz w:val="32"/>
          <w:szCs w:val="32"/>
          <w:lang w:val="en-US" w:eastAsia="zh-CN"/>
        </w:rPr>
        <w:t>1253012159203844XN</w:t>
      </w:r>
    </w:p>
    <w:p w14:paraId="352600F6">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地址：</w:t>
      </w:r>
      <w:r>
        <w:rPr>
          <w:rFonts w:hint="eastAsia" w:ascii="Times New Roman" w:hAnsi="Times New Roman" w:eastAsia="仿宋_GB2312" w:cs="Times New Roman"/>
          <w:kern w:val="0"/>
          <w:sz w:val="32"/>
          <w:szCs w:val="32"/>
          <w:lang w:val="en-US" w:eastAsia="zh-CN"/>
        </w:rPr>
        <w:t>昆明市呈贡区教育路72号</w:t>
      </w:r>
    </w:p>
    <w:p w14:paraId="63DA4340">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联系电话：</w:t>
      </w:r>
      <w:r>
        <w:rPr>
          <w:rFonts w:hint="eastAsia" w:ascii="Times New Roman" w:hAnsi="Times New Roman" w:eastAsia="仿宋_GB2312" w:cs="Times New Roman"/>
          <w:kern w:val="0"/>
          <w:sz w:val="32"/>
          <w:szCs w:val="32"/>
          <w:lang w:val="en-US" w:eastAsia="zh-CN"/>
        </w:rPr>
        <w:t>0871-67475113</w:t>
      </w:r>
    </w:p>
    <w:p w14:paraId="3C937616">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法人代表：</w:t>
      </w:r>
      <w:r>
        <w:rPr>
          <w:rFonts w:hint="eastAsia" w:ascii="Times New Roman" w:hAnsi="Times New Roman" w:eastAsia="仿宋_GB2312" w:cs="Times New Roman"/>
          <w:kern w:val="0"/>
          <w:sz w:val="32"/>
          <w:szCs w:val="32"/>
          <w:lang w:val="en-US" w:eastAsia="zh-CN"/>
        </w:rPr>
        <w:t>萧牧</w:t>
      </w:r>
    </w:p>
    <w:p w14:paraId="7F87E499">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经费来源：</w:t>
      </w:r>
      <w:r>
        <w:rPr>
          <w:rFonts w:hint="eastAsia" w:ascii="Times New Roman" w:hAnsi="Times New Roman" w:eastAsia="仿宋_GB2312" w:cs="Times New Roman"/>
          <w:kern w:val="0"/>
          <w:sz w:val="32"/>
          <w:szCs w:val="32"/>
          <w:lang w:val="en-US" w:eastAsia="zh-CN"/>
        </w:rPr>
        <w:t>财政全额拨款</w:t>
      </w:r>
    </w:p>
    <w:p w14:paraId="41BD4716">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单位概况：</w:t>
      </w:r>
    </w:p>
    <w:p w14:paraId="28AB3DF4">
      <w:pPr>
        <w:widowControl/>
        <w:ind w:firstLine="640" w:firstLineChars="200"/>
        <w:jc w:val="left"/>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rPr>
        <w:t>昆明市呈贡区第二小学</w:t>
      </w:r>
      <w:r>
        <w:rPr>
          <w:rFonts w:hint="eastAsia" w:ascii="Times New Roman" w:hAnsi="Times New Roman" w:eastAsia="仿宋_GB2312" w:cs="Times New Roman"/>
          <w:kern w:val="0"/>
          <w:sz w:val="32"/>
          <w:szCs w:val="32"/>
          <w:lang w:eastAsia="zh-CN"/>
        </w:rPr>
        <w:t>位于呈贡区教育路72号，学校占地面积</w:t>
      </w:r>
      <w:r>
        <w:rPr>
          <w:rFonts w:hint="eastAsia" w:ascii="Times New Roman" w:hAnsi="Times New Roman" w:eastAsia="仿宋_GB2312" w:cs="Times New Roman"/>
          <w:kern w:val="0"/>
          <w:sz w:val="32"/>
          <w:szCs w:val="32"/>
          <w:lang w:val="en-US" w:eastAsia="zh-CN"/>
        </w:rPr>
        <w:t>30464.17</w:t>
      </w:r>
      <w:r>
        <w:rPr>
          <w:rFonts w:hint="eastAsia" w:ascii="Times New Roman" w:hAnsi="Times New Roman" w:eastAsia="仿宋_GB2312" w:cs="Times New Roman"/>
          <w:kern w:val="0"/>
          <w:sz w:val="32"/>
          <w:szCs w:val="32"/>
          <w:lang w:eastAsia="zh-CN"/>
        </w:rPr>
        <w:t>平方米，现有</w:t>
      </w:r>
      <w:r>
        <w:rPr>
          <w:rFonts w:hint="eastAsia" w:ascii="Times New Roman" w:hAnsi="Times New Roman" w:eastAsia="仿宋_GB2312" w:cs="Times New Roman"/>
          <w:kern w:val="0"/>
          <w:sz w:val="32"/>
          <w:szCs w:val="32"/>
          <w:lang w:val="en-US" w:eastAsia="zh-CN"/>
        </w:rPr>
        <w:t>2560</w:t>
      </w:r>
      <w:r>
        <w:rPr>
          <w:rFonts w:hint="eastAsia" w:ascii="Times New Roman" w:hAnsi="Times New Roman" w:eastAsia="仿宋_GB2312" w:cs="Times New Roman"/>
          <w:kern w:val="0"/>
          <w:sz w:val="32"/>
          <w:szCs w:val="32"/>
          <w:lang w:eastAsia="zh-CN"/>
        </w:rPr>
        <w:t>名学生，</w:t>
      </w:r>
      <w:r>
        <w:rPr>
          <w:rFonts w:hint="eastAsia" w:ascii="Times New Roman" w:hAnsi="Times New Roman" w:eastAsia="仿宋_GB2312" w:cs="Times New Roman"/>
          <w:kern w:val="0"/>
          <w:sz w:val="32"/>
          <w:szCs w:val="32"/>
          <w:lang w:val="en-US" w:eastAsia="zh-CN"/>
        </w:rPr>
        <w:t>5</w:t>
      </w:r>
      <w:r>
        <w:rPr>
          <w:rFonts w:hint="eastAsia"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个教学班，</w:t>
      </w:r>
      <w:r>
        <w:rPr>
          <w:rFonts w:hint="eastAsia" w:ascii="Times New Roman" w:hAnsi="Times New Roman" w:eastAsia="仿宋_GB2312" w:cs="Times New Roman"/>
          <w:kern w:val="0"/>
          <w:sz w:val="32"/>
          <w:szCs w:val="32"/>
          <w:lang w:val="en-US" w:eastAsia="zh-CN"/>
        </w:rPr>
        <w:t>148</w:t>
      </w:r>
      <w:r>
        <w:rPr>
          <w:rFonts w:hint="eastAsia" w:ascii="Times New Roman" w:hAnsi="Times New Roman" w:eastAsia="仿宋_GB2312" w:cs="Times New Roman"/>
          <w:kern w:val="0"/>
          <w:sz w:val="32"/>
          <w:szCs w:val="32"/>
          <w:lang w:eastAsia="zh-CN"/>
        </w:rPr>
        <w:t>名教职工。校园内环境优美，设有设施齐全、功能完备的30个功能教室。学校遵循“人的全面发展”的教育哲学和价值观，紧紧围绕“扬龙之精神·育龙的传人”的办学理念，通过“龙魂励志、龙身墙体、龙韵润心”的龙娃模式，努力培育小龙娃“心爱国、尚礼仪、有志向、存智慧”内在精神涵养，塑造“好学、诚信、自爱、勤俭、孝顺”外在优秀品质。创新设置“小龙娃”课程，为学生提供体现育人特色的德行、生存、发展三大主题课程，继承和发扬张天虚精神、育侨中学精神，开设爱护未来社工站，开办“小龙人校园广播电视台”传递校园信息，打造“图书馆”营造书香校园，举办“龙文化校园艺术节”、“龙腾科技体育节”为师生精彩人生搭建平台；精心打造以学生、教师、家长发展为主体的“龙行大课堂”，以教学研讨、教育科研、教师发展为主题的“龙吟论坛”；通过家校社协同打造“小神龙农科园”，先后开设多肉科研园、农耕园、百草园三个基地，给龙娃们开展劳动实践、科技创新实验、传承中医药文化作保障。</w:t>
      </w:r>
    </w:p>
    <w:p w14:paraId="05729A2C">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项目基本概况</w:t>
      </w:r>
    </w:p>
    <w:p w14:paraId="7CF9B441">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根据《昆明市呈贡区教育体育局等五部门关于印发呈贡区进一步做好义务教育课后服务实施方案的通知》和主管部门通知要求，特做好义务教育课后服务资金项目入库。预算义务教育课后服务资金（自有资金）为：</w:t>
      </w:r>
      <w:r>
        <w:rPr>
          <w:rFonts w:hint="eastAsia" w:ascii="Times New Roman" w:hAnsi="Times New Roman" w:eastAsia="仿宋_GB2312" w:cs="Times New Roman"/>
          <w:kern w:val="0"/>
          <w:sz w:val="32"/>
          <w:szCs w:val="32"/>
          <w:lang w:val="en-US" w:eastAsia="zh-CN"/>
        </w:rPr>
        <w:t>2560</w:t>
      </w:r>
      <w:r>
        <w:rPr>
          <w:rFonts w:hint="eastAsia" w:ascii="Times New Roman" w:hAnsi="Times New Roman" w:eastAsia="仿宋_GB2312" w:cs="Times New Roman"/>
          <w:kern w:val="0"/>
          <w:sz w:val="32"/>
          <w:szCs w:val="32"/>
          <w:lang w:eastAsia="zh-CN"/>
        </w:rPr>
        <w:t>人×</w:t>
      </w:r>
      <w:r>
        <w:rPr>
          <w:rFonts w:hint="eastAsia" w:ascii="Times New Roman" w:hAnsi="Times New Roman" w:eastAsia="仿宋_GB2312" w:cs="Times New Roman"/>
          <w:kern w:val="0"/>
          <w:sz w:val="32"/>
          <w:szCs w:val="32"/>
          <w:lang w:val="en-US" w:eastAsia="zh-CN"/>
        </w:rPr>
        <w:t>800</w:t>
      </w:r>
      <w:r>
        <w:rPr>
          <w:rFonts w:hint="eastAsia" w:ascii="Times New Roman" w:hAnsi="Times New Roman" w:eastAsia="仿宋_GB2312" w:cs="Times New Roman"/>
          <w:kern w:val="0"/>
          <w:sz w:val="32"/>
          <w:szCs w:val="32"/>
          <w:lang w:eastAsia="zh-CN"/>
        </w:rPr>
        <w:t>元/生.年=</w:t>
      </w:r>
      <w:r>
        <w:rPr>
          <w:rFonts w:hint="eastAsia" w:ascii="Times New Roman" w:hAnsi="Times New Roman" w:eastAsia="仿宋_GB2312" w:cs="Times New Roman"/>
          <w:kern w:val="0"/>
          <w:sz w:val="32"/>
          <w:szCs w:val="32"/>
          <w:lang w:val="en-US" w:eastAsia="zh-CN"/>
        </w:rPr>
        <w:t>2048000.00</w:t>
      </w:r>
      <w:r>
        <w:rPr>
          <w:rFonts w:hint="eastAsia" w:ascii="Times New Roman" w:hAnsi="Times New Roman" w:eastAsia="仿宋_GB2312" w:cs="Times New Roman"/>
          <w:kern w:val="0"/>
          <w:sz w:val="32"/>
          <w:szCs w:val="32"/>
          <w:lang w:eastAsia="zh-CN"/>
        </w:rPr>
        <w:t>元，加上省级结转资金139490</w:t>
      </w:r>
      <w:r>
        <w:rPr>
          <w:rFonts w:hint="eastAsia" w:ascii="Times New Roman" w:hAnsi="Times New Roman" w:eastAsia="仿宋_GB2312" w:cs="Times New Roman"/>
          <w:kern w:val="0"/>
          <w:sz w:val="32"/>
          <w:szCs w:val="32"/>
          <w:lang w:val="en-US" w:eastAsia="zh-CN"/>
        </w:rPr>
        <w:t>.00元，共计2187490.00元，</w:t>
      </w:r>
      <w:r>
        <w:rPr>
          <w:rFonts w:hint="eastAsia" w:ascii="Times New Roman" w:hAnsi="Times New Roman" w:eastAsia="仿宋_GB2312" w:cs="Times New Roman"/>
          <w:kern w:val="0"/>
          <w:sz w:val="32"/>
          <w:szCs w:val="32"/>
          <w:lang w:eastAsia="zh-CN"/>
        </w:rPr>
        <w:t>优先用于发放参与课后服务一线教师和相关人员课时补助。</w:t>
      </w:r>
    </w:p>
    <w:p w14:paraId="1450754E">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项目实施内容</w:t>
      </w:r>
    </w:p>
    <w:p w14:paraId="7A85AE30">
      <w:pPr>
        <w:widowControl/>
        <w:ind w:firstLine="640" w:firstLineChars="200"/>
        <w:jc w:val="left"/>
        <w:rPr>
          <w:rFonts w:hint="eastAsia" w:ascii="黑体" w:hAnsi="黑体" w:eastAsia="黑体" w:cs="黑体"/>
          <w:kern w:val="0"/>
          <w:sz w:val="30"/>
          <w:szCs w:val="30"/>
        </w:rPr>
      </w:pPr>
      <w:r>
        <w:rPr>
          <w:rFonts w:hint="eastAsia" w:ascii="Times New Roman" w:hAnsi="Times New Roman" w:eastAsia="仿宋_GB2312" w:cs="Times New Roman"/>
          <w:kern w:val="0"/>
          <w:sz w:val="32"/>
          <w:szCs w:val="32"/>
          <w:lang w:val="en-US" w:eastAsia="zh-CN"/>
        </w:rPr>
        <w:t>制定《课后服务方案》，做好义务教育课后服务，不断提高服务水平，全面育人水平不断提高。按时发放参与课后服务教师课时补助和支付第三方非学科类培训机构开展课后服务费用。</w:t>
      </w:r>
    </w:p>
    <w:p w14:paraId="2302DFAD">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资金安排情况</w:t>
      </w:r>
    </w:p>
    <w:p w14:paraId="0A88BC8F">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义务教育课后服务经费安排在劳务费开支，主要用于发放参与课后服务教师课时补助和支付第三方非学科类培训机构开展课后服务费用，努力帮助家长解决放学后接管学生的困难，有效促进学生全面健康成长。培养高素质，有特色的全方位发展学生，依托我校优质教育资源，充分利用教学资源，培养学生想象力、创造力、拓宽学生综合素质，使学生在德智体美劳方面得到发展。</w:t>
      </w:r>
    </w:p>
    <w:p w14:paraId="728C389F">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项目实施计划</w:t>
      </w:r>
    </w:p>
    <w:p w14:paraId="2903E544">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14:paraId="16A1808D">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项目实施成效</w:t>
      </w:r>
    </w:p>
    <w:p w14:paraId="651D16F9">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形成有特色、高质量的课后服务体系，全面育人水平明显提高，助推学生过重作业负担和校外培训负担、家庭教育支出和家长精力负担明显减轻，促进学生全面发展。</w:t>
      </w:r>
    </w:p>
    <w:p w14:paraId="75B047F1">
      <w:pPr>
        <w:widowControl/>
        <w:numPr>
          <w:ilvl w:val="0"/>
          <w:numId w:val="1"/>
        </w:num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项目绩效目标表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652"/>
        <w:gridCol w:w="633"/>
        <w:gridCol w:w="295"/>
        <w:gridCol w:w="1003"/>
        <w:gridCol w:w="295"/>
        <w:gridCol w:w="531"/>
        <w:gridCol w:w="2224"/>
        <w:gridCol w:w="1555"/>
        <w:gridCol w:w="373"/>
        <w:gridCol w:w="218"/>
        <w:gridCol w:w="218"/>
      </w:tblGrid>
      <w:tr w14:paraId="55CD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4498" w:type="pct"/>
            <w:gridSpan w:val="10"/>
            <w:tcBorders>
              <w:top w:val="nil"/>
              <w:left w:val="nil"/>
              <w:bottom w:val="nil"/>
              <w:right w:val="nil"/>
            </w:tcBorders>
            <w:shd w:val="clear" w:color="auto" w:fill="auto"/>
            <w:vAlign w:val="center"/>
          </w:tcPr>
          <w:p w14:paraId="7F917028">
            <w:pPr>
              <w:keepNext w:val="0"/>
              <w:keepLines w:val="0"/>
              <w:widowControl/>
              <w:suppressLineNumbers w:val="0"/>
              <w:jc w:val="center"/>
              <w:textAlignment w:val="center"/>
              <w:rPr>
                <w:rFonts w:ascii="Source Han Sans CN" w:hAnsi="Source Han Sans CN" w:eastAsia="Source Han Sans CN" w:cs="Source Han Sans CN"/>
                <w:b/>
                <w:bCs/>
                <w:i w:val="0"/>
                <w:iCs w:val="0"/>
                <w:color w:val="000000"/>
                <w:sz w:val="36"/>
                <w:szCs w:val="36"/>
                <w:u w:val="none"/>
              </w:rPr>
            </w:pPr>
            <w:r>
              <w:rPr>
                <w:rFonts w:hint="default" w:ascii="Source Han Sans CN" w:hAnsi="Source Han Sans CN" w:eastAsia="Source Han Sans CN" w:cs="Source Han Sans CN"/>
                <w:b/>
                <w:bCs/>
                <w:i w:val="0"/>
                <w:iCs w:val="0"/>
                <w:color w:val="000000"/>
                <w:kern w:val="0"/>
                <w:sz w:val="36"/>
                <w:szCs w:val="36"/>
                <w:u w:val="none"/>
                <w:lang w:val="en-US" w:eastAsia="zh-CN" w:bidi="ar"/>
              </w:rPr>
              <w:t>项目绩效目标表</w:t>
            </w:r>
          </w:p>
        </w:tc>
        <w:tc>
          <w:tcPr>
            <w:tcW w:w="192" w:type="pct"/>
            <w:tcBorders>
              <w:top w:val="nil"/>
              <w:left w:val="nil"/>
              <w:bottom w:val="nil"/>
              <w:right w:val="nil"/>
            </w:tcBorders>
            <w:shd w:val="clear" w:color="auto" w:fill="auto"/>
            <w:noWrap/>
            <w:vAlign w:val="center"/>
          </w:tcPr>
          <w:p w14:paraId="5B7B95FC">
            <w:pPr>
              <w:rPr>
                <w:rFonts w:hint="eastAsia" w:ascii="方正小标宋简体" w:hAnsi="方正小标宋简体" w:eastAsia="方正小标宋简体" w:cs="方正小标宋简体"/>
                <w:i w:val="0"/>
                <w:iCs w:val="0"/>
                <w:color w:val="000000"/>
                <w:sz w:val="44"/>
                <w:szCs w:val="44"/>
                <w:u w:val="none"/>
              </w:rPr>
            </w:pPr>
          </w:p>
        </w:tc>
        <w:tc>
          <w:tcPr>
            <w:tcW w:w="308" w:type="pct"/>
            <w:tcBorders>
              <w:top w:val="nil"/>
              <w:left w:val="nil"/>
              <w:bottom w:val="nil"/>
              <w:right w:val="nil"/>
            </w:tcBorders>
            <w:shd w:val="clear" w:color="auto" w:fill="auto"/>
            <w:noWrap/>
            <w:vAlign w:val="center"/>
          </w:tcPr>
          <w:p w14:paraId="45E14D44">
            <w:pPr>
              <w:rPr>
                <w:rFonts w:hint="eastAsia" w:ascii="方正小标宋简体" w:hAnsi="方正小标宋简体" w:eastAsia="方正小标宋简体" w:cs="方正小标宋简体"/>
                <w:i w:val="0"/>
                <w:iCs w:val="0"/>
                <w:color w:val="000000"/>
                <w:sz w:val="44"/>
                <w:szCs w:val="44"/>
                <w:u w:val="none"/>
              </w:rPr>
            </w:pPr>
          </w:p>
        </w:tc>
      </w:tr>
      <w:tr w14:paraId="61A4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2B4D6">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项目目标</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CBB8">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Style w:val="5"/>
                <w:lang w:val="en-US" w:eastAsia="zh-CN" w:bidi="ar"/>
              </w:rPr>
              <w:t>总体目标</w:t>
            </w:r>
            <w:r>
              <w:rPr>
                <w:rStyle w:val="6"/>
                <w:lang w:val="en-US" w:eastAsia="zh-CN" w:bidi="ar"/>
              </w:rPr>
              <w:t>(2025</w:t>
            </w:r>
            <w:r>
              <w:rPr>
                <w:rStyle w:val="5"/>
                <w:lang w:val="en-US" w:eastAsia="zh-CN" w:bidi="ar"/>
              </w:rPr>
              <w:t>年</w:t>
            </w:r>
            <w:r>
              <w:rPr>
                <w:rStyle w:val="6"/>
                <w:lang w:val="en-US" w:eastAsia="zh-CN" w:bidi="ar"/>
              </w:rPr>
              <w:t>-2027</w:t>
            </w:r>
            <w:r>
              <w:rPr>
                <w:rStyle w:val="5"/>
                <w:lang w:val="en-US" w:eastAsia="zh-CN" w:bidi="ar"/>
              </w:rPr>
              <w:t>年</w:t>
            </w:r>
            <w:r>
              <w:rPr>
                <w:rStyle w:val="6"/>
                <w:lang w:val="en-US" w:eastAsia="zh-CN" w:bidi="ar"/>
              </w:rPr>
              <w:t>)</w:t>
            </w:r>
          </w:p>
        </w:tc>
        <w:tc>
          <w:tcPr>
            <w:tcW w:w="35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1073830B">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形成有特色、高质量的课后服务体系，全面育人水平明显提高，助推学生过重作业负担和校外培训负担、家庭教育支出和家长精力负担明显减轻。</w:t>
            </w:r>
          </w:p>
        </w:tc>
        <w:tc>
          <w:tcPr>
            <w:tcW w:w="192" w:type="pct"/>
            <w:tcBorders>
              <w:top w:val="nil"/>
              <w:left w:val="nil"/>
              <w:bottom w:val="nil"/>
              <w:right w:val="nil"/>
            </w:tcBorders>
            <w:shd w:val="clear" w:color="auto" w:fill="auto"/>
            <w:noWrap/>
            <w:vAlign w:val="center"/>
          </w:tcPr>
          <w:p w14:paraId="38C216F8">
            <w:pPr>
              <w:rPr>
                <w:rFonts w:hint="eastAsia" w:ascii="方正小标宋简体" w:hAnsi="方正小标宋简体" w:eastAsia="方正小标宋简体" w:cs="方正小标宋简体"/>
                <w:i w:val="0"/>
                <w:iCs w:val="0"/>
                <w:color w:val="000000"/>
                <w:sz w:val="44"/>
                <w:szCs w:val="44"/>
                <w:u w:val="none"/>
              </w:rPr>
            </w:pPr>
          </w:p>
        </w:tc>
        <w:tc>
          <w:tcPr>
            <w:tcW w:w="308" w:type="pct"/>
            <w:tcBorders>
              <w:top w:val="nil"/>
              <w:left w:val="nil"/>
              <w:bottom w:val="nil"/>
              <w:right w:val="nil"/>
            </w:tcBorders>
            <w:shd w:val="clear" w:color="auto" w:fill="auto"/>
            <w:noWrap/>
            <w:vAlign w:val="center"/>
          </w:tcPr>
          <w:p w14:paraId="4CEA1665">
            <w:pPr>
              <w:rPr>
                <w:rFonts w:hint="eastAsia" w:ascii="方正小标宋简体" w:hAnsi="方正小标宋简体" w:eastAsia="方正小标宋简体" w:cs="方正小标宋简体"/>
                <w:i w:val="0"/>
                <w:iCs w:val="0"/>
                <w:color w:val="000000"/>
                <w:sz w:val="44"/>
                <w:szCs w:val="44"/>
                <w:u w:val="none"/>
              </w:rPr>
            </w:pPr>
          </w:p>
        </w:tc>
      </w:tr>
      <w:tr w14:paraId="6BF4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1993">
            <w:pPr>
              <w:jc w:val="center"/>
              <w:rPr>
                <w:rFonts w:hint="default" w:ascii="Source Han Sans CN" w:hAnsi="Source Han Sans CN" w:eastAsia="Source Han Sans CN" w:cs="Source Han Sans CN"/>
                <w:i w:val="0"/>
                <w:iCs w:val="0"/>
                <w:color w:val="000000"/>
                <w:sz w:val="24"/>
                <w:szCs w:val="24"/>
                <w:u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6282">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Style w:val="5"/>
                <w:lang w:val="en-US" w:eastAsia="zh-CN" w:bidi="ar"/>
              </w:rPr>
              <w:t>预算年度</w:t>
            </w:r>
            <w:r>
              <w:rPr>
                <w:rStyle w:val="6"/>
                <w:lang w:val="en-US" w:eastAsia="zh-CN" w:bidi="ar"/>
              </w:rPr>
              <w:t>(2025</w:t>
            </w:r>
            <w:r>
              <w:rPr>
                <w:rStyle w:val="5"/>
                <w:lang w:val="en-US" w:eastAsia="zh-CN" w:bidi="ar"/>
              </w:rPr>
              <w:t>年</w:t>
            </w:r>
            <w:r>
              <w:rPr>
                <w:rStyle w:val="6"/>
                <w:lang w:val="en-US" w:eastAsia="zh-CN" w:bidi="ar"/>
              </w:rPr>
              <w:t>)</w:t>
            </w:r>
            <w:r>
              <w:rPr>
                <w:rStyle w:val="5"/>
                <w:lang w:val="en-US" w:eastAsia="zh-CN" w:bidi="ar"/>
              </w:rPr>
              <w:t>目标</w:t>
            </w:r>
          </w:p>
        </w:tc>
        <w:tc>
          <w:tcPr>
            <w:tcW w:w="35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6A90EF73">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建立健全课后服务经费和人员保障机制，确保继续全面开展课后服务。</w:t>
            </w:r>
          </w:p>
        </w:tc>
        <w:tc>
          <w:tcPr>
            <w:tcW w:w="192" w:type="pct"/>
            <w:tcBorders>
              <w:top w:val="nil"/>
              <w:left w:val="nil"/>
              <w:bottom w:val="nil"/>
              <w:right w:val="nil"/>
            </w:tcBorders>
            <w:shd w:val="clear" w:color="auto" w:fill="auto"/>
            <w:noWrap/>
            <w:vAlign w:val="center"/>
          </w:tcPr>
          <w:p w14:paraId="6F95B879">
            <w:pPr>
              <w:rPr>
                <w:rFonts w:hint="eastAsia" w:ascii="方正小标宋简体" w:hAnsi="方正小标宋简体" w:eastAsia="方正小标宋简体" w:cs="方正小标宋简体"/>
                <w:i w:val="0"/>
                <w:iCs w:val="0"/>
                <w:color w:val="000000"/>
                <w:sz w:val="44"/>
                <w:szCs w:val="44"/>
                <w:u w:val="none"/>
              </w:rPr>
            </w:pPr>
          </w:p>
        </w:tc>
        <w:tc>
          <w:tcPr>
            <w:tcW w:w="308" w:type="pct"/>
            <w:tcBorders>
              <w:top w:val="nil"/>
              <w:left w:val="nil"/>
              <w:bottom w:val="nil"/>
              <w:right w:val="nil"/>
            </w:tcBorders>
            <w:shd w:val="clear" w:color="auto" w:fill="auto"/>
            <w:noWrap/>
            <w:vAlign w:val="center"/>
          </w:tcPr>
          <w:p w14:paraId="5A959A80">
            <w:pPr>
              <w:rPr>
                <w:rFonts w:hint="eastAsia" w:ascii="方正小标宋简体" w:hAnsi="方正小标宋简体" w:eastAsia="方正小标宋简体" w:cs="方正小标宋简体"/>
                <w:i w:val="0"/>
                <w:iCs w:val="0"/>
                <w:color w:val="000000"/>
                <w:sz w:val="44"/>
                <w:szCs w:val="44"/>
                <w:u w:val="none"/>
              </w:rPr>
            </w:pPr>
          </w:p>
        </w:tc>
      </w:tr>
      <w:tr w14:paraId="5270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5CE0D4">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绩效指标</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21F7E">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评（扣）分标准</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73A2A">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指标内容</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59B13">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绩效指标值设定依据及数据来源</w:t>
            </w:r>
          </w:p>
        </w:tc>
        <w:tc>
          <w:tcPr>
            <w:tcW w:w="192" w:type="pct"/>
            <w:tcBorders>
              <w:top w:val="nil"/>
              <w:left w:val="nil"/>
              <w:bottom w:val="nil"/>
              <w:right w:val="nil"/>
            </w:tcBorders>
            <w:shd w:val="clear" w:color="auto" w:fill="auto"/>
            <w:noWrap/>
            <w:vAlign w:val="center"/>
          </w:tcPr>
          <w:p w14:paraId="68551811">
            <w:pPr>
              <w:rPr>
                <w:rFonts w:hint="eastAsia" w:ascii="方正小标宋简体" w:hAnsi="方正小标宋简体" w:eastAsia="方正小标宋简体" w:cs="方正小标宋简体"/>
                <w:i w:val="0"/>
                <w:iCs w:val="0"/>
                <w:color w:val="000000"/>
                <w:sz w:val="44"/>
                <w:szCs w:val="44"/>
                <w:u w:val="none"/>
              </w:rPr>
            </w:pPr>
          </w:p>
        </w:tc>
        <w:tc>
          <w:tcPr>
            <w:tcW w:w="308" w:type="pct"/>
            <w:tcBorders>
              <w:top w:val="nil"/>
              <w:left w:val="nil"/>
              <w:bottom w:val="nil"/>
              <w:right w:val="nil"/>
            </w:tcBorders>
            <w:shd w:val="clear" w:color="auto" w:fill="auto"/>
            <w:noWrap/>
            <w:vAlign w:val="center"/>
          </w:tcPr>
          <w:p w14:paraId="2D4144DA">
            <w:pPr>
              <w:rPr>
                <w:rFonts w:hint="eastAsia" w:ascii="方正小标宋简体" w:hAnsi="方正小标宋简体" w:eastAsia="方正小标宋简体" w:cs="方正小标宋简体"/>
                <w:i w:val="0"/>
                <w:iCs w:val="0"/>
                <w:color w:val="000000"/>
                <w:sz w:val="44"/>
                <w:szCs w:val="44"/>
                <w:u w:val="none"/>
              </w:rPr>
            </w:pPr>
          </w:p>
        </w:tc>
      </w:tr>
      <w:tr w14:paraId="113C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4F22">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一级指标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9D25">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二级指标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5BB5">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三级指标</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DA68">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指标性质</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710B">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68CA">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度量单位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9E2C">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指标属性</w:t>
            </w: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FE3A">
            <w:pPr>
              <w:jc w:val="center"/>
              <w:rPr>
                <w:rFonts w:hint="default" w:ascii="Source Han Sans CN" w:hAnsi="Source Han Sans CN" w:eastAsia="Source Han Sans CN" w:cs="Source Han Sans CN"/>
                <w:i w:val="0"/>
                <w:iCs w:val="0"/>
                <w:color w:val="000000"/>
                <w:sz w:val="24"/>
                <w:szCs w:val="24"/>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272AC">
            <w:pPr>
              <w:jc w:val="center"/>
              <w:rPr>
                <w:rFonts w:hint="default" w:ascii="Source Han Sans CN" w:hAnsi="Source Han Sans CN" w:eastAsia="Source Han Sans CN" w:cs="Source Han Sans CN"/>
                <w:i w:val="0"/>
                <w:iCs w:val="0"/>
                <w:color w:val="000000"/>
                <w:sz w:val="24"/>
                <w:szCs w:val="24"/>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E44C">
            <w:pPr>
              <w:jc w:val="center"/>
              <w:rPr>
                <w:rFonts w:hint="default" w:ascii="Source Han Sans CN" w:hAnsi="Source Han Sans CN" w:eastAsia="Source Han Sans CN" w:cs="Source Han Sans CN"/>
                <w:i w:val="0"/>
                <w:iCs w:val="0"/>
                <w:color w:val="000000"/>
                <w:sz w:val="24"/>
                <w:szCs w:val="24"/>
                <w:u w:val="none"/>
              </w:rPr>
            </w:pPr>
          </w:p>
        </w:tc>
        <w:tc>
          <w:tcPr>
            <w:tcW w:w="192" w:type="pct"/>
            <w:tcBorders>
              <w:top w:val="nil"/>
              <w:left w:val="nil"/>
              <w:bottom w:val="nil"/>
              <w:right w:val="nil"/>
            </w:tcBorders>
            <w:shd w:val="clear" w:color="auto" w:fill="auto"/>
            <w:noWrap/>
            <w:vAlign w:val="center"/>
          </w:tcPr>
          <w:p w14:paraId="110B5145">
            <w:pPr>
              <w:rPr>
                <w:rFonts w:hint="eastAsia" w:ascii="宋体" w:hAnsi="宋体" w:eastAsia="宋体" w:cs="宋体"/>
                <w:i w:val="0"/>
                <w:iCs w:val="0"/>
                <w:color w:val="000000"/>
                <w:sz w:val="24"/>
                <w:szCs w:val="24"/>
                <w:u w:val="none"/>
              </w:rPr>
            </w:pPr>
          </w:p>
        </w:tc>
        <w:tc>
          <w:tcPr>
            <w:tcW w:w="308" w:type="pct"/>
            <w:tcBorders>
              <w:top w:val="nil"/>
              <w:left w:val="nil"/>
              <w:bottom w:val="nil"/>
              <w:right w:val="nil"/>
            </w:tcBorders>
            <w:shd w:val="clear" w:color="auto" w:fill="auto"/>
            <w:noWrap/>
            <w:vAlign w:val="center"/>
          </w:tcPr>
          <w:p w14:paraId="0BDD940C">
            <w:pPr>
              <w:rPr>
                <w:rFonts w:hint="eastAsia" w:ascii="宋体" w:hAnsi="宋体" w:eastAsia="宋体" w:cs="宋体"/>
                <w:i w:val="0"/>
                <w:iCs w:val="0"/>
                <w:color w:val="000000"/>
                <w:sz w:val="24"/>
                <w:szCs w:val="24"/>
                <w:u w:val="none"/>
              </w:rPr>
            </w:pPr>
          </w:p>
        </w:tc>
      </w:tr>
      <w:tr w14:paraId="41C1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B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AFA6">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32DF">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B80A">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AB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23CE">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6368">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B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0F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4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50A79A34">
            <w:pPr>
              <w:rPr>
                <w:rFonts w:hint="eastAsia" w:ascii="宋体" w:hAnsi="宋体" w:eastAsia="宋体" w:cs="宋体"/>
                <w:i w:val="0"/>
                <w:iCs w:val="0"/>
                <w:color w:val="000000"/>
                <w:sz w:val="24"/>
                <w:szCs w:val="24"/>
                <w:u w:val="none"/>
              </w:rPr>
            </w:pPr>
          </w:p>
        </w:tc>
        <w:tc>
          <w:tcPr>
            <w:tcW w:w="308" w:type="pct"/>
            <w:tcBorders>
              <w:top w:val="nil"/>
              <w:left w:val="nil"/>
              <w:bottom w:val="nil"/>
              <w:right w:val="nil"/>
            </w:tcBorders>
            <w:shd w:val="clear" w:color="auto" w:fill="auto"/>
            <w:noWrap/>
            <w:vAlign w:val="center"/>
          </w:tcPr>
          <w:p w14:paraId="07CD8561">
            <w:pPr>
              <w:rPr>
                <w:rFonts w:hint="eastAsia" w:ascii="宋体" w:hAnsi="宋体" w:eastAsia="宋体" w:cs="宋体"/>
                <w:i w:val="0"/>
                <w:iCs w:val="0"/>
                <w:color w:val="000000"/>
                <w:sz w:val="24"/>
                <w:szCs w:val="24"/>
                <w:u w:val="none"/>
              </w:rPr>
            </w:pPr>
          </w:p>
        </w:tc>
      </w:tr>
      <w:tr w14:paraId="0791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6615">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1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1B3B">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0088">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C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697A">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97CC">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E8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76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0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2BD1E879">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3D9E03E2">
            <w:pPr>
              <w:rPr>
                <w:rFonts w:hint="eastAsia" w:ascii="宋体" w:hAnsi="宋体" w:eastAsia="宋体" w:cs="宋体"/>
                <w:i w:val="0"/>
                <w:iCs w:val="0"/>
                <w:color w:val="000000"/>
                <w:sz w:val="22"/>
                <w:szCs w:val="22"/>
                <w:u w:val="none"/>
              </w:rPr>
            </w:pPr>
          </w:p>
        </w:tc>
      </w:tr>
      <w:tr w14:paraId="27FD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E69C">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539F">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0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服务费发放人数</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0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ED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参与课后服务的教职工</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08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7C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B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满分20分，以实际发放参与课后服务的教职工数情况评定</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9B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反映课后服务费发放人员情况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82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《呈贡区进一步做好义务教育课后服务实施方案》及学校实际情况</w:t>
            </w:r>
          </w:p>
        </w:tc>
        <w:tc>
          <w:tcPr>
            <w:tcW w:w="192" w:type="pct"/>
            <w:tcBorders>
              <w:top w:val="nil"/>
              <w:left w:val="nil"/>
              <w:bottom w:val="nil"/>
              <w:right w:val="nil"/>
            </w:tcBorders>
            <w:shd w:val="clear" w:color="auto" w:fill="auto"/>
            <w:noWrap/>
            <w:vAlign w:val="center"/>
          </w:tcPr>
          <w:p w14:paraId="102CBA19">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596873D7">
            <w:pPr>
              <w:rPr>
                <w:rFonts w:hint="eastAsia" w:ascii="宋体" w:hAnsi="宋体" w:eastAsia="宋体" w:cs="宋体"/>
                <w:i w:val="0"/>
                <w:iCs w:val="0"/>
                <w:color w:val="000000"/>
                <w:sz w:val="22"/>
                <w:szCs w:val="22"/>
                <w:u w:val="none"/>
              </w:rPr>
            </w:pPr>
          </w:p>
        </w:tc>
      </w:tr>
      <w:tr w14:paraId="0033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C164">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F6F4">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F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发放课时补助金额</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8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A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2187490</w:t>
            </w:r>
            <w:bookmarkStart w:id="0" w:name="_GoBack"/>
            <w:bookmarkEnd w:id="0"/>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52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CC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FB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满分20分，以实际发放课时补助情况评定</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4B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反映发放课时补助情况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9C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《呈贡区进一步做好义务教育课后服务实施方案》及学校实际情况</w:t>
            </w:r>
          </w:p>
        </w:tc>
        <w:tc>
          <w:tcPr>
            <w:tcW w:w="192" w:type="pct"/>
            <w:tcBorders>
              <w:top w:val="nil"/>
              <w:left w:val="nil"/>
              <w:bottom w:val="nil"/>
              <w:right w:val="nil"/>
            </w:tcBorders>
            <w:shd w:val="clear" w:color="auto" w:fill="auto"/>
            <w:noWrap/>
            <w:vAlign w:val="center"/>
          </w:tcPr>
          <w:p w14:paraId="582B11FD">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3E8AF665">
            <w:pPr>
              <w:rPr>
                <w:rFonts w:hint="eastAsia" w:ascii="宋体" w:hAnsi="宋体" w:eastAsia="宋体" w:cs="宋体"/>
                <w:i w:val="0"/>
                <w:iCs w:val="0"/>
                <w:color w:val="000000"/>
                <w:sz w:val="22"/>
                <w:szCs w:val="22"/>
                <w:u w:val="none"/>
              </w:rPr>
            </w:pPr>
          </w:p>
        </w:tc>
      </w:tr>
      <w:tr w14:paraId="4844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F275">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6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2442">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48A2">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6F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A7C">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94E">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97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2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F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1442B112">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3C5EA0BF">
            <w:pPr>
              <w:rPr>
                <w:rFonts w:hint="eastAsia" w:ascii="宋体" w:hAnsi="宋体" w:eastAsia="宋体" w:cs="宋体"/>
                <w:i w:val="0"/>
                <w:iCs w:val="0"/>
                <w:color w:val="000000"/>
                <w:sz w:val="22"/>
                <w:szCs w:val="22"/>
                <w:u w:val="none"/>
              </w:rPr>
            </w:pPr>
          </w:p>
        </w:tc>
      </w:tr>
      <w:tr w14:paraId="2A5A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145F">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DA8C">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D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课后服务水平</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7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5E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有特色、高质量</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2698">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43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F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满分20分，以实际课后服务水平情况评定</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9C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反映课后服务水平情况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CE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《呈贡区进一步做好义务教育课后服务实施方案》及学校实际情况</w:t>
            </w:r>
          </w:p>
        </w:tc>
        <w:tc>
          <w:tcPr>
            <w:tcW w:w="192" w:type="pct"/>
            <w:tcBorders>
              <w:top w:val="nil"/>
              <w:left w:val="nil"/>
              <w:bottom w:val="nil"/>
              <w:right w:val="nil"/>
            </w:tcBorders>
            <w:shd w:val="clear" w:color="auto" w:fill="auto"/>
            <w:noWrap/>
            <w:vAlign w:val="center"/>
          </w:tcPr>
          <w:p w14:paraId="292FE80B">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1FAA630A">
            <w:pPr>
              <w:rPr>
                <w:rFonts w:hint="eastAsia" w:ascii="宋体" w:hAnsi="宋体" w:eastAsia="宋体" w:cs="宋体"/>
                <w:i w:val="0"/>
                <w:iCs w:val="0"/>
                <w:color w:val="000000"/>
                <w:sz w:val="22"/>
                <w:szCs w:val="22"/>
                <w:u w:val="none"/>
              </w:rPr>
            </w:pPr>
          </w:p>
        </w:tc>
      </w:tr>
      <w:tr w14:paraId="1912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B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7509">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2E47">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FCDC">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7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E85D">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FD3D">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CC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2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A6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0B3A6C41">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34C20D88">
            <w:pPr>
              <w:rPr>
                <w:rFonts w:hint="eastAsia" w:ascii="宋体" w:hAnsi="宋体" w:eastAsia="宋体" w:cs="宋体"/>
                <w:i w:val="0"/>
                <w:iCs w:val="0"/>
                <w:color w:val="000000"/>
                <w:sz w:val="22"/>
                <w:szCs w:val="22"/>
                <w:u w:val="none"/>
              </w:rPr>
            </w:pPr>
          </w:p>
        </w:tc>
      </w:tr>
      <w:tr w14:paraId="13A3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6274">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3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A6B6">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C017">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58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B1C">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BF51">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46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7C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75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7444BD9C">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6CF32875">
            <w:pPr>
              <w:rPr>
                <w:rFonts w:hint="eastAsia" w:ascii="宋体" w:hAnsi="宋体" w:eastAsia="宋体" w:cs="宋体"/>
                <w:i w:val="0"/>
                <w:iCs w:val="0"/>
                <w:color w:val="000000"/>
                <w:sz w:val="22"/>
                <w:szCs w:val="22"/>
                <w:u w:val="none"/>
              </w:rPr>
            </w:pPr>
          </w:p>
        </w:tc>
      </w:tr>
      <w:tr w14:paraId="3C0D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C625">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EE9C">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A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学生过重作业负担和校外培训负担、家庭教育支出和家长精神负担减轻情况</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7C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28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明显减轻</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CAFD">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53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8F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满分20分，以实际产生社会效益情况评定</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87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反映项目产生社会效益情况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32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《呈贡区进一步做好义务教育课后服务实施方案》及学校实际情况</w:t>
            </w:r>
          </w:p>
        </w:tc>
        <w:tc>
          <w:tcPr>
            <w:tcW w:w="192" w:type="pct"/>
            <w:tcBorders>
              <w:top w:val="nil"/>
              <w:left w:val="nil"/>
              <w:bottom w:val="nil"/>
              <w:right w:val="nil"/>
            </w:tcBorders>
            <w:shd w:val="clear" w:color="auto" w:fill="auto"/>
            <w:noWrap/>
            <w:vAlign w:val="center"/>
          </w:tcPr>
          <w:p w14:paraId="046A2373">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24B02AC5">
            <w:pPr>
              <w:rPr>
                <w:rFonts w:hint="eastAsia" w:ascii="宋体" w:hAnsi="宋体" w:eastAsia="宋体" w:cs="宋体"/>
                <w:i w:val="0"/>
                <w:iCs w:val="0"/>
                <w:color w:val="000000"/>
                <w:sz w:val="22"/>
                <w:szCs w:val="22"/>
                <w:u w:val="none"/>
              </w:rPr>
            </w:pPr>
          </w:p>
        </w:tc>
      </w:tr>
      <w:tr w14:paraId="6E64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A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7581">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D8FC">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F6F4">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FF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5B2E">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D2A5">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19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9B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3B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38311707">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371B0C7B">
            <w:pPr>
              <w:rPr>
                <w:rFonts w:hint="eastAsia" w:ascii="宋体" w:hAnsi="宋体" w:eastAsia="宋体" w:cs="宋体"/>
                <w:i w:val="0"/>
                <w:iCs w:val="0"/>
                <w:color w:val="000000"/>
                <w:sz w:val="22"/>
                <w:szCs w:val="22"/>
                <w:u w:val="none"/>
              </w:rPr>
            </w:pPr>
          </w:p>
        </w:tc>
      </w:tr>
      <w:tr w14:paraId="45DA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E75B">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6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7ED1">
            <w:pPr>
              <w:jc w:val="left"/>
              <w:rPr>
                <w:rFonts w:hint="eastAsia" w:ascii="宋体" w:hAnsi="宋体" w:eastAsia="宋体" w:cs="宋体"/>
                <w:i w:val="0"/>
                <w:iCs w:val="0"/>
                <w:color w:val="000000"/>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0911">
            <w:pPr>
              <w:jc w:val="left"/>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0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EA53">
            <w:pPr>
              <w:jc w:val="left"/>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853E">
            <w:pPr>
              <w:jc w:val="left"/>
              <w:rPr>
                <w:rFonts w:hint="eastAsia" w:ascii="宋体" w:hAnsi="宋体" w:eastAsia="宋体" w:cs="宋体"/>
                <w:i w:val="0"/>
                <w:iCs w:val="0"/>
                <w:color w:val="000000"/>
                <w:sz w:val="24"/>
                <w:szCs w:val="24"/>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C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1F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4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192" w:type="pct"/>
            <w:tcBorders>
              <w:top w:val="nil"/>
              <w:left w:val="nil"/>
              <w:bottom w:val="nil"/>
              <w:right w:val="nil"/>
            </w:tcBorders>
            <w:shd w:val="clear" w:color="auto" w:fill="auto"/>
            <w:noWrap/>
            <w:vAlign w:val="center"/>
          </w:tcPr>
          <w:p w14:paraId="00DA25AF">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55134617">
            <w:pPr>
              <w:rPr>
                <w:rFonts w:hint="eastAsia" w:ascii="宋体" w:hAnsi="宋体" w:eastAsia="宋体" w:cs="宋体"/>
                <w:i w:val="0"/>
                <w:iCs w:val="0"/>
                <w:color w:val="000000"/>
                <w:sz w:val="22"/>
                <w:szCs w:val="22"/>
                <w:u w:val="none"/>
              </w:rPr>
            </w:pPr>
          </w:p>
        </w:tc>
      </w:tr>
      <w:tr w14:paraId="6953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9B40">
            <w:pPr>
              <w:jc w:val="left"/>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A78C">
            <w:pPr>
              <w:jc w:val="lef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E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学生、家长满意度情况</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5A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F7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30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9F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39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满分20分，以实际学生家长满意情况评定</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A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反映学生家长对课后服务的满意度情况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A3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问卷调查</w:t>
            </w:r>
          </w:p>
        </w:tc>
        <w:tc>
          <w:tcPr>
            <w:tcW w:w="192" w:type="pct"/>
            <w:tcBorders>
              <w:top w:val="nil"/>
              <w:left w:val="nil"/>
              <w:bottom w:val="nil"/>
              <w:right w:val="nil"/>
            </w:tcBorders>
            <w:shd w:val="clear" w:color="auto" w:fill="auto"/>
            <w:noWrap/>
            <w:vAlign w:val="center"/>
          </w:tcPr>
          <w:p w14:paraId="166B9F93">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center"/>
          </w:tcPr>
          <w:p w14:paraId="5136F8C9">
            <w:pPr>
              <w:rPr>
                <w:rFonts w:hint="eastAsia" w:ascii="宋体" w:hAnsi="宋体" w:eastAsia="宋体" w:cs="宋体"/>
                <w:i w:val="0"/>
                <w:iCs w:val="0"/>
                <w:color w:val="000000"/>
                <w:sz w:val="22"/>
                <w:szCs w:val="22"/>
                <w:u w:val="none"/>
              </w:rPr>
            </w:pPr>
          </w:p>
        </w:tc>
      </w:tr>
    </w:tbl>
    <w:p w14:paraId="2C0CFC5C">
      <w:pPr>
        <w:widowControl/>
        <w:ind w:left="600"/>
        <w:jc w:val="left"/>
        <w:rPr>
          <w:rFonts w:hint="eastAsia" w:ascii="黑体" w:hAnsi="黑体" w:eastAsia="黑体" w:cs="黑体"/>
          <w:b/>
          <w:bCs/>
          <w:kern w:val="0"/>
          <w:sz w:val="30"/>
          <w:szCs w:val="30"/>
        </w:rPr>
      </w:pPr>
    </w:p>
    <w:p w14:paraId="593E51BB"/>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3C69">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5FDE">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4C2315"/>
    <w:rsid w:val="13044767"/>
    <w:rsid w:val="14700ED7"/>
    <w:rsid w:val="14726AB2"/>
    <w:rsid w:val="1511259E"/>
    <w:rsid w:val="154F3C02"/>
    <w:rsid w:val="15596007"/>
    <w:rsid w:val="15A162AD"/>
    <w:rsid w:val="15AD273E"/>
    <w:rsid w:val="15E46AF6"/>
    <w:rsid w:val="16456360"/>
    <w:rsid w:val="166C5708"/>
    <w:rsid w:val="16C27E0B"/>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8924AE"/>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5FB1BD8"/>
    <w:rsid w:val="4631322C"/>
    <w:rsid w:val="46A64BB9"/>
    <w:rsid w:val="46DB7D60"/>
    <w:rsid w:val="47E50FAA"/>
    <w:rsid w:val="47F10AB2"/>
    <w:rsid w:val="487E1935"/>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D8D2DD5"/>
    <w:rsid w:val="5E270874"/>
    <w:rsid w:val="5E3072A3"/>
    <w:rsid w:val="5E9F5948"/>
    <w:rsid w:val="5F516B1A"/>
    <w:rsid w:val="5F6363CB"/>
    <w:rsid w:val="5F935FB9"/>
    <w:rsid w:val="5FA81F42"/>
    <w:rsid w:val="603B0A07"/>
    <w:rsid w:val="60D24905"/>
    <w:rsid w:val="610A61BD"/>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53590D"/>
    <w:rsid w:val="7C7478E9"/>
    <w:rsid w:val="7C936D3F"/>
    <w:rsid w:val="7CC12050"/>
    <w:rsid w:val="7D3955B8"/>
    <w:rsid w:val="7D62525D"/>
    <w:rsid w:val="7D732F7D"/>
    <w:rsid w:val="7DF334F2"/>
    <w:rsid w:val="7E4665CC"/>
    <w:rsid w:val="7E916D79"/>
    <w:rsid w:val="7EB82329"/>
    <w:rsid w:val="7EBD7F23"/>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font21"/>
    <w:basedOn w:val="4"/>
    <w:uiPriority w:val="0"/>
    <w:rPr>
      <w:rFonts w:hint="eastAsia" w:ascii="宋体" w:hAnsi="宋体" w:eastAsia="宋体" w:cs="宋体"/>
      <w:color w:val="000000"/>
      <w:sz w:val="24"/>
      <w:szCs w:val="24"/>
      <w:u w:val="none"/>
    </w:rPr>
  </w:style>
  <w:style w:type="character" w:customStyle="1" w:styleId="6">
    <w:name w:val="font51"/>
    <w:basedOn w:val="4"/>
    <w:uiPriority w:val="0"/>
    <w:rPr>
      <w:rFonts w:hint="eastAsia" w:ascii="方正小标宋简体" w:hAnsi="方正小标宋简体" w:eastAsia="方正小标宋简体" w:cs="方正小标宋简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Administrator</cp:lastModifiedBy>
  <dcterms:modified xsi:type="dcterms:W3CDTF">2025-03-19T01:18:08Z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eyJoZGlkIjoiY2E2YTZlNjZlYzI3YjJkNjVmOTczMjUwNTE5NTY5ZmMifQ==</vt:lpwstr>
  </property>
  <property fmtid="{D5CDD505-2E9C-101B-9397-08002B2CF9AE}" pid="4" name="ICV">
    <vt:lpwstr>3F155AA68FFD41138BAF95AB1F79D8C8_12</vt:lpwstr>
  </property>
</Properties>
</file>