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6B15">
      <w:pPr>
        <w:widowControl w:val="0"/>
        <w:spacing w:line="560" w:lineRule="exact"/>
        <w:jc w:val="both"/>
        <w:rPr>
          <w:rFonts w:hint="eastAsia" w:ascii="方正小标宋_GBK" w:hAnsi="方正仿宋_GBK" w:eastAsia="方正小标宋_GBK" w:cs="方正仿宋_GBK"/>
          <w:sz w:val="32"/>
          <w:szCs w:val="32"/>
        </w:rPr>
      </w:pPr>
      <w:r>
        <w:rPr>
          <w:rFonts w:hint="eastAsia" w:ascii="方正小标宋_GBK" w:hAnsi="方正仿宋_GBK" w:eastAsia="方正小标宋_GBK" w:cs="方正仿宋_GBK"/>
          <w:sz w:val="32"/>
          <w:szCs w:val="32"/>
        </w:rPr>
        <w:t>附件3：</w:t>
      </w:r>
    </w:p>
    <w:p w14:paraId="4C87DF37">
      <w:pPr>
        <w:pStyle w:val="6"/>
        <w:spacing w:line="560" w:lineRule="exact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仿宋_GBK" w:eastAsia="方正小标宋_GBK" w:cs="方正仿宋_GBK"/>
          <w:sz w:val="44"/>
          <w:szCs w:val="44"/>
        </w:rPr>
        <w:t>评审程序及办法</w:t>
      </w:r>
    </w:p>
    <w:p w14:paraId="138B31FA">
      <w:pPr>
        <w:widowControl w:val="0"/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E08F3FF">
      <w:pPr>
        <w:pStyle w:val="11"/>
        <w:spacing w:after="0" w:line="560" w:lineRule="exact"/>
        <w:ind w:firstLine="640" w:firstLineChars="200"/>
        <w:jc w:val="both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一、总则</w:t>
      </w:r>
    </w:p>
    <w:p w14:paraId="188575F9">
      <w:pPr>
        <w:pStyle w:val="11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根据《中华人民共和国政府采购法》《中华人民共和国政府采购法实施条例》《政府采购货物和服务招标投标管理办法》（财政部令第87号）等有关法律、法规和规章的规定，制定本办法。</w:t>
      </w:r>
    </w:p>
    <w:p w14:paraId="530BA05B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bookmarkStart w:id="0" w:name="_Toc24134"/>
      <w:bookmarkStart w:id="1" w:name="_Toc19995"/>
      <w:bookmarkStart w:id="2" w:name="_Toc5787"/>
      <w:bookmarkStart w:id="3" w:name="_Toc7905"/>
      <w:r>
        <w:rPr>
          <w:rFonts w:ascii="黑体" w:hAnsi="黑体" w:eastAsia="黑体"/>
          <w:sz w:val="32"/>
          <w:szCs w:val="32"/>
        </w:rPr>
        <w:t>二、评审原则</w:t>
      </w:r>
      <w:bookmarkEnd w:id="0"/>
      <w:bookmarkEnd w:id="1"/>
      <w:bookmarkEnd w:id="2"/>
      <w:bookmarkEnd w:id="3"/>
    </w:p>
    <w:p w14:paraId="0013A72B">
      <w:pPr>
        <w:pStyle w:val="13"/>
        <w:widowControl w:val="0"/>
        <w:tabs>
          <w:tab w:val="left" w:pos="567"/>
        </w:tabs>
        <w:spacing w:before="0" w:line="560" w:lineRule="exact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坚持公平、公正、科学、择优的原则，本着实事求是的精神，不带有任何主观意愿和偏见，认真负责地做好评审工作，公平、公正地对待每一个供应商，全面分析，综合评审。</w:t>
      </w:r>
    </w:p>
    <w:p w14:paraId="0D00C383">
      <w:pPr>
        <w:pStyle w:val="13"/>
        <w:widowControl w:val="0"/>
        <w:tabs>
          <w:tab w:val="left" w:pos="426"/>
        </w:tabs>
        <w:spacing w:before="0" w:line="560" w:lineRule="exact"/>
        <w:ind w:left="0"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评审只对供应商的响应文件进行评审，响应文件以外的资料、信息不应作为评审的依据。</w:t>
      </w:r>
    </w:p>
    <w:p w14:paraId="7159367B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bookmarkStart w:id="4" w:name="_Toc29093"/>
      <w:bookmarkStart w:id="5" w:name="_Toc8665"/>
      <w:bookmarkStart w:id="6" w:name="_Toc11916"/>
      <w:bookmarkStart w:id="7" w:name="_Toc1443"/>
      <w:r>
        <w:rPr>
          <w:rFonts w:ascii="黑体" w:hAnsi="黑体" w:eastAsia="黑体"/>
          <w:sz w:val="32"/>
          <w:szCs w:val="32"/>
        </w:rPr>
        <w:t>三、综合评分</w:t>
      </w:r>
      <w:bookmarkEnd w:id="4"/>
      <w:bookmarkEnd w:id="5"/>
      <w:bookmarkEnd w:id="6"/>
      <w:bookmarkEnd w:id="7"/>
    </w:p>
    <w:p w14:paraId="068BF588">
      <w:pPr>
        <w:pStyle w:val="3"/>
        <w:widowControl w:val="0"/>
        <w:spacing w:after="0"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对资格审查评审合格的响应文件按以下方法进行综合评分。</w:t>
      </w:r>
    </w:p>
    <w:p w14:paraId="42571296">
      <w:pPr>
        <w:pStyle w:val="11"/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1"/>
          <w:sz w:val="32"/>
          <w:szCs w:val="32"/>
        </w:rPr>
        <w:t>评审小组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按以下公式计算出各供应商的总得分，推荐中标候选人按评审总得分由高到低顺序排列；评审总得分相同的，按响应报价由低到高顺序排列；评审总得分且响应报价相同的，按技术部分得分高低排列，依次类推。</w:t>
      </w:r>
    </w:p>
    <w:p w14:paraId="2170D677">
      <w:pPr>
        <w:widowControl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四、资格审查</w:t>
      </w:r>
    </w:p>
    <w:p w14:paraId="00E0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1.呈贡区城市更新改</w:t>
      </w:r>
      <w:r>
        <w:rPr>
          <w:rFonts w:ascii="Times New Roman" w:hAnsi="Times New Roman" w:eastAsia="仿宋_GB2312" w:cs="Times New Roman"/>
          <w:sz w:val="32"/>
          <w:szCs w:val="32"/>
        </w:rPr>
        <w:t>造局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昆明市呈贡区城中村改造工作指导意见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&gt;社会风险评估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政府购买服务计划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eastAsia="仿宋_GB2312"/>
          <w:sz w:val="32"/>
          <w:szCs w:val="32"/>
        </w:rPr>
        <w:t>文件截止日期，</w:t>
      </w:r>
      <w:r>
        <w:rPr>
          <w:rFonts w:eastAsia="仿宋_GB2312"/>
          <w:kern w:val="1"/>
          <w:sz w:val="32"/>
          <w:szCs w:val="32"/>
        </w:rPr>
        <w:t>评审小组</w:t>
      </w:r>
      <w:r>
        <w:rPr>
          <w:rFonts w:eastAsia="仿宋_GB2312"/>
          <w:sz w:val="32"/>
          <w:szCs w:val="32"/>
        </w:rPr>
        <w:t>对供应商的资格进行审查。</w:t>
      </w:r>
    </w:p>
    <w:p w14:paraId="3B217018">
      <w:pPr>
        <w:widowControl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2.资格审查标准：依据法律法规和购买服务计划的规定，对响应文件中的资格条件以及证明文件等进行审查，以确定供应商是否具备响应资格；见“附件：2.资格审查表”。</w:t>
      </w:r>
    </w:p>
    <w:p w14:paraId="0CD615F9">
      <w:pPr>
        <w:widowControl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3.资格审查程序</w:t>
      </w:r>
    </w:p>
    <w:p w14:paraId="0C15BAD1">
      <w:pPr>
        <w:widowControl w:val="0"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评审小组</w:t>
      </w:r>
      <w:r>
        <w:rPr>
          <w:rFonts w:eastAsia="仿宋_GB2312"/>
          <w:sz w:val="32"/>
          <w:szCs w:val="32"/>
        </w:rPr>
        <w:t>依据本章资格评审标准规定的标准对响应文件进行资格审查。有一项不符合审查标准的，响应无效。</w:t>
      </w:r>
    </w:p>
    <w:p w14:paraId="38AC90BC">
      <w:pPr>
        <w:widowControl w:val="0"/>
        <w:spacing w:line="560" w:lineRule="exact"/>
        <w:ind w:firstLine="643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注：合格供应商不足3家的，不再进入评审程序，作流标处理。</w:t>
      </w:r>
    </w:p>
    <w:p w14:paraId="57B44FB0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方正楷体_GBK"/>
          <w:sz w:val="32"/>
          <w:szCs w:val="32"/>
        </w:rPr>
      </w:pPr>
      <w:r>
        <w:rPr>
          <w:rFonts w:hint="eastAsia" w:ascii="黑体" w:hAnsi="黑体" w:eastAsia="黑体" w:cs="方正楷体_GBK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方正楷体_GBK"/>
          <w:sz w:val="32"/>
          <w:szCs w:val="32"/>
        </w:rPr>
        <w:t>评分办法（综合评分法）</w:t>
      </w:r>
      <w:r>
        <w:rPr>
          <w:rFonts w:hint="eastAsia" w:ascii="黑体" w:hAnsi="黑体" w:eastAsia="黑体" w:cs="方正楷体_GBK"/>
          <w:sz w:val="32"/>
          <w:szCs w:val="32"/>
          <w:lang w:val="en-US" w:eastAsia="zh-CN"/>
        </w:rPr>
        <w:t>:</w:t>
      </w:r>
    </w:p>
    <w:p w14:paraId="4F394799">
      <w:pPr>
        <w:widowControl w:val="0"/>
        <w:spacing w:line="56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审小组对所有申请文件进行资格评审、响应性评审，对通过资格审查及响应性评审的申请文件的技术、商务部分分别打分后，最后由评审小组按综合得分由高到低的顺序推荐1-3名中标候选人。满分100分（其中技术部分满分80分，商务部分满分20分）。</w:t>
      </w:r>
    </w:p>
    <w:p w14:paraId="70BDB0B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092" w:firstLineChars="1100"/>
        <w:textAlignment w:val="auto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val="en-US" w:eastAsia="zh-CN"/>
        </w:rPr>
        <w:t xml:space="preserve">1  </w:t>
      </w:r>
      <w:r>
        <w:rPr>
          <w:rFonts w:hint="eastAsia"/>
          <w:lang w:eastAsia="zh-CN"/>
        </w:rPr>
        <w:t>评分标准</w:t>
      </w:r>
    </w:p>
    <w:tbl>
      <w:tblPr>
        <w:tblStyle w:val="9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79"/>
        <w:gridCol w:w="5534"/>
      </w:tblGrid>
      <w:tr w14:paraId="1C1F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1434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商务部分</w:t>
            </w:r>
          </w:p>
          <w:p w14:paraId="47100701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评分标准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9533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投标报价评分（满分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7A77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方正仿宋_GB2312" w:eastAsia="仿宋_GB2312" w:cs="方正仿宋_GB2312"/>
                <w:color w:val="000000"/>
              </w:rPr>
              <w:t>将报价由低到高排序后依位次评分，报价最低的得20分，其余按报价由低到高排列，依次得18、16、14分。</w:t>
            </w:r>
          </w:p>
        </w:tc>
      </w:tr>
      <w:tr w14:paraId="589D7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FF85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技术部分评分标准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68FD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工作方案（满分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分）</w:t>
            </w:r>
          </w:p>
          <w:p w14:paraId="0C4BB126">
            <w:pPr>
              <w:spacing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89A5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（1）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社会稳定风险评估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工作方案全面、具体、科学、合理，工作程序清晰，且针对性较好的得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6FB4D42F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（2）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社会稳定风险评估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工作方案基本全面、合理，工作程序清晰，但针对性一般的得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63C61780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（3）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社会稳定风险评估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工作方案合理性不足，工作程序不清晰且缺乏针对性的得1-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72F0B1EC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（4）未做任何说明的不得分。</w:t>
            </w:r>
          </w:p>
        </w:tc>
      </w:tr>
      <w:tr w14:paraId="3E95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0605"/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5783">
            <w:pPr>
              <w:spacing w:after="200" w:line="360" w:lineRule="auto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工作周期及保证措施（满分1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7A2A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（1）工作周期承诺满足招标文件要求，保证措施科学、合理，且针对性较好的得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357D4D58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（2）工作周期承诺满足招标文件要求，保证措施基本合理，针对性一般的得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0AA144E0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（3）工作周期承诺满足招标文件要求，但保证措施合理性不足，缺乏针对性的得1-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分；</w:t>
            </w:r>
          </w:p>
          <w:p w14:paraId="2EA042FB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（4）未做任何说明的不得分。</w:t>
            </w:r>
          </w:p>
        </w:tc>
      </w:tr>
      <w:tr w14:paraId="67CB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123D"/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600A">
            <w:pPr>
              <w:spacing w:line="40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成果质量目标保证措施（满分10分）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814D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（1）质量承诺满足招标文件要求，保证措施科学、合理，且针对性较好的得7-10分；</w:t>
            </w:r>
          </w:p>
          <w:p w14:paraId="6B1F126A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（2）质量承诺满足招标文件要求，保证措施基本合理，针对性一般的得3-6分；</w:t>
            </w:r>
          </w:p>
          <w:p w14:paraId="05C66B71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（3）质量承诺满足招标文件要求，但保证措施合理性不足，缺乏针对性的得1-2分；</w:t>
            </w:r>
          </w:p>
          <w:p w14:paraId="014DFEEC">
            <w:pPr>
              <w:spacing w:line="360" w:lineRule="auto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（4）未做任何说明的不得分。</w:t>
            </w:r>
          </w:p>
        </w:tc>
      </w:tr>
      <w:tr w14:paraId="1F16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F5AF"/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1EFD">
            <w:pPr>
              <w:spacing w:line="40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服务承诺及后续服务工作安排（满分10分）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8D6A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（1）服务承诺及后续服务工作安排切实可行，承诺内容具体，且针对性较好的得7-10分；</w:t>
            </w:r>
          </w:p>
          <w:p w14:paraId="1ECC8CF3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（2）服务承诺及后续服务工作安排基本可行，但针对性一般的得3-6分；</w:t>
            </w:r>
          </w:p>
          <w:p w14:paraId="2C45EE81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（3）服务承诺及后续服务工作安排可行性不足，且缺乏针对性的得1-2分；</w:t>
            </w:r>
          </w:p>
          <w:p w14:paraId="6AC23F0F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（4）未做任何说明的不得分。</w:t>
            </w:r>
          </w:p>
        </w:tc>
      </w:tr>
      <w:tr w14:paraId="50D1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7FC81"/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91B5">
            <w:pPr>
              <w:spacing w:line="400" w:lineRule="exact"/>
              <w:jc w:val="center"/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  <w:t>业绩评审（满分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  <w:t>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67A4C">
            <w:pPr>
              <w:spacing w:line="400" w:lineRule="exact"/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</w:pPr>
            <w:r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  <w:t>投标</w:t>
            </w:r>
            <w:r>
              <w:rPr>
                <w:rFonts w:hint="eastAsia" w:ascii="宋体" w:cs="宋体"/>
                <w:color w:val="000000" w:themeColor="text1"/>
                <w:szCs w:val="24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人（20</w:t>
            </w:r>
            <w:r>
              <w:rPr>
                <w:rFonts w:hint="eastAsia" w:ascii="宋体" w:cs="宋体"/>
                <w:color w:val="000000" w:themeColor="text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  <w:bookmarkStart w:id="8" w:name="_GoBack"/>
            <w:bookmarkEnd w:id="8"/>
            <w:r>
              <w:rPr>
                <w:rFonts w:hint="eastAsia" w:ascii="宋体" w:cs="宋体"/>
                <w:color w:val="000000" w:themeColor="text1"/>
                <w:szCs w:val="24"/>
                <w:highlight w:val="none"/>
                <w:lang w:bidi="ar-SA"/>
                <w14:textFill>
                  <w14:solidFill>
                    <w14:schemeClr w14:val="tx1"/>
                  </w14:solidFill>
                </w14:textFill>
              </w:rPr>
              <w:t>年至今）每承接过1个</w:t>
            </w:r>
            <w:r>
              <w:rPr>
                <w:rFonts w:hint="eastAsia" w:ascii="宋体" w:cs="宋体"/>
                <w:color w:val="000000" w:themeColor="text1"/>
                <w:szCs w:val="24"/>
                <w:highlight w:val="no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城中村改造项目或村庄搬迁项目社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eastAsia="zh-CN" w:bidi="ar-SA"/>
              </w:rPr>
              <w:t>会稳定风险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val="en-US" w:eastAsia="zh-CN" w:bidi="ar-SA"/>
              </w:rPr>
              <w:t>评估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  <w:t>服务的业绩的得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val="en-US" w:eastAsia="zh-CN" w:bidi="ar-SA"/>
              </w:rPr>
              <w:t>2.5</w:t>
            </w:r>
            <w:r>
              <w:rPr>
                <w:rFonts w:hint="eastAsia" w:ascii="宋体" w:cs="宋体"/>
                <w:color w:val="auto"/>
                <w:szCs w:val="24"/>
                <w:highlight w:val="none"/>
                <w:lang w:bidi="ar-SA"/>
              </w:rPr>
              <w:t>分，分数加满为止（业绩证明材料以中标通知书或合同协议书或业主证明为准）。</w:t>
            </w:r>
          </w:p>
        </w:tc>
      </w:tr>
      <w:tr w14:paraId="4609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6D33"/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E893">
            <w:pPr>
              <w:spacing w:line="40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人员配备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部分评审（满分10分）</w:t>
            </w:r>
          </w:p>
        </w:tc>
        <w:tc>
          <w:tcPr>
            <w:tcW w:w="5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4FBD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（1）项目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配备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人员完全满足服务工作需求，人员结构搭配合理，且针对性较好的得7-10分；</w:t>
            </w:r>
          </w:p>
          <w:p w14:paraId="29132002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（2）项目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配备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人员满足服务工作需求，人员结构搭配基本合理，针对性一般的得3-6分；</w:t>
            </w:r>
          </w:p>
          <w:p w14:paraId="7D499DA4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（3）项目</w:t>
            </w:r>
            <w:r>
              <w:rPr>
                <w:rFonts w:hint="eastAsia" w:ascii="宋体"/>
                <w:color w:val="auto"/>
                <w:szCs w:val="21"/>
                <w:highlight w:val="none"/>
                <w:lang w:eastAsia="zh-CN"/>
              </w:rPr>
              <w:t>配备</w:t>
            </w:r>
            <w:r>
              <w:rPr>
                <w:rFonts w:hint="eastAsia" w:ascii="宋体"/>
                <w:color w:val="auto"/>
                <w:szCs w:val="21"/>
                <w:highlight w:val="none"/>
              </w:rPr>
              <w:t>人员满足服务工作需求，人员结构搭配合理性不足，缺乏针对性的得1-2分；</w:t>
            </w:r>
          </w:p>
          <w:p w14:paraId="129400D8">
            <w:pPr>
              <w:spacing w:line="40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（4）未做任何说明的不得分。</w:t>
            </w:r>
          </w:p>
        </w:tc>
      </w:tr>
    </w:tbl>
    <w:p w14:paraId="522528D5">
      <w:pPr>
        <w:pStyle w:val="2"/>
        <w:rPr>
          <w:rFonts w:hint="eastAsia"/>
        </w:rPr>
      </w:pPr>
    </w:p>
    <w:p w14:paraId="0822A058">
      <w:pPr>
        <w:pStyle w:val="2"/>
        <w:keepNext/>
        <w:keepLines/>
        <w:widowControl/>
        <w:numPr>
          <w:ilvl w:val="0"/>
          <w:numId w:val="0"/>
        </w:numPr>
        <w:spacing w:before="280" w:after="290" w:line="372" w:lineRule="auto"/>
        <w:jc w:val="left"/>
        <w:outlineLvl w:val="3"/>
        <w:rPr>
          <w:rFonts w:hint="eastAsia"/>
        </w:rPr>
      </w:pPr>
    </w:p>
    <w:p w14:paraId="2FE5079C">
      <w:pPr>
        <w:rPr>
          <w:rFonts w:hint="eastAsia"/>
        </w:rPr>
      </w:pPr>
    </w:p>
    <w:p w14:paraId="3840E2A2">
      <w:pPr>
        <w:pStyle w:val="2"/>
        <w:rPr>
          <w:rFonts w:hint="eastAsia"/>
        </w:rPr>
      </w:pPr>
    </w:p>
    <w:p w14:paraId="6219ABE9">
      <w:pPr>
        <w:rPr>
          <w:rFonts w:hint="eastAsia"/>
        </w:rPr>
      </w:pPr>
    </w:p>
    <w:p w14:paraId="17FFB5C8">
      <w:pPr>
        <w:pStyle w:val="2"/>
        <w:rPr>
          <w:rFonts w:hint="eastAsia"/>
        </w:rPr>
      </w:pPr>
    </w:p>
    <w:p w14:paraId="0CA58646">
      <w:pPr>
        <w:rPr>
          <w:rFonts w:hint="eastAsia"/>
        </w:rPr>
      </w:pPr>
    </w:p>
    <w:p w14:paraId="66BF4758">
      <w:pPr>
        <w:pStyle w:val="2"/>
        <w:rPr>
          <w:rFonts w:hint="eastAsia"/>
        </w:rPr>
      </w:pPr>
    </w:p>
    <w:p w14:paraId="1A3501B5">
      <w:pPr>
        <w:rPr>
          <w:rFonts w:hint="eastAsia"/>
        </w:rPr>
      </w:pPr>
    </w:p>
    <w:p w14:paraId="7C648081">
      <w:pPr>
        <w:pStyle w:val="2"/>
        <w:rPr>
          <w:rFonts w:hint="eastAsia"/>
        </w:rPr>
      </w:pPr>
    </w:p>
    <w:p w14:paraId="7F5801C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C6CE0F-AB7B-429B-9852-0F14738F97B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42B87FE-A816-44D7-8825-244F13A12D2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kzidenz Grotesk BQ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3877D1-3CD4-4E30-8706-22D20FF34C65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E7B8CF8B-EAD0-46B7-BCA8-0A99F9C48A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85F3D02-0428-4BCB-9020-365C22614D03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4B2A82EF-0E7E-4946-8A11-C8A7050C0BE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E02A6C5B-26F6-4706-80EE-A4D4ECB99B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mNGRiNTYyYmFlNWZkOWRjNThhOTI1ODdkMGFiNjUifQ=="/>
  </w:docVars>
  <w:rsids>
    <w:rsidRoot w:val="783D3A40"/>
    <w:rsid w:val="00103AFC"/>
    <w:rsid w:val="00171D3D"/>
    <w:rsid w:val="002117E9"/>
    <w:rsid w:val="00AF5B61"/>
    <w:rsid w:val="00DC3DCB"/>
    <w:rsid w:val="00ED7032"/>
    <w:rsid w:val="03E63124"/>
    <w:rsid w:val="0438668F"/>
    <w:rsid w:val="082430D5"/>
    <w:rsid w:val="09412D13"/>
    <w:rsid w:val="096E1F95"/>
    <w:rsid w:val="0AF53DB5"/>
    <w:rsid w:val="0BC35C62"/>
    <w:rsid w:val="10EE0352"/>
    <w:rsid w:val="11F62C07"/>
    <w:rsid w:val="16190F5C"/>
    <w:rsid w:val="17C355BE"/>
    <w:rsid w:val="19F75ECA"/>
    <w:rsid w:val="1C3D55BC"/>
    <w:rsid w:val="1D274406"/>
    <w:rsid w:val="1D994A74"/>
    <w:rsid w:val="1DFE6FCD"/>
    <w:rsid w:val="1EAE5450"/>
    <w:rsid w:val="1FEF5FE7"/>
    <w:rsid w:val="20FA7743"/>
    <w:rsid w:val="25B83F05"/>
    <w:rsid w:val="270D202F"/>
    <w:rsid w:val="27D33279"/>
    <w:rsid w:val="28B05368"/>
    <w:rsid w:val="28E079FB"/>
    <w:rsid w:val="2C300C99"/>
    <w:rsid w:val="2CC3566A"/>
    <w:rsid w:val="2F5B427F"/>
    <w:rsid w:val="340375ED"/>
    <w:rsid w:val="35A46254"/>
    <w:rsid w:val="37BF7375"/>
    <w:rsid w:val="37DF3574"/>
    <w:rsid w:val="382D42DF"/>
    <w:rsid w:val="39783C80"/>
    <w:rsid w:val="39D8471E"/>
    <w:rsid w:val="3B271D99"/>
    <w:rsid w:val="3BAE5737"/>
    <w:rsid w:val="3D2070B3"/>
    <w:rsid w:val="3F79343E"/>
    <w:rsid w:val="3FD31C10"/>
    <w:rsid w:val="44B030D9"/>
    <w:rsid w:val="45045C83"/>
    <w:rsid w:val="4588524B"/>
    <w:rsid w:val="46060BE6"/>
    <w:rsid w:val="465B1E84"/>
    <w:rsid w:val="47DE55F6"/>
    <w:rsid w:val="47F9708A"/>
    <w:rsid w:val="4AA524BB"/>
    <w:rsid w:val="4B6448B1"/>
    <w:rsid w:val="4B9F6E4A"/>
    <w:rsid w:val="4BD54FA5"/>
    <w:rsid w:val="4BD86F06"/>
    <w:rsid w:val="4FBFACE0"/>
    <w:rsid w:val="5150261A"/>
    <w:rsid w:val="51B35CB8"/>
    <w:rsid w:val="52041C90"/>
    <w:rsid w:val="53A16531"/>
    <w:rsid w:val="54DC4A81"/>
    <w:rsid w:val="57A777B2"/>
    <w:rsid w:val="57F70FA3"/>
    <w:rsid w:val="581A61D6"/>
    <w:rsid w:val="5B414466"/>
    <w:rsid w:val="5B42241F"/>
    <w:rsid w:val="5D77A56A"/>
    <w:rsid w:val="5E88105C"/>
    <w:rsid w:val="5EFE1E97"/>
    <w:rsid w:val="5EFF33D5"/>
    <w:rsid w:val="5F244123"/>
    <w:rsid w:val="643E4FFA"/>
    <w:rsid w:val="64A22A14"/>
    <w:rsid w:val="67002A3B"/>
    <w:rsid w:val="682639C9"/>
    <w:rsid w:val="6AEA1A38"/>
    <w:rsid w:val="6C6F2A7F"/>
    <w:rsid w:val="70AB487B"/>
    <w:rsid w:val="713A123F"/>
    <w:rsid w:val="74F86D80"/>
    <w:rsid w:val="77FFFB48"/>
    <w:rsid w:val="783D3A40"/>
    <w:rsid w:val="797B0C6B"/>
    <w:rsid w:val="7A8713A7"/>
    <w:rsid w:val="7AFF2CE3"/>
    <w:rsid w:val="7DF34C50"/>
    <w:rsid w:val="7EFF1873"/>
    <w:rsid w:val="B5BEA23F"/>
    <w:rsid w:val="BE5B594D"/>
    <w:rsid w:val="F9F37D6F"/>
    <w:rsid w:val="FBF1E2C4"/>
    <w:rsid w:val="FCF6FBE1"/>
    <w:rsid w:val="FD6FE1E4"/>
    <w:rsid w:val="FFB85FF4"/>
    <w:rsid w:val="FFF5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280" w:after="290" w:line="372" w:lineRule="auto"/>
      <w:jc w:val="left"/>
      <w:outlineLvl w:val="3"/>
    </w:pPr>
    <w:rPr>
      <w:rFonts w:ascii="Arial" w:hAnsi="Arial" w:eastAsia="黑体" w:cs="Times New Roman"/>
      <w:b/>
      <w:bCs/>
      <w:kern w:val="0"/>
      <w:sz w:val="28"/>
      <w:szCs w:val="28"/>
      <w:lang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paragraph" w:styleId="5">
    <w:name w:val="Body Text Indent"/>
    <w:basedOn w:val="1"/>
    <w:unhideWhenUsed/>
    <w:qFormat/>
    <w:uiPriority w:val="99"/>
    <w:pPr>
      <w:spacing w:line="460" w:lineRule="exact"/>
      <w:ind w:firstLine="510"/>
    </w:pPr>
    <w:rPr>
      <w:rFonts w:ascii="Calibri" w:hAnsi="Calibri"/>
      <w:sz w:val="20"/>
    </w:rPr>
  </w:style>
  <w:style w:type="paragraph" w:styleId="6">
    <w:name w:val="Plain Text"/>
    <w:basedOn w:val="1"/>
    <w:next w:val="1"/>
    <w:unhideWhenUsed/>
    <w:qFormat/>
    <w:uiPriority w:val="0"/>
    <w:pPr>
      <w:widowControl w:val="0"/>
      <w:jc w:val="both"/>
    </w:pPr>
    <w:rPr>
      <w:rFonts w:ascii="宋体"/>
      <w:kern w:val="2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kzidenz Grotesk BQ" w:hAnsi="Akzidenz Grotesk BQ" w:eastAsia="宋体" w:cs="Akzidenz Grotesk BQ"/>
      <w:color w:val="000000"/>
      <w:sz w:val="24"/>
      <w:szCs w:val="24"/>
      <w:lang w:val="en-US" w:eastAsia="zh-CN" w:bidi="ar-SA"/>
    </w:r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</w:style>
  <w:style w:type="paragraph" w:customStyle="1" w:styleId="13">
    <w:name w:val="列出段落1"/>
    <w:basedOn w:val="1"/>
    <w:qFormat/>
    <w:uiPriority w:val="0"/>
    <w:pPr>
      <w:spacing w:before="117"/>
      <w:ind w:left="143" w:firstLine="420"/>
    </w:pPr>
  </w:style>
  <w:style w:type="character" w:customStyle="1" w:styleId="14">
    <w:name w:val="页眉 字符"/>
    <w:basedOn w:val="10"/>
    <w:link w:val="8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1604</Words>
  <Characters>1672</Characters>
  <Lines>11</Lines>
  <Paragraphs>3</Paragraphs>
  <TotalTime>3</TotalTime>
  <ScaleCrop>false</ScaleCrop>
  <LinksUpToDate>false</LinksUpToDate>
  <CharactersWithSpaces>1677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2023-07-20T00:42:00Z</dcterms:created>
  <dc:creator>江家杰</dc:creator>
  <cp:lastModifiedBy>She said...</cp:lastModifiedBy>
  <cp:lastPrinted>2024-12-24T01:56:00Z</cp:lastPrinted>
  <dcterms:modified xsi:type="dcterms:W3CDTF">2024-12-25T08:12:32Z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0BB933137CCF1E5DA152E1666DDD0FF2_43</vt:lpwstr>
  </property>
  <property fmtid="{D5CDD505-2E9C-101B-9397-08002B2CF9AE}" pid="4" name="KSOTemplateDocerSaveRecord">
    <vt:lpwstr>eyJoZGlkIjoiMDQwODc2N2EzYjY4Njc2M2U2NTE4M2JjOTZjNjg4YjEiLCJ1c2VySWQiOiI1NTUxMzcwMTgifQ==</vt:lpwstr>
  </property>
</Properties>
</file>