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DEA6">
      <w:pPr>
        <w:pStyle w:val="2"/>
        <w:bidi w:val="0"/>
        <w:rPr>
          <w:rFonts w:hint="default" w:ascii="Times New Roman" w:hAnsi="Times New Roman" w:eastAsia="黑体" w:cs="Times New Roman"/>
          <w:szCs w:val="32"/>
        </w:rPr>
      </w:pPr>
      <w:r>
        <w:rPr>
          <w:rFonts w:hint="default" w:ascii="Times New Roman" w:hAnsi="Times New Roman" w:cs="Times New Roman"/>
        </w:rPr>
        <w:t>附件</w:t>
      </w:r>
      <w:r>
        <w:rPr>
          <w:rFonts w:hint="default" w:ascii="Times New Roman" w:hAnsi="Times New Roman" w:cs="Times New Roman"/>
          <w:lang w:val="en-US" w:eastAsia="zh-CN"/>
        </w:rPr>
        <w:t>4-2</w:t>
      </w:r>
      <w:r>
        <w:rPr>
          <w:rFonts w:hint="default" w:ascii="Times New Roman" w:hAnsi="Times New Roman" w:cs="Times New Roman"/>
        </w:rPr>
        <w:t>:</w:t>
      </w:r>
    </w:p>
    <w:p w14:paraId="1F15532B">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昆明高新技术产业开发区第四小学2023年</w:t>
      </w:r>
    </w:p>
    <w:p w14:paraId="5C4C510F">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项目支出绩效报告</w:t>
      </w:r>
      <w:r>
        <w:rPr>
          <w:rFonts w:hint="default" w:ascii="Times New Roman" w:hAnsi="Times New Roman" w:eastAsia="方正小标宋_GBK" w:cs="Times New Roman"/>
          <w:sz w:val="44"/>
          <w:szCs w:val="44"/>
          <w:lang w:eastAsia="zh-CN"/>
        </w:rPr>
        <w:t>（自评）</w:t>
      </w:r>
    </w:p>
    <w:p w14:paraId="2C309EE0">
      <w:pPr>
        <w:spacing w:line="600" w:lineRule="exact"/>
        <w:ind w:firstLine="594" w:firstLineChars="200"/>
        <w:rPr>
          <w:rFonts w:hint="default" w:ascii="Times New Roman" w:hAnsi="Times New Roman" w:cs="Times New Roman"/>
          <w:b/>
          <w:szCs w:val="32"/>
        </w:rPr>
      </w:pPr>
    </w:p>
    <w:p w14:paraId="1CD4AE79">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14:paraId="4AE92BFB">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14:paraId="22FC5E99">
      <w:pPr>
        <w:topLinePunct/>
        <w:ind w:firstLine="594" w:firstLineChars="200"/>
        <w:rPr>
          <w:rFonts w:hint="default" w:ascii="Times New Roman" w:hAnsi="Times New Roman" w:cs="Times New Roman"/>
          <w:szCs w:val="32"/>
          <w:lang w:val="en-US" w:eastAsia="zh-CN"/>
        </w:rPr>
      </w:pPr>
      <w:r>
        <w:rPr>
          <w:rFonts w:hint="default" w:ascii="Times New Roman" w:hAnsi="Times New Roman" w:eastAsia="仿宋_GB2312" w:cs="Times New Roman"/>
          <w:sz w:val="32"/>
          <w:szCs w:val="32"/>
          <w:lang w:val="en-US" w:eastAsia="zh-CN"/>
        </w:rPr>
        <w:t>昆明高新技术产业开发区第四小学</w:t>
      </w:r>
      <w:r>
        <w:rPr>
          <w:rFonts w:hint="default" w:ascii="Times New Roman" w:hAnsi="Times New Roman" w:cs="Times New Roman"/>
          <w:szCs w:val="32"/>
          <w:lang w:val="en-US" w:eastAsia="zh-CN"/>
        </w:rPr>
        <w:t>为财政全额拨款事业单位，办校规模67个教学班，现有教职工187人，其中临聘教师52人，在校学生3054人。高新四小清水校区于2022年9月1日正式开学，开设3个班级，2023年9月新增4个班级，新招聘临聘教师9名，为保障临聘人员经费及学校各部门工作的正常运转，于2023年9月追加高新区马金铺片区2023年新招聘人员和相关工作经费317.41万元，主要用于临聘教师工资福利待遇的支出、安保人员、厨房工作人员劳务费支出、新增生均公用经费、新增学校校园文化创设经费、设施设备和教学教具采购经费的支出。</w:t>
      </w:r>
    </w:p>
    <w:p w14:paraId="2EF3A47D">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绩效目标设定及指标完成情况</w:t>
      </w:r>
    </w:p>
    <w:p w14:paraId="7DFE26F6">
      <w:pPr>
        <w:topLinePunct/>
        <w:ind w:firstLine="594" w:firstLineChars="200"/>
        <w:rPr>
          <w:rFonts w:hint="default" w:ascii="Times New Roman" w:hAnsi="Times New Roman" w:eastAsia="仿宋" w:cs="Times New Roman"/>
          <w:i w:val="0"/>
          <w:iCs w:val="0"/>
          <w:caps w:val="0"/>
          <w:color w:val="000000"/>
          <w:spacing w:val="0"/>
          <w:sz w:val="32"/>
          <w:szCs w:val="32"/>
          <w:shd w:val="clear" w:fill="FFFFFF"/>
          <w:vertAlign w:val="baseline"/>
          <w:lang w:val="en-US"/>
        </w:rPr>
      </w:pPr>
      <w:r>
        <w:rPr>
          <w:rFonts w:hint="default" w:ascii="Times New Roman" w:hAnsi="Times New Roman" w:cs="Times New Roman"/>
          <w:szCs w:val="32"/>
          <w:lang w:val="en-US" w:eastAsia="zh-CN"/>
        </w:rPr>
        <w:t>项目绩效目标为：提升办学质量，加强教师队伍建设，提高学校教学质量，保证新增临聘教师工资福利待遇正常发放及保安、厨房工作人员劳务费的开支，保障学校各部门工作正常运行。指标完成情况：指标正常使用，学校各部门工作正常运行。</w:t>
      </w:r>
    </w:p>
    <w:p w14:paraId="00A0D7EB">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14:paraId="4AD94E35">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呈贡区财政共安排我单位追加高新区马金铺片区2023年新招聘人员和相关工作经费317.41万元，实际收入317.41万元，实际支出数为150.18万元，依据高新一小东校区办学实施方案，结合我校《昆明高新技术产业开发区第四小学‘三重一大’制度》、《昆明高新技术产业开发区第四小学财务制度》等多项制度，项目的执行经党政联席会议讨论后决定。</w:t>
      </w:r>
    </w:p>
    <w:p w14:paraId="75594DF9">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14:paraId="591428C9">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前期准备：成立项目实施工作领导小组、明确具体负责人、财务部门做好资金的管理和使用， 制定了《昆明高新技术产业开发区第四小学财务制度》、《昆明高新技术产业开发区第四小学财务人员职责》、《昆明高新技术产业开发区第四小学报账制度》，切实有效地保证了财政资金专款专用。</w:t>
      </w:r>
    </w:p>
    <w:p w14:paraId="51B99132">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招投标、调整、竣工验收：预算批复及资金下达后，属于政府采购项目的，严格按照政府采购的相关规定执行，不属于政府采购项目的，依据《中华人民共和国招</w:t>
      </w:r>
      <w:r>
        <w:rPr>
          <w:rFonts w:hint="eastAsia" w:ascii="Times New Roman" w:hAnsi="Times New Roman" w:cs="Times New Roman"/>
          <w:szCs w:val="32"/>
          <w:lang w:val="en-US" w:eastAsia="zh-CN"/>
        </w:rPr>
        <w:t>标</w:t>
      </w:r>
      <w:bookmarkStart w:id="0" w:name="_GoBack"/>
      <w:bookmarkEnd w:id="0"/>
      <w:r>
        <w:rPr>
          <w:rFonts w:hint="default" w:ascii="Times New Roman" w:hAnsi="Times New Roman" w:cs="Times New Roman"/>
          <w:szCs w:val="32"/>
          <w:lang w:val="en-US" w:eastAsia="zh-CN"/>
        </w:rPr>
        <w:t>投标法》等法律法规办理招投标手续，采购结束后，单位组织相关人员进行验收，验收合格后，办理付款手续。</w:t>
      </w:r>
    </w:p>
    <w:p w14:paraId="1E0AE46D">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管理情况：项目资金管理领导小组确定项目负责人，项目负责人对项目的立项、预算申请、政府采购、招投标、合同签订、项目跟进、竣工验收等系列工作进行全程跟进及负责。严格执行《昆明高新技术产业开发区第四小学‘三重一大’制度》、《昆明高新技术产业开发区第四小学财务制度》等制度，由党政联席会负责监督检查。</w:t>
      </w:r>
    </w:p>
    <w:p w14:paraId="076FEAB5">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14:paraId="018DBE0F">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1.项目经济性分析：2023年，呈贡区财政共安排我单位追加高新区马金铺片区2023年新招聘人员和相关工作经费317.41万元，实际收入317.41万元，实际支出数为150.18万元。</w:t>
      </w:r>
    </w:p>
    <w:p w14:paraId="18D6FC85">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2.项目效率性分析：项目质量严格按照我校已有的保障项目实施的制度措施及国家和行业相关规定进行把关与验收。所有项目已按预定计划完成。  </w:t>
      </w:r>
    </w:p>
    <w:p w14:paraId="0D22CFDA">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cs="Times New Roman"/>
          <w:szCs w:val="32"/>
        </w:rPr>
      </w:pPr>
      <w:r>
        <w:rPr>
          <w:rFonts w:hint="default" w:ascii="Times New Roman" w:hAnsi="Times New Roman" w:cs="Times New Roman"/>
          <w:szCs w:val="32"/>
          <w:lang w:val="en-US" w:eastAsia="zh-CN"/>
        </w:rPr>
        <w:t xml:space="preserve">3.项目效益性分析：经费指标及时下达，并按时按规定落实临聘人员各项待遇保安及厨房工作人员的劳务费，确保了学校各项活动有序进行，为学校教育教学活动正常进行奠定有力基础。  </w:t>
      </w:r>
    </w:p>
    <w:p w14:paraId="45EFC46F">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14:paraId="6D7B64CC">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14:paraId="199985AD">
      <w:pPr>
        <w:topLinePunct/>
        <w:ind w:firstLine="594" w:firstLineChars="200"/>
        <w:jc w:val="both"/>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5E8EF4C5">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资金分配方面的问题</w:t>
      </w:r>
    </w:p>
    <w:p w14:paraId="57F67C23">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5B75989B">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14:paraId="2CCF1003">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39997CDC">
      <w:pPr>
        <w:numPr>
          <w:ilvl w:val="0"/>
          <w:numId w:val="0"/>
        </w:num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14:paraId="111AAB05">
      <w:pPr>
        <w:numPr>
          <w:ilvl w:val="0"/>
          <w:numId w:val="0"/>
        </w:num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无</w:t>
      </w:r>
    </w:p>
    <w:p w14:paraId="5F6311D3">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14:paraId="4AAC694A">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14:paraId="3230349B">
      <w:pPr>
        <w:topLinePunct/>
        <w:ind w:firstLine="594" w:firstLineChars="200"/>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加强相关政策法规的学习，规范项目实施的各个环节，争取让项目的经济性、效率性、有效性、可持续性得到最佳实现。</w:t>
      </w:r>
    </w:p>
    <w:p w14:paraId="43F84B70">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14:paraId="4ECA9C71">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主要经验及做法</w:t>
      </w:r>
    </w:p>
    <w:p w14:paraId="6B821B5A">
      <w:pPr>
        <w:spacing w:line="56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1、项目的设定符合义务教育规划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项目的申报、审批严谨健全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建立了项目管理的一系列制度并得到执行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项目的完成符合要求。</w:t>
      </w:r>
    </w:p>
    <w:p w14:paraId="49E1BF6D">
      <w:pPr>
        <w:spacing w:line="56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2、项目的实施对</w:t>
      </w:r>
      <w:r>
        <w:rPr>
          <w:rFonts w:hint="default" w:ascii="Times New Roman" w:hAnsi="Times New Roman" w:cs="Times New Roman"/>
          <w:color w:val="000000"/>
          <w:sz w:val="32"/>
          <w:szCs w:val="32"/>
          <w:lang w:val="en-US" w:eastAsia="zh-CN"/>
        </w:rPr>
        <w:t>我校</w:t>
      </w:r>
      <w:r>
        <w:rPr>
          <w:rFonts w:hint="default" w:ascii="Times New Roman" w:hAnsi="Times New Roman" w:eastAsia="仿宋_GB2312" w:cs="Times New Roman"/>
          <w:color w:val="000000"/>
          <w:sz w:val="32"/>
          <w:szCs w:val="32"/>
        </w:rPr>
        <w:t>孩子提供一个良好的教育起点和优越成长环境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促进了义务教育均衡发展和教育公平。</w:t>
      </w:r>
    </w:p>
    <w:p w14:paraId="567D9945">
      <w:pPr>
        <w:topLinePunct/>
        <w:ind w:firstLine="594" w:firstLineChars="200"/>
        <w:jc w:val="both"/>
        <w:rPr>
          <w:rFonts w:hint="default" w:ascii="Times New Roman" w:hAnsi="Times New Roman" w:cs="Times New Roman"/>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cs="Times New Roman"/>
          <w:szCs w:val="32"/>
          <w:lang w:val="en-US" w:eastAsia="zh-CN"/>
        </w:rPr>
        <w:t>领导高度重视，明确分工，各岗位人员各司其职，提前做好实施项目的准备工作。</w:t>
      </w:r>
    </w:p>
    <w:p w14:paraId="745042BE">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建议和改进举措</w:t>
      </w:r>
    </w:p>
    <w:p w14:paraId="74EA0965">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1．政策建议：建议建立教育建设项目立项、审核、建设、验收绿色通道。</w:t>
      </w:r>
    </w:p>
    <w:p w14:paraId="02A25341">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改进举措：加大校舍建设类项目法人责任制、招标投标制、工程监理制、合同管理制等“四制”落实力度；加大对校舍建设类项目的检查督办力度；加大对项目管理人员的培训力度；加大项目可行性的评估力度。</w:t>
      </w:r>
    </w:p>
    <w:p w14:paraId="02137426">
      <w:pPr>
        <w:pStyle w:val="3"/>
        <w:keepNext w:val="0"/>
        <w:keepLines w:val="0"/>
        <w:widowControl/>
        <w:suppressLineNumbers w:val="0"/>
        <w:ind w:firstLine="3564" w:firstLineChars="1200"/>
        <w:rPr>
          <w:rFonts w:hint="default" w:ascii="Times New Roman" w:hAnsi="Times New Roman" w:cs="Times New Roman"/>
          <w:sz w:val="32"/>
          <w:szCs w:val="3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3AA3447"/>
    <w:rsid w:val="05AE36CA"/>
    <w:rsid w:val="09B2656F"/>
    <w:rsid w:val="0A125D31"/>
    <w:rsid w:val="0EC86298"/>
    <w:rsid w:val="199F2D0D"/>
    <w:rsid w:val="1CB86972"/>
    <w:rsid w:val="1D745518"/>
    <w:rsid w:val="26740BE6"/>
    <w:rsid w:val="281C616E"/>
    <w:rsid w:val="28B66FBE"/>
    <w:rsid w:val="2A224DDB"/>
    <w:rsid w:val="2AD86111"/>
    <w:rsid w:val="2C333451"/>
    <w:rsid w:val="2CB62111"/>
    <w:rsid w:val="2ECD3195"/>
    <w:rsid w:val="31E355DF"/>
    <w:rsid w:val="324F6D83"/>
    <w:rsid w:val="33745B10"/>
    <w:rsid w:val="36545FDA"/>
    <w:rsid w:val="378A5996"/>
    <w:rsid w:val="3C5B50FD"/>
    <w:rsid w:val="3EED6F8F"/>
    <w:rsid w:val="4051250D"/>
    <w:rsid w:val="41050961"/>
    <w:rsid w:val="418944AF"/>
    <w:rsid w:val="452E47CD"/>
    <w:rsid w:val="453E61CA"/>
    <w:rsid w:val="46706E0F"/>
    <w:rsid w:val="482811EB"/>
    <w:rsid w:val="4A1B2DC7"/>
    <w:rsid w:val="4E7B6155"/>
    <w:rsid w:val="50FC7FA0"/>
    <w:rsid w:val="525657E9"/>
    <w:rsid w:val="526E4DF5"/>
    <w:rsid w:val="52A37C64"/>
    <w:rsid w:val="5776152D"/>
    <w:rsid w:val="596D1519"/>
    <w:rsid w:val="5A3C6978"/>
    <w:rsid w:val="5CDE5C68"/>
    <w:rsid w:val="60561F59"/>
    <w:rsid w:val="609F35CD"/>
    <w:rsid w:val="63D46B77"/>
    <w:rsid w:val="649B67A9"/>
    <w:rsid w:val="653067BE"/>
    <w:rsid w:val="664B58E5"/>
    <w:rsid w:val="67600811"/>
    <w:rsid w:val="6A1D4AB2"/>
    <w:rsid w:val="6FA346FC"/>
    <w:rsid w:val="74EA24E5"/>
    <w:rsid w:val="77130E72"/>
    <w:rsid w:val="79615AE4"/>
    <w:rsid w:val="7AC30695"/>
    <w:rsid w:val="7ED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1647</Words>
  <Characters>1722</Characters>
  <Lines>0</Lines>
  <Paragraphs>0</Paragraphs>
  <TotalTime>3</TotalTime>
  <ScaleCrop>false</ScaleCrop>
  <LinksUpToDate>false</LinksUpToDate>
  <CharactersWithSpaces>1727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WPS_1553044993</cp:lastModifiedBy>
  <dcterms:modified xsi:type="dcterms:W3CDTF">2024-12-16T01:42:24Z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365A473E3A9747C088BC44F8152CF9A2_13</vt:lpwstr>
  </property>
</Properties>
</file>