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呈贡区社保局2019年预算公开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呈贡区社保局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第二部分呈贡区社保局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一、部门收支总表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二、部门收入总表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三、部门支出总表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四、财政拨款收支预算总表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五、一般公共预算支出表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六、基本支出预算表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七、基金预算支出情况表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八、财政拨款支出明细表（按经济分类科目）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九、“三公”经费公共预算财政拨款支出情况表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部门项目支出绩效目标表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十一、部门整体支出绩效目标表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十二、市对下绩效目标表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十三、市本级绩效目标表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十四、政府采购表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十五、部门基本信息表</w:t>
      </w:r>
    </w:p>
    <w:p>
      <w:pPr>
        <w:jc w:val="left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eastAsia="仿宋_GB2312"/>
          <w:sz w:val="30"/>
          <w:szCs w:val="30"/>
        </w:rPr>
        <w:t>十六、行政事业单位资产情况表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黑体" w:hAnsi="黑体" w:eastAsia="黑体"/>
          <w:sz w:val="30"/>
          <w:szCs w:val="30"/>
        </w:rPr>
        <w:t>呈贡区社保局</w:t>
      </w:r>
      <w:r>
        <w:rPr>
          <w:rFonts w:ascii="方正小标宋简体" w:eastAsia="方正小标宋简体"/>
          <w:kern w:val="0"/>
          <w:sz w:val="36"/>
          <w:szCs w:val="36"/>
        </w:rPr>
        <w:t>2019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hAnsi="宋体" w:eastAsia="仿宋_GB2312" w:cs="宋体"/>
          <w:sz w:val="32"/>
          <w:szCs w:val="32"/>
        </w:rPr>
        <w:t>贯彻执行国家、省、市的社会保险方针政策和法律法规。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sz w:val="32"/>
          <w:szCs w:val="32"/>
        </w:rPr>
        <w:t>开展社会保险服务促进经济发展、职工养老保险、工伤保险的征缴支付管理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主要工作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负责全区机关、事业、企业单位职工养老、工伤、保险基金的申报、登记、稽核、管理、发放工作。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编制2019年部门预算时，在职在编实有人数11人，其中：财政全供养11人；离退休人员4人，其中：离休0人，退休4人。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1、严格按照“机关事业养老保险改革”的政策要求，开展和推进机关事业养老保险制度改革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2、推进职业年金征缴与发放工作，落实职业年金制度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3、企业养老保险、工伤保险的参续保、征缴、发放、稽核等工作。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我部门编制2019年部门预算单位共1个</w:t>
      </w:r>
      <w:r>
        <w:rPr>
          <w:rFonts w:eastAsia="仿宋_GB2312"/>
          <w:kern w:val="0"/>
          <w:sz w:val="30"/>
          <w:szCs w:val="30"/>
        </w:rPr>
        <w:t>,</w:t>
      </w:r>
      <w:r>
        <w:rPr>
          <w:rFonts w:hint="eastAsia" w:eastAsia="仿宋_GB2312"/>
          <w:kern w:val="0"/>
          <w:sz w:val="30"/>
          <w:szCs w:val="30"/>
        </w:rPr>
        <w:t>分别是呈贡区社会保险事</w:t>
      </w:r>
      <w:r>
        <w:rPr>
          <w:rFonts w:hint="eastAsia" w:eastAsia="仿宋_GB2312"/>
          <w:kern w:val="0"/>
          <w:sz w:val="30"/>
          <w:szCs w:val="30"/>
          <w:lang w:eastAsia="zh-CN"/>
        </w:rPr>
        <w:t>务</w:t>
      </w:r>
      <w:bookmarkStart w:id="0" w:name="_GoBack"/>
      <w:bookmarkEnd w:id="0"/>
      <w:r>
        <w:rPr>
          <w:rFonts w:hint="eastAsia" w:eastAsia="仿宋_GB2312"/>
          <w:kern w:val="0"/>
          <w:sz w:val="30"/>
          <w:szCs w:val="30"/>
        </w:rPr>
        <w:t>管理局。其中：财政全供给单位1个；部分供给单位0个；特殊供给单位0个；自收自支单位0个。财政全供给单位中行政单位1个；参公管理事业单位1个；非参公管理事业单位0个。截止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在职人员编制12人，其中：行政编制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0人，事业编制12人。在职实有11人，其中：财政全供养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11人，财政部分供养0人，非财政供养0人。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离退休人员4人，其中：离休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0人，退休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4人。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车辆编制0辆，实有车辆0辆。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（各部门可结合实际制作基本情况分布图表等）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411.42万元，其中：一般公共预算财政拨款411.42万元，政府性基金预算财政拨款0万元，国有资本经营预算财政拨款0万元，事业收入0万元，事业单位经营收入0万元，其他收入0万元，上年结转0万元。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2019年部门财政拨款收入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411.42万元，其中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411.42万元，上年结转收入0万元。本年收入中，一般公共预算财政拨款411.42万元（本级财力411.42万元，专项收入0万元，执法办案补助0万元，收费成本补偿0万元，财政专户管理的收入0万元，国有资源（资产）有偿使用收入0万元），政府性基金财政拨款0万元，国有资本经营预算财政拨款0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411.42万元。本级财力安排支出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411.42万元，其中，基本支出253.85万元，项目支出157.57万元。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功能科目分类，支出分别列“2080101”支出，主要反映行政运行的支出（对“款”解释说明）201.31万元；“2080501”支出，主要反映归口管理的行政事业单位离退休的支出10.08万元；“2080505”支出，主要反映机关事业单位基本养老保险缴费支出22.66万元；“2050803”支出，主要反映培训支出0.33万元；“2210201”支出，主要反映住房公积金的支出19.29万元；“2210203”支出，主要反映购房补贴的支出0.16万元；“2080109”支出，主要反映稽核工作经费、开展养老保险工作经费、工伤保险工作经费等项目的支出38.51万元；“2080199”支出，主要反映企业退休人员独生子女费的支出100.38万元；“2080599”支出，主要反映离退休人员活动费的支出9.88万元；“2080107”支出，主要反映社会保险征收管理工作补助经费的支出0.83万元；“2089901”支出，主要反映贯彻中组发13号文件财政补助资金的支出0.36万元；“2080799”支出，主要反映省属企业退休人员社会化管理服务经费的支出7.6万元；。</w:t>
      </w:r>
    </w:p>
    <w:p>
      <w:pPr>
        <w:widowControl/>
        <w:ind w:firstLine="600" w:firstLineChars="2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hint="eastAsia" w:eastAsia="仿宋_GB2312"/>
          <w:color w:val="FF0000"/>
          <w:kern w:val="0"/>
          <w:sz w:val="30"/>
          <w:szCs w:val="30"/>
        </w:rPr>
        <w:t>列如：</w:t>
      </w:r>
      <w:r>
        <w:rPr>
          <w:rFonts w:eastAsia="仿宋_GB2312"/>
          <w:color w:val="FF0000"/>
          <w:kern w:val="0"/>
          <w:sz w:val="30"/>
          <w:szCs w:val="30"/>
        </w:rPr>
        <w:t>20106</w:t>
      </w:r>
      <w:r>
        <w:rPr>
          <w:rFonts w:hint="eastAsia" w:eastAsia="仿宋_GB2312"/>
          <w:color w:val="FF0000"/>
          <w:kern w:val="0"/>
          <w:sz w:val="30"/>
          <w:szCs w:val="30"/>
        </w:rPr>
        <w:t>，主要反映财政事务支出。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按支出经济分类科目分组为：301工资福利支出221.32万元；302商品服务支出77.64万元；303对个人和家庭的补助110.46万元；310资本性支出2万元。（其中：基本支出253.85万元，项目支出157.57万元）。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五、市对下专项转移支付情况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（一）列入市对下专项转移支付项目清单项目情况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部门列入市对下专项转移支付项目清单项目为：金额0万元，主要用于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</w:t>
      </w:r>
      <w:r>
        <w:rPr>
          <w:rFonts w:hint="eastAsia" w:ascii="黑体" w:hAnsi="黑体" w:eastAsia="黑体"/>
          <w:bCs/>
          <w:sz w:val="30"/>
          <w:szCs w:val="30"/>
        </w:rPr>
        <w:t>“三公”经费安排情况说明</w:t>
      </w:r>
      <w:r>
        <w:rPr>
          <w:rFonts w:ascii="黑体" w:hAnsi="黑体" w:eastAsia="黑体"/>
          <w:bCs/>
          <w:sz w:val="30"/>
          <w:szCs w:val="30"/>
        </w:rPr>
        <w:t xml:space="preserve"> 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2019年部门“三公”经费预算2.1万元，比上年预算数减少0.2万元，分别为：</w:t>
      </w:r>
      <w:r>
        <w:rPr>
          <w:rFonts w:eastAsia="仿宋_GB2312"/>
          <w:kern w:val="0"/>
          <w:sz w:val="30"/>
          <w:szCs w:val="30"/>
        </w:rPr>
        <w:t>1.</w:t>
      </w:r>
      <w:r>
        <w:rPr>
          <w:rFonts w:hint="eastAsia" w:eastAsia="仿宋_GB2312"/>
          <w:kern w:val="0"/>
          <w:sz w:val="30"/>
          <w:szCs w:val="30"/>
        </w:rPr>
        <w:t>因公出国（境）费0万元，比上年预算数增加（减少）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2.</w:t>
      </w:r>
      <w:r>
        <w:rPr>
          <w:rFonts w:hint="eastAsia" w:eastAsia="仿宋_GB2312"/>
          <w:kern w:val="0"/>
          <w:sz w:val="30"/>
          <w:szCs w:val="30"/>
        </w:rPr>
        <w:t>公务接待费2.1万元，比上年预算数减少0.2万元；</w:t>
      </w:r>
      <w:r>
        <w:rPr>
          <w:rFonts w:eastAsia="仿宋_GB2312"/>
          <w:kern w:val="0"/>
          <w:sz w:val="30"/>
          <w:szCs w:val="30"/>
        </w:rPr>
        <w:t>3.</w:t>
      </w:r>
      <w:r>
        <w:rPr>
          <w:rFonts w:hint="eastAsia" w:eastAsia="仿宋_GB2312"/>
          <w:kern w:val="0"/>
          <w:sz w:val="30"/>
          <w:szCs w:val="30"/>
        </w:rPr>
        <w:t>公务用车购置及运行费0万元，其中：公务用车购置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万元；公务用车运行费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“三公”经费减少的原因主要是</w:t>
      </w:r>
      <w:r>
        <w:rPr>
          <w:rFonts w:eastAsia="仿宋_GB2312"/>
          <w:kern w:val="0"/>
          <w:sz w:val="30"/>
          <w:szCs w:val="30"/>
        </w:rPr>
        <w:t>:</w:t>
      </w:r>
    </w:p>
    <w:p>
      <w:pPr>
        <w:widowControl/>
        <w:ind w:firstLine="600" w:firstLineChars="200"/>
        <w:jc w:val="left"/>
        <w:rPr>
          <w:rFonts w:eastAsia="仿宋_GB2312"/>
          <w:b/>
          <w:bCs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b/>
          <w:bCs/>
          <w:kern w:val="0"/>
          <w:sz w:val="30"/>
          <w:szCs w:val="30"/>
        </w:rPr>
        <w:t>严格执行中央八项规定制度减少开支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（二）严格执行</w:t>
      </w:r>
      <w:r>
        <w:rPr>
          <w:rFonts w:hint="eastAsia" w:eastAsia="仿宋_GB2312"/>
          <w:b/>
          <w:bCs/>
          <w:kern w:val="0"/>
          <w:sz w:val="30"/>
          <w:szCs w:val="30"/>
        </w:rPr>
        <w:t>厉行节约的相关规定降低开支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七、政府采购预算情况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根据《中华人民共和国政府采购法》的有关规定，编制了政府采购预算，共涉及采购项目1个，采购预算资金2万元。</w:t>
      </w:r>
      <w:r>
        <w:rPr>
          <w:rFonts w:hint="eastAsia" w:eastAsia="仿宋_GB2312"/>
          <w:color w:val="FF0000"/>
          <w:kern w:val="0"/>
          <w:sz w:val="30"/>
          <w:szCs w:val="30"/>
        </w:rPr>
        <w:t>（若无政府采购，需保留标题并在表述内容的位置注明“</w:t>
      </w:r>
      <w:r>
        <w:rPr>
          <w:rFonts w:eastAsia="仿宋_GB2312"/>
          <w:color w:val="FF0000"/>
          <w:kern w:val="0"/>
          <w:sz w:val="30"/>
          <w:szCs w:val="30"/>
        </w:rPr>
        <w:t>2019</w:t>
      </w:r>
      <w:r>
        <w:rPr>
          <w:rFonts w:hint="eastAsia" w:eastAsia="仿宋_GB2312"/>
          <w:color w:val="FF0000"/>
          <w:kern w:val="0"/>
          <w:sz w:val="30"/>
          <w:szCs w:val="30"/>
        </w:rPr>
        <w:t>年</w:t>
      </w:r>
      <w:r>
        <w:rPr>
          <w:rFonts w:eastAsia="仿宋_GB2312"/>
          <w:color w:val="FF0000"/>
          <w:kern w:val="0"/>
          <w:sz w:val="30"/>
          <w:szCs w:val="30"/>
        </w:rPr>
        <w:t>XX</w:t>
      </w:r>
      <w:r>
        <w:rPr>
          <w:rFonts w:hint="eastAsia" w:eastAsia="仿宋_GB2312"/>
          <w:color w:val="FF0000"/>
          <w:kern w:val="0"/>
          <w:sz w:val="30"/>
          <w:szCs w:val="30"/>
        </w:rPr>
        <w:t>部门无政府采购预算”。）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八、预算收支增减变化情况说明</w:t>
      </w:r>
    </w:p>
    <w:p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（一）基本支出预算变动的主要原因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2019年本级财力安排呈贡区社保局基本支出253.85万元，与上年对比增加5.13万元，增减变化的原因主要是：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eastAsia="仿宋_GB2312"/>
          <w:kern w:val="0"/>
          <w:sz w:val="30"/>
          <w:szCs w:val="30"/>
        </w:rPr>
        <w:t>根据公务员调待政策，预算的工资福利支出较上年增加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hint="eastAsia" w:ascii="仿宋_GB2312" w:eastAsia="仿宋_GB2312"/>
          <w:kern w:val="0"/>
          <w:sz w:val="30"/>
          <w:szCs w:val="30"/>
        </w:rPr>
        <w:t>根据机关事业单位离退休人员，退休费政策调整，预算的对个人和家庭补助较上年增加</w:t>
      </w:r>
    </w:p>
    <w:p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（二）项目支出预算变动的主要原因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2019年本级财力安排呈贡区社保局项目支出157.57万元，与上年对比减少1.77万元，增减变化的原因主要是：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eastAsia="仿宋_GB2312"/>
          <w:kern w:val="0"/>
          <w:sz w:val="30"/>
          <w:szCs w:val="30"/>
        </w:rPr>
        <w:t>按照财政预算管理和绩效管理的规定，合理合并、减少项目数量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hint="eastAsia" w:ascii="仿宋_GB2312" w:eastAsia="仿宋_GB2312"/>
          <w:kern w:val="0"/>
          <w:sz w:val="30"/>
          <w:szCs w:val="30"/>
        </w:rPr>
        <w:t>按照财政预算、绩效管理的规定，降低项目金额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hint="eastAsia" w:eastAsia="仿宋_GB2312"/>
          <w:color w:val="FF0000"/>
          <w:kern w:val="0"/>
          <w:sz w:val="30"/>
          <w:szCs w:val="30"/>
        </w:rPr>
        <w:t>（可参照中央、省级部门进行填写）</w:t>
      </w:r>
      <w:r>
        <w:rPr>
          <w:rFonts w:eastAsia="仿宋_GB2312"/>
          <w:color w:val="FF0000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eastAsia="仿宋_GB2312"/>
          <w:b/>
          <w:color w:val="FF0000"/>
          <w:kern w:val="0"/>
          <w:sz w:val="30"/>
          <w:szCs w:val="30"/>
        </w:rPr>
      </w:pPr>
      <w:r>
        <w:rPr>
          <w:rFonts w:hint="eastAsia" w:eastAsia="仿宋_GB2312"/>
          <w:color w:val="FF0000"/>
          <w:kern w:val="0"/>
          <w:sz w:val="30"/>
          <w:szCs w:val="30"/>
        </w:rPr>
        <w:t>列如：“三公”经费包括因公出国（境）费、公务用车购置及运行费和公务接待费。（</w:t>
      </w:r>
      <w:r>
        <w:rPr>
          <w:rFonts w:eastAsia="仿宋_GB2312"/>
          <w:color w:val="FF0000"/>
          <w:kern w:val="0"/>
          <w:sz w:val="30"/>
          <w:szCs w:val="30"/>
        </w:rPr>
        <w:t>1</w:t>
      </w:r>
      <w:r>
        <w:rPr>
          <w:rFonts w:hint="eastAsia" w:eastAsia="仿宋_GB2312"/>
          <w:color w:val="FF0000"/>
          <w:kern w:val="0"/>
          <w:sz w:val="30"/>
          <w:szCs w:val="30"/>
        </w:rPr>
        <w:t>）因公出国（境）费，指单位工作人员公务出国（境）的住宿费、旅费、伙食补助费、杂费、培训费等支出。（</w:t>
      </w:r>
      <w:r>
        <w:rPr>
          <w:rFonts w:eastAsia="仿宋_GB2312"/>
          <w:color w:val="FF0000"/>
          <w:kern w:val="0"/>
          <w:sz w:val="30"/>
          <w:szCs w:val="30"/>
        </w:rPr>
        <w:t>2</w:t>
      </w:r>
      <w:r>
        <w:rPr>
          <w:rFonts w:hint="eastAsia" w:eastAsia="仿宋_GB2312"/>
          <w:color w:val="FF0000"/>
          <w:kern w:val="0"/>
          <w:sz w:val="30"/>
          <w:szCs w:val="30"/>
        </w:rPr>
        <w:t>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</w:t>
      </w:r>
      <w:r>
        <w:rPr>
          <w:rFonts w:eastAsia="仿宋_GB2312"/>
          <w:color w:val="FF0000"/>
          <w:kern w:val="0"/>
          <w:sz w:val="30"/>
          <w:szCs w:val="30"/>
        </w:rPr>
        <w:t>3</w:t>
      </w:r>
      <w:r>
        <w:rPr>
          <w:rFonts w:hint="eastAsia" w:eastAsia="仿宋_GB2312"/>
          <w:color w:val="FF0000"/>
          <w:kern w:val="0"/>
          <w:sz w:val="30"/>
          <w:szCs w:val="30"/>
        </w:rPr>
        <w:t>）公务接待费，指单位按规定开支的各类公务接待（含外宾接待）支出。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2019年本级财力安排呈贡区社保局机关运行经费22.44万元，主要用于办公经费、印刷费、水电费、汽燃费、办公设备购置等日常开支，以保证机构正常运转。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截至2018年</w:t>
      </w:r>
      <w:r>
        <w:rPr>
          <w:rFonts w:eastAsia="仿宋_GB2312"/>
          <w:color w:val="000000"/>
          <w:kern w:val="0"/>
          <w:sz w:val="30"/>
          <w:szCs w:val="30"/>
        </w:rPr>
        <w:t>12</w:t>
      </w:r>
      <w:r>
        <w:rPr>
          <w:rFonts w:hint="eastAsia" w:eastAsia="仿宋_GB2312"/>
          <w:color w:val="000000"/>
          <w:kern w:val="0"/>
          <w:sz w:val="30"/>
          <w:szCs w:val="30"/>
        </w:rPr>
        <w:t>月</w:t>
      </w:r>
      <w:r>
        <w:rPr>
          <w:rFonts w:eastAsia="仿宋_GB2312"/>
          <w:color w:val="000000"/>
          <w:kern w:val="0"/>
          <w:sz w:val="30"/>
          <w:szCs w:val="30"/>
        </w:rPr>
        <w:t>31</w:t>
      </w:r>
      <w:r>
        <w:rPr>
          <w:rFonts w:hint="eastAsia" w:eastAsia="仿宋_GB2312"/>
          <w:color w:val="000000"/>
          <w:kern w:val="0"/>
          <w:sz w:val="30"/>
          <w:szCs w:val="30"/>
        </w:rPr>
        <w:t>日的国有资产占有使用情况如下：</w:t>
      </w:r>
    </w:p>
    <w:p>
      <w:pPr>
        <w:widowControl/>
        <w:ind w:firstLine="600" w:firstLineChars="2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/>
          <w:color w:val="FF0000"/>
          <w:kern w:val="0"/>
          <w:sz w:val="30"/>
          <w:szCs w:val="30"/>
        </w:rPr>
        <w:t>(</w:t>
      </w:r>
      <w:r>
        <w:rPr>
          <w:rFonts w:hint="eastAsia" w:eastAsia="仿宋_GB2312"/>
          <w:color w:val="FF0000"/>
          <w:kern w:val="0"/>
          <w:sz w:val="30"/>
          <w:szCs w:val="30"/>
        </w:rPr>
        <w:t>请参照部门</w:t>
      </w:r>
      <w:r>
        <w:rPr>
          <w:rFonts w:eastAsia="仿宋_GB2312"/>
          <w:color w:val="FF0000"/>
          <w:kern w:val="0"/>
          <w:sz w:val="30"/>
          <w:szCs w:val="30"/>
        </w:rPr>
        <w:t>2018</w:t>
      </w:r>
      <w:r>
        <w:rPr>
          <w:rFonts w:hint="eastAsia" w:eastAsia="仿宋_GB2312"/>
          <w:color w:val="FF0000"/>
          <w:kern w:val="0"/>
          <w:sz w:val="30"/>
          <w:szCs w:val="30"/>
        </w:rPr>
        <w:t>年决算报表数据填列</w:t>
      </w:r>
      <w:r>
        <w:rPr>
          <w:rFonts w:eastAsia="仿宋_GB2312"/>
          <w:color w:val="FF0000"/>
          <w:kern w:val="0"/>
          <w:sz w:val="30"/>
          <w:szCs w:val="30"/>
        </w:rPr>
        <w:t>)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固定资产20.77万元（其中房屋3万元，家具设备17.77万元），流动资产33.61万元。合计资产总额为54.39万元。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鉴于上述数据为快报数，相关数据待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年决算编制后才能统计汇总，届时，将在公开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31</w:t>
      </w:r>
      <w:r>
        <w:rPr>
          <w:rFonts w:hint="eastAsia" w:eastAsia="仿宋_GB2312"/>
          <w:kern w:val="0"/>
          <w:sz w:val="30"/>
          <w:szCs w:val="30"/>
        </w:rPr>
        <w:t>日的国有资产占有使用情况。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（四）本部门整体支出预算绩效情况说明</w:t>
      </w:r>
    </w:p>
    <w:p>
      <w:pPr>
        <w:widowControl/>
        <w:ind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……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详见整体支出预算绩效目标表。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（五）本部门项目支出绩效情况说明</w:t>
      </w:r>
    </w:p>
    <w:p>
      <w:pPr>
        <w:widowControl/>
        <w:ind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……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详见项目支出预算绩效目标表。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54"/>
    <w:rsid w:val="00057A58"/>
    <w:rsid w:val="00097272"/>
    <w:rsid w:val="000D315D"/>
    <w:rsid w:val="000E33D3"/>
    <w:rsid w:val="000E55AC"/>
    <w:rsid w:val="001369FA"/>
    <w:rsid w:val="00181EBB"/>
    <w:rsid w:val="00186E75"/>
    <w:rsid w:val="001936E5"/>
    <w:rsid w:val="001B7DE7"/>
    <w:rsid w:val="001D120C"/>
    <w:rsid w:val="001D1E34"/>
    <w:rsid w:val="00260FD5"/>
    <w:rsid w:val="00282F08"/>
    <w:rsid w:val="0028530E"/>
    <w:rsid w:val="00285CEF"/>
    <w:rsid w:val="00295D5D"/>
    <w:rsid w:val="002F266B"/>
    <w:rsid w:val="0030107E"/>
    <w:rsid w:val="003A3075"/>
    <w:rsid w:val="003B2803"/>
    <w:rsid w:val="003D51CC"/>
    <w:rsid w:val="003E4587"/>
    <w:rsid w:val="00412FE2"/>
    <w:rsid w:val="004A0403"/>
    <w:rsid w:val="004A7E26"/>
    <w:rsid w:val="004F0825"/>
    <w:rsid w:val="005054B5"/>
    <w:rsid w:val="005916A7"/>
    <w:rsid w:val="005B0A4A"/>
    <w:rsid w:val="005D1CB3"/>
    <w:rsid w:val="005D37A4"/>
    <w:rsid w:val="005E259B"/>
    <w:rsid w:val="00622A89"/>
    <w:rsid w:val="00626439"/>
    <w:rsid w:val="00636773"/>
    <w:rsid w:val="00655011"/>
    <w:rsid w:val="006A6826"/>
    <w:rsid w:val="006E6709"/>
    <w:rsid w:val="006F103E"/>
    <w:rsid w:val="006F2083"/>
    <w:rsid w:val="00794354"/>
    <w:rsid w:val="007A5D71"/>
    <w:rsid w:val="007B2D63"/>
    <w:rsid w:val="00814592"/>
    <w:rsid w:val="0081628E"/>
    <w:rsid w:val="00845660"/>
    <w:rsid w:val="00876408"/>
    <w:rsid w:val="008812EF"/>
    <w:rsid w:val="008B04B2"/>
    <w:rsid w:val="008B456B"/>
    <w:rsid w:val="00925F20"/>
    <w:rsid w:val="00935923"/>
    <w:rsid w:val="00960924"/>
    <w:rsid w:val="009865EE"/>
    <w:rsid w:val="009D2172"/>
    <w:rsid w:val="00A06535"/>
    <w:rsid w:val="00A13EBA"/>
    <w:rsid w:val="00A15B4A"/>
    <w:rsid w:val="00A3379B"/>
    <w:rsid w:val="00A629D6"/>
    <w:rsid w:val="00B06A06"/>
    <w:rsid w:val="00B17409"/>
    <w:rsid w:val="00B534F6"/>
    <w:rsid w:val="00B740DD"/>
    <w:rsid w:val="00B90D00"/>
    <w:rsid w:val="00BB0895"/>
    <w:rsid w:val="00BC3C82"/>
    <w:rsid w:val="00BE7EF7"/>
    <w:rsid w:val="00C22B0A"/>
    <w:rsid w:val="00C33D5F"/>
    <w:rsid w:val="00C603C1"/>
    <w:rsid w:val="00C97267"/>
    <w:rsid w:val="00CA5798"/>
    <w:rsid w:val="00CF75AD"/>
    <w:rsid w:val="00D07122"/>
    <w:rsid w:val="00D74B92"/>
    <w:rsid w:val="00DA6526"/>
    <w:rsid w:val="00DB618A"/>
    <w:rsid w:val="00DD7CF9"/>
    <w:rsid w:val="00E36C52"/>
    <w:rsid w:val="00E952AA"/>
    <w:rsid w:val="00E97812"/>
    <w:rsid w:val="00EC0790"/>
    <w:rsid w:val="00EC11F7"/>
    <w:rsid w:val="00EF0776"/>
    <w:rsid w:val="00F00A42"/>
    <w:rsid w:val="00F05B87"/>
    <w:rsid w:val="00F10789"/>
    <w:rsid w:val="00F83912"/>
    <w:rsid w:val="00FB75F3"/>
    <w:rsid w:val="00FD4F0F"/>
    <w:rsid w:val="00FE4BBB"/>
    <w:rsid w:val="1EF3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497</Words>
  <Characters>2834</Characters>
  <Lines>23</Lines>
  <Paragraphs>6</Paragraphs>
  <TotalTime>3</TotalTime>
  <ScaleCrop>false</ScaleCrop>
  <LinksUpToDate>false</LinksUpToDate>
  <CharactersWithSpaces>3325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2019-03-26T09:58:00Z</dcterms:created>
  <dc:creator>周强</dc:creator>
  <cp:lastModifiedBy>kmcg</cp:lastModifiedBy>
  <cp:lastPrinted>2019-02-15T10:07:00Z</cp:lastPrinted>
  <dcterms:modified xsi:type="dcterms:W3CDTF">2024-12-12T09:20:23Z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