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特殊困难群体火化补助金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（一）项目基本情况简介，包括项目基本性质、用途和主要内容、涉及范围等。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Cs w:val="32"/>
        </w:rPr>
        <w:t>照政府文件精神，</w:t>
      </w:r>
      <w:r>
        <w:rPr>
          <w:rFonts w:hint="eastAsia" w:ascii="仿宋_GB2312" w:hAnsi="仿宋_GB2312" w:cs="仿宋_GB2312"/>
          <w:szCs w:val="32"/>
          <w:lang w:eastAsia="zh-CN"/>
        </w:rPr>
        <w:t>发放特殊困难群里火化补助金</w:t>
      </w:r>
      <w:r>
        <w:rPr>
          <w:rFonts w:hint="eastAsia" w:ascii="仿宋_GB2312"/>
          <w:szCs w:val="32"/>
        </w:rPr>
        <w:t>充分体现政府对特殊人群的关心、解困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9"/>
        <w:rPr>
          <w:rFonts w:hint="default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呈贡区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特殊困难群体火化补助金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2万元，该工作已完成。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根据呈财社〔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8号文件，殡葬管理所202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年预算项目支出为：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特殊困难群体火化补助奖励金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万元，到位率100%，已支出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，该项工作已完成。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szCs w:val="32"/>
          <w:highlight w:val="none"/>
          <w:lang w:eastAsia="zh-CN"/>
        </w:rPr>
        <w:t>项目资金管理认真严格按照上级统一部署，推行信息公开、公告、公式制度，确保项目资金的使用公开透明，如政府购买服务按照“公开、公平、公正”的原则，严格按照竞争择优的购买流程，合理高效的利用资金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项目在实施过程中，前期准备、管理制度均做到了公正公开，由局党组会集体讨论研究决定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1、预算支出控制较好，在持有预算资金范围内，量入为出，保证项目重点工作的开展，基本经费没有突破预算；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2、其它业务活动中，控制开支；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3、对专项资金的申报、拨付和使用，严格按照各专项资金的文件依据要求或管理办法执行；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特殊困难群体火化补助奖励金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工作项目的实施，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充分体现政府对特殊人群的关心、解困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群众满意度达到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殡葬管理所该项资金支出使用情况已完成，无任何问题。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4455" w:firstLineChars="1500"/>
        <w:textAlignment w:val="auto"/>
        <w:rPr>
          <w:rFonts w:hint="default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EDA16"/>
    <w:multiLevelType w:val="singleLevel"/>
    <w:tmpl w:val="71BEDA1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78A5996"/>
    <w:rsid w:val="3CE71FFC"/>
    <w:rsid w:val="3F3C123E"/>
    <w:rsid w:val="5A3C6978"/>
    <w:rsid w:val="67600811"/>
    <w:rsid w:val="7CFCD14D"/>
    <w:rsid w:val="7FAC4C36"/>
    <w:rsid w:val="7FED2CBE"/>
    <w:rsid w:val="EFB50C04"/>
    <w:rsid w:val="FFE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oa heading1"/>
    <w:basedOn w:val="1"/>
    <w:next w:val="1"/>
    <w:qFormat/>
    <w:uiPriority w:val="0"/>
    <w:rPr>
      <w:rFonts w:ascii="Cambria" w:hAnsi="Cambria" w:cs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jyjcg</dc:creator>
  <cp:lastModifiedBy>kmcg</cp:lastModifiedBy>
  <dcterms:modified xsi:type="dcterms:W3CDTF">2024-09-29T17:59:54Z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