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bookmarkStart w:id="0" w:name="_GoBack"/>
      <w:r>
        <w:rPr>
          <w:rFonts w:hint="eastAsia" w:ascii="方正小标宋_GBK" w:eastAsia="方正小标宋_GBK"/>
          <w:sz w:val="36"/>
          <w:szCs w:val="36"/>
        </w:rPr>
        <w:t>项目支出</w:t>
      </w:r>
      <w:r>
        <w:rPr>
          <w:rFonts w:hint="eastAsia" w:ascii="方正小标宋_GBK" w:eastAsia="方正小标宋_GBK"/>
          <w:b w:val="0"/>
          <w:bCs w:val="0"/>
          <w:sz w:val="36"/>
          <w:szCs w:val="36"/>
        </w:rPr>
        <w:t>绩效报</w:t>
      </w:r>
      <w:r>
        <w:rPr>
          <w:rFonts w:hint="eastAsia" w:ascii="方正小标宋_GBK" w:eastAsia="方正小标宋_GBK"/>
          <w:sz w:val="36"/>
          <w:szCs w:val="36"/>
        </w:rPr>
        <w:t>告</w:t>
      </w:r>
      <w:r>
        <w:rPr>
          <w:rFonts w:hint="eastAsia" w:ascii="方正小标宋_GBK" w:eastAsia="方正小标宋_GBK"/>
          <w:sz w:val="36"/>
          <w:szCs w:val="36"/>
          <w:lang w:eastAsia="zh-CN"/>
        </w:rPr>
        <w:t>（</w:t>
      </w:r>
      <w:r>
        <w:rPr>
          <w:rFonts w:hint="eastAsia" w:ascii="方正小标宋_GBK" w:eastAsia="方正小标宋_GBK"/>
          <w:b w:val="0"/>
          <w:bCs w:val="0"/>
          <w:sz w:val="36"/>
          <w:szCs w:val="36"/>
          <w:lang w:eastAsia="zh-CN"/>
        </w:rPr>
        <w:t>党建工作经费、固定资产清理、其他民政事务管理</w:t>
      </w:r>
      <w:r>
        <w:rPr>
          <w:rFonts w:hint="eastAsia" w:ascii="方正小标宋_GBK" w:eastAsia="方正小标宋_GBK"/>
          <w:b w:val="0"/>
          <w:bCs w:val="0"/>
          <w:sz w:val="36"/>
          <w:szCs w:val="36"/>
        </w:rPr>
        <w:t>）</w:t>
      </w:r>
    </w:p>
    <w:bookmarkEnd w:id="0"/>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w:t>
      </w:r>
      <w:r>
        <w:rPr>
          <w:rFonts w:hint="eastAsia" w:ascii="仿宋_GB2312"/>
          <w:szCs w:val="32"/>
          <w:lang w:eastAsia="zh-CN"/>
        </w:rPr>
        <w:t>党建工作经费：根据中共昆明市呈贡区社会治理工作委员会《关于核对</w:t>
      </w:r>
      <w:r>
        <w:rPr>
          <w:rFonts w:hint="eastAsia" w:ascii="仿宋_GB2312"/>
          <w:szCs w:val="32"/>
          <w:lang w:val="en-US" w:eastAsia="zh-CN"/>
        </w:rPr>
        <w:t>2023年党建工作经费预算的通知</w:t>
      </w:r>
      <w:r>
        <w:rPr>
          <w:rFonts w:hint="eastAsia" w:ascii="仿宋_GB2312"/>
          <w:szCs w:val="32"/>
          <w:lang w:eastAsia="zh-CN"/>
        </w:rPr>
        <w:t>》，呈贡区民政局</w:t>
      </w:r>
      <w:r>
        <w:rPr>
          <w:rFonts w:hint="eastAsia" w:ascii="仿宋_GB2312"/>
          <w:szCs w:val="32"/>
          <w:lang w:val="en-US" w:eastAsia="zh-CN"/>
        </w:rPr>
        <w:t>2023年党建工作经费共22000元，实际支出21800元</w:t>
      </w:r>
      <w:r>
        <w:rPr>
          <w:rFonts w:hint="eastAsia" w:ascii="仿宋_GB2312"/>
          <w:szCs w:val="32"/>
        </w:rPr>
        <w:t>。</w:t>
      </w:r>
    </w:p>
    <w:p>
      <w:pPr>
        <w:topLinePunct/>
        <w:ind w:firstLine="594" w:firstLineChars="200"/>
        <w:rPr>
          <w:rFonts w:hint="eastAsia" w:ascii="仿宋_GB2312" w:hAnsi="宋体"/>
          <w:sz w:val="32"/>
          <w:szCs w:val="32"/>
          <w:lang w:eastAsia="zh-CN"/>
        </w:rPr>
      </w:pPr>
      <w:r>
        <w:rPr>
          <w:rFonts w:hint="eastAsia" w:ascii="仿宋_GB2312"/>
          <w:szCs w:val="32"/>
        </w:rPr>
        <w:t>（二）</w:t>
      </w:r>
      <w:r>
        <w:rPr>
          <w:rFonts w:hint="eastAsia" w:ascii="仿宋_GB2312"/>
          <w:szCs w:val="32"/>
          <w:lang w:eastAsia="zh-CN"/>
        </w:rPr>
        <w:t>固定资产清理：</w:t>
      </w:r>
      <w:r>
        <w:rPr>
          <w:rFonts w:hint="eastAsia" w:ascii="仿宋_GB2312" w:hAnsi="宋体" w:eastAsia="仿宋_GB2312"/>
          <w:sz w:val="32"/>
          <w:szCs w:val="32"/>
        </w:rPr>
        <w:t>局办公室</w:t>
      </w:r>
      <w:r>
        <w:rPr>
          <w:rFonts w:hint="eastAsia" w:ascii="仿宋_GB2312" w:hAnsi="宋体"/>
          <w:sz w:val="32"/>
          <w:szCs w:val="32"/>
          <w:lang w:val="en-US" w:eastAsia="zh-CN"/>
        </w:rPr>
        <w:t>2023</w:t>
      </w:r>
      <w:r>
        <w:rPr>
          <w:rFonts w:hint="eastAsia" w:ascii="仿宋_GB2312" w:hAnsi="宋体" w:eastAsia="仿宋_GB2312"/>
          <w:sz w:val="32"/>
          <w:szCs w:val="32"/>
        </w:rPr>
        <w:t>年预算项目支出为</w:t>
      </w:r>
      <w:r>
        <w:rPr>
          <w:rFonts w:hint="eastAsia" w:ascii="仿宋_GB2312" w:hAnsi="宋体" w:eastAsia="仿宋_GB2312"/>
          <w:sz w:val="32"/>
          <w:szCs w:val="32"/>
          <w:lang w:eastAsia="zh-CN"/>
        </w:rPr>
        <w:t>固定资产清理经费</w:t>
      </w:r>
      <w:r>
        <w:rPr>
          <w:rFonts w:hint="eastAsia" w:ascii="仿宋_GB2312" w:hAnsi="宋体"/>
          <w:sz w:val="32"/>
          <w:szCs w:val="32"/>
          <w:lang w:val="en-US" w:eastAsia="zh-CN"/>
        </w:rPr>
        <w:t>29</w:t>
      </w:r>
      <w:r>
        <w:rPr>
          <w:rFonts w:hint="eastAsia" w:ascii="仿宋_GB2312" w:hAnsi="宋体" w:eastAsia="仿宋_GB2312"/>
          <w:sz w:val="32"/>
          <w:szCs w:val="32"/>
          <w:lang w:val="en-US" w:eastAsia="zh-CN"/>
        </w:rPr>
        <w:t>000元</w:t>
      </w:r>
      <w:r>
        <w:rPr>
          <w:rFonts w:hint="eastAsia" w:ascii="仿宋_GB2312" w:hAnsi="宋体"/>
          <w:sz w:val="32"/>
          <w:szCs w:val="32"/>
          <w:lang w:eastAsia="zh-CN"/>
        </w:rPr>
        <w:t>。</w:t>
      </w:r>
    </w:p>
    <w:p>
      <w:pPr>
        <w:topLinePunct/>
        <w:ind w:firstLine="594"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三</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其他民政事务管理：</w:t>
      </w:r>
      <w:r>
        <w:rPr>
          <w:rFonts w:hint="eastAsia" w:ascii="仿宋_GB2312" w:hAnsi="宋体"/>
          <w:color w:val="000000" w:themeColor="text1"/>
          <w:sz w:val="32"/>
          <w:szCs w:val="32"/>
          <w:lang w:eastAsia="zh-CN"/>
          <w14:textFill>
            <w14:solidFill>
              <w14:schemeClr w14:val="tx1"/>
            </w14:solidFill>
          </w14:textFill>
        </w:rPr>
        <w:t>呈贡区民政</w:t>
      </w:r>
      <w:r>
        <w:rPr>
          <w:rFonts w:hint="eastAsia" w:ascii="仿宋_GB2312" w:hAnsi="宋体" w:eastAsia="仿宋_GB2312"/>
          <w:color w:val="000000" w:themeColor="text1"/>
          <w:sz w:val="32"/>
          <w:szCs w:val="32"/>
          <w14:textFill>
            <w14:solidFill>
              <w14:schemeClr w14:val="tx1"/>
            </w14:solidFill>
          </w14:textFill>
        </w:rPr>
        <w:t>局办公室</w:t>
      </w:r>
      <w:r>
        <w:rPr>
          <w:rFonts w:hint="eastAsia" w:ascii="仿宋_GB2312" w:hAnsi="宋体"/>
          <w:color w:val="000000" w:themeColor="text1"/>
          <w:sz w:val="32"/>
          <w:szCs w:val="32"/>
          <w:lang w:val="en-US" w:eastAsia="zh-CN"/>
          <w14:textFill>
            <w14:solidFill>
              <w14:schemeClr w14:val="tx1"/>
            </w14:solidFill>
          </w14:textFill>
        </w:rPr>
        <w:t>2023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color w:val="000000" w:themeColor="text1"/>
          <w:sz w:val="32"/>
          <w:szCs w:val="32"/>
          <w:lang w:eastAsia="zh-CN"/>
          <w14:textFill>
            <w14:solidFill>
              <w14:schemeClr w14:val="tx1"/>
            </w14:solidFill>
          </w14:textFill>
        </w:rPr>
        <w:t>社会救助岗和民政事务员</w:t>
      </w:r>
      <w:r>
        <w:rPr>
          <w:rFonts w:hint="eastAsia" w:ascii="仿宋_GB2312" w:hAnsi="宋体" w:eastAsia="仿宋_GB2312"/>
          <w:color w:val="000000" w:themeColor="text1"/>
          <w:sz w:val="32"/>
          <w:szCs w:val="32"/>
          <w14:textFill>
            <w14:solidFill>
              <w14:schemeClr w14:val="tx1"/>
            </w14:solidFill>
          </w14:textFill>
        </w:rPr>
        <w:t>预算项目</w:t>
      </w:r>
      <w:r>
        <w:rPr>
          <w:rFonts w:hint="eastAsia" w:ascii="仿宋_GB2312" w:hAnsi="宋体"/>
          <w:color w:val="000000" w:themeColor="text1"/>
          <w:sz w:val="32"/>
          <w:szCs w:val="32"/>
          <w:lang w:eastAsia="zh-CN"/>
          <w14:textFill>
            <w14:solidFill>
              <w14:schemeClr w14:val="tx1"/>
            </w14:solidFill>
          </w14:textFill>
        </w:rPr>
        <w:t>省级拨付资金</w:t>
      </w:r>
      <w:r>
        <w:rPr>
          <w:rFonts w:hint="eastAsia" w:ascii="仿宋_GB2312" w:hAnsi="宋体"/>
          <w:color w:val="000000" w:themeColor="text1"/>
          <w:sz w:val="32"/>
          <w:szCs w:val="32"/>
          <w:lang w:val="en-US" w:eastAsia="zh-CN"/>
          <w14:textFill>
            <w14:solidFill>
              <w14:schemeClr w14:val="tx1"/>
            </w14:solidFill>
          </w14:textFill>
        </w:rPr>
        <w:t>809600元，2023年使用65280元；省级</w:t>
      </w:r>
      <w:r>
        <w:rPr>
          <w:rFonts w:hint="eastAsia" w:ascii="仿宋_GB2312" w:hAnsi="宋体"/>
          <w:color w:val="000000" w:themeColor="text1"/>
          <w:sz w:val="32"/>
          <w:szCs w:val="32"/>
          <w:lang w:eastAsia="zh-CN"/>
          <w14:textFill>
            <w14:solidFill>
              <w14:schemeClr w14:val="tx1"/>
            </w14:solidFill>
          </w14:textFill>
        </w:rPr>
        <w:t>上年结转资金</w:t>
      </w:r>
      <w:r>
        <w:rPr>
          <w:rFonts w:hint="eastAsia" w:ascii="仿宋_GB2312" w:hAnsi="宋体"/>
          <w:color w:val="000000" w:themeColor="text1"/>
          <w:sz w:val="32"/>
          <w:szCs w:val="32"/>
          <w:lang w:val="en-US" w:eastAsia="zh-CN"/>
          <w14:textFill>
            <w14:solidFill>
              <w14:schemeClr w14:val="tx1"/>
            </w14:solidFill>
          </w14:textFill>
        </w:rPr>
        <w:t>241276元，2023年使用241276元；市级上年结转资金156000元，2023年已全部使用； 区级拨付资金共1048512元（其中大渔街道21600元、马金铺街道74800元、区民政局及</w:t>
      </w:r>
      <w:r>
        <w:rPr>
          <w:rFonts w:hint="eastAsia" w:ascii="仿宋_GB2312" w:hAnsi="仿宋_GB2312" w:eastAsia="仿宋_GB2312" w:cs="仿宋_GB2312"/>
          <w:sz w:val="32"/>
          <w:szCs w:val="32"/>
          <w:lang w:eastAsia="zh-CN"/>
        </w:rPr>
        <w:t>龙城街道、吴家营街道、乌龙街道、雨花街道、洛龙街道、斗南街道</w:t>
      </w:r>
      <w:r>
        <w:rPr>
          <w:rFonts w:hint="eastAsia" w:ascii="仿宋_GB2312" w:hAnsi="宋体"/>
          <w:color w:val="000000" w:themeColor="text1"/>
          <w:sz w:val="32"/>
          <w:szCs w:val="32"/>
          <w:lang w:val="en-US" w:eastAsia="zh-CN"/>
          <w14:textFill>
            <w14:solidFill>
              <w14:schemeClr w14:val="tx1"/>
            </w14:solidFill>
          </w14:textFill>
        </w:rPr>
        <w:t>六个街道共952112元），2023年使用650112元（其中大渔街道21600元、马金铺街道74800元、区民政局及其他六个街道共553712元）；阳宗海管委会拨付综合业务委托待办工作经费3万元，2023年使用12631.93元，结余资金结转下年。</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（一）严格按照《中共昆明市呈贡区基层党组织建设工作经费使用管理规定》使用党建工作经费。</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（二）</w:t>
      </w:r>
      <w:r>
        <w:rPr>
          <w:rFonts w:hint="eastAsia" w:ascii="仿宋_GB2312" w:hAnsi="宋体"/>
          <w:sz w:val="32"/>
          <w:szCs w:val="32"/>
          <w:lang w:val="en-US" w:eastAsia="zh-CN"/>
        </w:rPr>
        <w:t>2022年呈贡区民政</w:t>
      </w:r>
      <w:r>
        <w:rPr>
          <w:rFonts w:hint="eastAsia" w:ascii="仿宋_GB2312" w:hAnsi="宋体" w:eastAsia="仿宋_GB2312"/>
          <w:sz w:val="32"/>
          <w:szCs w:val="32"/>
        </w:rPr>
        <w:t>局办公室已</w:t>
      </w:r>
      <w:r>
        <w:rPr>
          <w:rFonts w:hint="eastAsia" w:ascii="仿宋_GB2312" w:hAnsi="宋体"/>
          <w:sz w:val="32"/>
          <w:szCs w:val="32"/>
          <w:lang w:eastAsia="zh-CN"/>
        </w:rPr>
        <w:t>按照政府购买服务程序委托云南华瑞信会计师事务所开展固定资产核查，约定合同金额为</w:t>
      </w:r>
      <w:r>
        <w:rPr>
          <w:rFonts w:hint="eastAsia" w:ascii="仿宋_GB2312" w:hAnsi="宋体"/>
          <w:sz w:val="32"/>
          <w:szCs w:val="32"/>
          <w:lang w:val="en-US" w:eastAsia="zh-CN"/>
        </w:rPr>
        <w:t>29000元，合同已签订，固定资产核查已基本完成，但因资金材料审核未通过，相关经费于2023年支付。</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（三</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宋体"/>
          <w:color w:val="000000" w:themeColor="text1"/>
          <w:sz w:val="32"/>
          <w:szCs w:val="32"/>
          <w:lang w:val="en-US" w:eastAsia="zh-CN"/>
          <w14:textFill>
            <w14:solidFill>
              <w14:schemeClr w14:val="tx1"/>
            </w14:solidFill>
          </w14:textFill>
        </w:rPr>
        <w:t>2023年</w:t>
      </w:r>
      <w:r>
        <w:rPr>
          <w:rFonts w:hint="eastAsia" w:ascii="仿宋_GB2312" w:hAnsi="宋体" w:eastAsia="仿宋_GB2312"/>
          <w:color w:val="000000" w:themeColor="text1"/>
          <w:sz w:val="32"/>
          <w:szCs w:val="32"/>
          <w14:textFill>
            <w14:solidFill>
              <w14:schemeClr w14:val="tx1"/>
            </w14:solidFill>
          </w14:textFill>
        </w:rPr>
        <w:t>局办公室已按计划</w:t>
      </w:r>
      <w:r>
        <w:rPr>
          <w:rFonts w:hint="eastAsia" w:ascii="仿宋_GB2312" w:hAnsi="宋体"/>
          <w:color w:val="000000" w:themeColor="text1"/>
          <w:sz w:val="32"/>
          <w:szCs w:val="32"/>
          <w:lang w:eastAsia="zh-CN"/>
          <w14:textFill>
            <w14:solidFill>
              <w14:schemeClr w14:val="tx1"/>
            </w14:solidFill>
          </w14:textFill>
        </w:rPr>
        <w:t>将</w:t>
      </w:r>
      <w:r>
        <w:rPr>
          <w:rFonts w:hint="eastAsia" w:ascii="仿宋_GB2312" w:hAnsi="宋体"/>
          <w:color w:val="000000" w:themeColor="text1"/>
          <w:sz w:val="32"/>
          <w:szCs w:val="32"/>
          <w:lang w:val="en-US" w:eastAsia="zh-CN"/>
          <w14:textFill>
            <w14:solidFill>
              <w14:schemeClr w14:val="tx1"/>
            </w14:solidFill>
          </w14:textFill>
        </w:rPr>
        <w:t>2023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color w:val="000000" w:themeColor="text1"/>
          <w:sz w:val="32"/>
          <w:szCs w:val="32"/>
          <w:lang w:eastAsia="zh-CN"/>
          <w14:textFill>
            <w14:solidFill>
              <w14:schemeClr w14:val="tx1"/>
            </w14:solidFill>
          </w14:textFill>
        </w:rPr>
        <w:t>社会救助岗和民政事务员工资拨付</w:t>
      </w:r>
      <w:r>
        <w:rPr>
          <w:rFonts w:hint="eastAsia" w:ascii="仿宋_GB2312" w:hAnsi="宋体"/>
          <w:color w:val="000000" w:themeColor="text1"/>
          <w:sz w:val="32"/>
          <w:szCs w:val="32"/>
          <w:lang w:val="en-US" w:eastAsia="zh-CN"/>
          <w14:textFill>
            <w14:solidFill>
              <w14:schemeClr w14:val="tx1"/>
            </w14:solidFill>
          </w14:textFill>
        </w:rPr>
        <w:t>1125299.93元。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（一）严格按照《中共昆明市呈贡区基层党组织建设工作经费使用管理规定》使用党建工作经费。</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（二）</w:t>
      </w:r>
      <w:r>
        <w:rPr>
          <w:rFonts w:hint="eastAsia" w:ascii="仿宋_GB2312" w:hAnsi="仿宋_GB2312" w:eastAsia="仿宋_GB2312"/>
          <w:sz w:val="32"/>
        </w:rPr>
        <w:t>严格按照标准</w:t>
      </w:r>
      <w:r>
        <w:rPr>
          <w:rFonts w:hint="eastAsia" w:ascii="仿宋_GB2312" w:hAnsi="仿宋_GB2312" w:eastAsia="仿宋_GB2312"/>
          <w:sz w:val="32"/>
          <w:lang w:eastAsia="zh-CN"/>
        </w:rPr>
        <w:t>拨付</w:t>
      </w:r>
      <w:r>
        <w:rPr>
          <w:rFonts w:hint="eastAsia" w:ascii="仿宋_GB2312" w:hAnsi="仿宋_GB2312"/>
          <w:sz w:val="32"/>
          <w:lang w:eastAsia="zh-CN"/>
        </w:rPr>
        <w:t>固定资产清理相关</w:t>
      </w:r>
      <w:r>
        <w:rPr>
          <w:rFonts w:hint="eastAsia" w:ascii="仿宋_GB2312" w:hAnsi="仿宋_GB2312" w:eastAsia="仿宋_GB2312"/>
          <w:sz w:val="32"/>
          <w:lang w:eastAsia="zh-CN"/>
        </w:rPr>
        <w:t>资金。</w:t>
      </w:r>
      <w:r>
        <w:rPr>
          <w:rFonts w:hint="eastAsia" w:ascii="仿宋_GB2312" w:hAnsi="仿宋_GB2312" w:eastAsia="仿宋_GB2312"/>
          <w:sz w:val="32"/>
          <w:szCs w:val="32"/>
        </w:rPr>
        <w:t>严格按照财务制度的规定对日常财务收支进行把关，认真按照上级部门要求上报使用情况。严格按照资金的用途使用</w:t>
      </w:r>
      <w:r>
        <w:rPr>
          <w:rFonts w:hint="eastAsia" w:ascii="仿宋_GB2312" w:hAnsi="仿宋_GB2312"/>
          <w:sz w:val="32"/>
          <w:szCs w:val="32"/>
          <w:lang w:eastAsia="zh-CN"/>
        </w:rPr>
        <w:t>，</w:t>
      </w:r>
      <w:r>
        <w:rPr>
          <w:rFonts w:hint="eastAsia" w:ascii="仿宋_GB2312" w:hAnsi="仿宋_GB2312" w:eastAsia="仿宋_GB2312"/>
          <w:sz w:val="32"/>
          <w:szCs w:val="32"/>
        </w:rPr>
        <w:t>不挤占、不挪用，保证专款专用，做到账实相符，账目清楚，未出现违规、违纪情况。</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cs="仿宋_GB2312"/>
          <w:szCs w:val="32"/>
          <w:lang w:eastAsia="zh-CN"/>
        </w:rPr>
        <w:t>（三）</w:t>
      </w:r>
      <w:r>
        <w:rPr>
          <w:rFonts w:hint="eastAsia" w:ascii="仿宋_GB2312" w:hAnsi="仿宋_GB2312" w:eastAsia="仿宋_GB2312" w:cs="仿宋_GB2312"/>
          <w:sz w:val="32"/>
          <w:szCs w:val="32"/>
          <w:lang w:val="en-US" w:eastAsia="zh-CN"/>
        </w:rPr>
        <w:t>按照相关标准定期发放1月至12月</w:t>
      </w:r>
      <w:r>
        <w:rPr>
          <w:rFonts w:hint="eastAsia" w:ascii="仿宋_GB2312" w:hAnsi="仿宋_GB2312" w:eastAsia="仿宋_GB2312" w:cs="仿宋_GB2312"/>
          <w:sz w:val="32"/>
          <w:szCs w:val="32"/>
          <w:lang w:eastAsia="zh-CN"/>
        </w:rPr>
        <w:t>呈贡区民政局、龙城街道、吴家营街道、乌龙街道、雨花街道、洛龙街道、斗南街道</w:t>
      </w:r>
      <w:r>
        <w:rPr>
          <w:rFonts w:hint="eastAsia" w:ascii="仿宋_GB2312" w:hAnsi="仿宋_GB2312" w:cs="仿宋_GB2312"/>
          <w:sz w:val="32"/>
          <w:szCs w:val="32"/>
          <w:lang w:eastAsia="zh-CN"/>
        </w:rPr>
        <w:t>、大渔街道、马金铺街道</w:t>
      </w:r>
      <w:r>
        <w:rPr>
          <w:rFonts w:hint="eastAsia" w:ascii="仿宋_GB2312" w:hAnsi="仿宋_GB2312" w:eastAsia="仿宋_GB2312" w:cs="仿宋_GB2312"/>
          <w:sz w:val="32"/>
          <w:szCs w:val="32"/>
          <w:lang w:eastAsia="zh-CN"/>
        </w:rPr>
        <w:t>社会救助岗、社区社会事务员工资。</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ind w:firstLine="594" w:firstLineChars="200"/>
        <w:outlineLvl w:val="0"/>
        <w:rPr>
          <w:rFonts w:hint="eastAsia" w:ascii="仿宋_GB2312"/>
          <w:szCs w:val="32"/>
        </w:rPr>
      </w:pPr>
      <w:r>
        <w:rPr>
          <w:rFonts w:ascii="仿宋_GB2312"/>
          <w:szCs w:val="32"/>
        </w:rPr>
        <w:t>1.</w:t>
      </w:r>
      <w:r>
        <w:rPr>
          <w:rFonts w:hint="eastAsia" w:ascii="仿宋_GB2312"/>
          <w:szCs w:val="32"/>
        </w:rPr>
        <w:t>项目经济性分析。</w:t>
      </w:r>
      <w:r>
        <w:rPr>
          <w:rFonts w:hint="eastAsia" w:ascii="仿宋_GB2312"/>
          <w:szCs w:val="32"/>
          <w:lang w:eastAsia="zh-CN"/>
        </w:rPr>
        <w:t>项目经费全额支出，有部分结余；</w:t>
      </w:r>
    </w:p>
    <w:p>
      <w:pPr>
        <w:ind w:firstLine="594" w:firstLineChars="200"/>
        <w:outlineLvl w:val="0"/>
        <w:rPr>
          <w:rFonts w:hint="eastAsia" w:ascii="仿宋_GB2312"/>
          <w:szCs w:val="32"/>
        </w:rPr>
      </w:pPr>
      <w:r>
        <w:rPr>
          <w:rFonts w:ascii="仿宋_GB2312"/>
          <w:szCs w:val="32"/>
        </w:rPr>
        <w:t>2.</w:t>
      </w:r>
      <w:r>
        <w:rPr>
          <w:rFonts w:hint="eastAsia" w:ascii="仿宋_GB2312"/>
          <w:szCs w:val="32"/>
        </w:rPr>
        <w:t>项目的效率性分析。项目依计划实施，达到预期效果。</w:t>
      </w:r>
    </w:p>
    <w:p>
      <w:pPr>
        <w:ind w:firstLine="594" w:firstLineChars="200"/>
        <w:outlineLvl w:val="0"/>
        <w:rPr>
          <w:rFonts w:ascii="仿宋_GB2312"/>
          <w:szCs w:val="32"/>
        </w:rPr>
      </w:pPr>
      <w:r>
        <w:rPr>
          <w:rFonts w:ascii="仿宋_GB2312"/>
          <w:szCs w:val="32"/>
        </w:rPr>
        <w:t>3.</w:t>
      </w:r>
      <w:r>
        <w:rPr>
          <w:rFonts w:hint="eastAsia" w:ascii="仿宋_GB2312"/>
          <w:szCs w:val="32"/>
        </w:rPr>
        <w:t>项目的效益性分析。</w:t>
      </w:r>
      <w:r>
        <w:rPr>
          <w:rFonts w:hint="eastAsia" w:ascii="仿宋_GB2312"/>
          <w:szCs w:val="32"/>
          <w:lang w:eastAsia="zh-CN"/>
        </w:rPr>
        <w:t>一是有效实现了党建工作的正常运转，有助于充分发挥党建引领作用。二是有助于规范民政局资产</w:t>
      </w:r>
      <w:r>
        <w:rPr>
          <w:rFonts w:hint="eastAsia" w:ascii="仿宋_GB2312"/>
          <w:szCs w:val="32"/>
        </w:rPr>
        <w:t>管理，</w:t>
      </w:r>
      <w:r>
        <w:rPr>
          <w:rFonts w:hint="eastAsia" w:ascii="仿宋_GB2312" w:hAnsi="仿宋_GB2312"/>
          <w:sz w:val="32"/>
          <w:szCs w:val="32"/>
          <w:lang w:val="en-US" w:eastAsia="zh-CN"/>
        </w:rPr>
        <w:t>摸清资产底数，</w:t>
      </w:r>
      <w:r>
        <w:rPr>
          <w:rFonts w:hint="eastAsia" w:ascii="仿宋_GB2312"/>
          <w:szCs w:val="32"/>
          <w:lang w:eastAsia="zh-CN"/>
        </w:rPr>
        <w:t>确保账实相符，</w:t>
      </w:r>
      <w:r>
        <w:rPr>
          <w:rFonts w:hint="eastAsia" w:ascii="仿宋_GB2312" w:hAnsi="仿宋_GB2312"/>
          <w:sz w:val="32"/>
          <w:szCs w:val="32"/>
          <w:lang w:val="en-US" w:eastAsia="zh-CN"/>
        </w:rPr>
        <w:t>避免资产流失</w:t>
      </w:r>
      <w:r>
        <w:rPr>
          <w:rFonts w:hint="eastAsia" w:ascii="仿宋_GB2312"/>
          <w:szCs w:val="32"/>
          <w:highlight w:val="none"/>
          <w:lang w:val="en-US" w:eastAsia="zh-CN"/>
        </w:rPr>
        <w:t>。三是</w:t>
      </w:r>
      <w:r>
        <w:rPr>
          <w:rFonts w:hint="eastAsia" w:ascii="仿宋_GB2312"/>
          <w:szCs w:val="32"/>
        </w:rPr>
        <w:t>解决了基层社会救助力量不足的突出问题，进一步转变政府职能，推广和规范政府购买服务，确保事有人干、责有人负，发挥好社会救助在维护社会和谐稳定中的积极作用</w:t>
      </w:r>
      <w:r>
        <w:rPr>
          <w:rFonts w:hint="eastAsia" w:ascii="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pPr>
      <w:r>
        <w:rPr>
          <w:rFonts w:hint="eastAsia"/>
        </w:rPr>
        <w:t>无。</w:t>
      </w:r>
    </w:p>
    <w:p>
      <w:pPr>
        <w:ind w:firstLine="594" w:firstLineChars="200"/>
        <w:rPr>
          <w:rFonts w:ascii="仿宋_GB2312"/>
          <w:szCs w:val="32"/>
        </w:rPr>
      </w:pPr>
      <w:r>
        <w:rPr>
          <w:rFonts w:hint="eastAsia"/>
          <w:lang w:val="en-US" w:eastAsia="zh-CN"/>
        </w:rPr>
        <w:t>2023年度项目支出绩效自评分</w:t>
      </w:r>
      <w:r>
        <w:rPr>
          <w:rFonts w:hint="eastAsia"/>
        </w:rPr>
        <w:t>为100分。</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54B723A4"/>
    <w:rsid w:val="5A3C6978"/>
    <w:rsid w:val="67600811"/>
    <w:rsid w:val="78F7AF87"/>
    <w:rsid w:val="7AA469C2"/>
    <w:rsid w:val="FB7F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Administrator</cp:lastModifiedBy>
  <dcterms:modified xsi:type="dcterms:W3CDTF">2024-02-26T03:51:47Z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