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昆明市呈贡区司法局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项目支出绩效报告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（自评）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（200万元以下的项目）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（一）项目基本情况</w:t>
      </w:r>
      <w:r>
        <w:rPr>
          <w:rFonts w:hint="eastAsia" w:ascii="仿宋_GB2312"/>
          <w:szCs w:val="32"/>
        </w:rPr>
        <w:t>简介，包括项目基本性质、用途和主要内容、涉及范围等。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highlight w:val="none"/>
        </w:rPr>
        <w:t>根据要求，绩效评价对象为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2023</w:t>
      </w:r>
      <w:r>
        <w:rPr>
          <w:rFonts w:hint="default" w:ascii="Times New Roman" w:hAnsi="Times New Roman" w:cs="Times New Roman"/>
          <w:szCs w:val="32"/>
          <w:highlight w:val="none"/>
        </w:rPr>
        <w:t>年财政预算支出200万元以下的每个项目，按项目类别、属性合并</w:t>
      </w:r>
      <w:r>
        <w:rPr>
          <w:rFonts w:hint="default" w:ascii="Times New Roman" w:hAnsi="Times New Roman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评价。</w:t>
      </w:r>
      <w:r>
        <w:rPr>
          <w:rFonts w:hint="default" w:ascii="Times New Roman" w:hAnsi="Times New Roman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default" w:ascii="Times New Roman" w:hAnsi="Times New Roman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年，我局无单项在200万元以上的项目，单项200万元以下的项目</w:t>
      </w:r>
      <w:r>
        <w:rPr>
          <w:rFonts w:hint="default" w:ascii="Times New Roman" w:hAnsi="Times New Roman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Times New Roman" w:hAnsi="Times New Roman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个，年初预算项目资金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val="en-US" w:eastAsia="zh-CN"/>
        </w:rPr>
        <w:t>118万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元</w:t>
      </w:r>
      <w:r>
        <w:rPr>
          <w:rFonts w:hint="default" w:ascii="Times New Roman" w:hAnsi="Times New Roman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调整预算资金（含中央转移支付资金）</w:t>
      </w:r>
      <w:r>
        <w:rPr>
          <w:rFonts w:hint="default" w:ascii="Times New Roman" w:hAnsi="Times New Roman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290.15</w:t>
      </w:r>
      <w:r>
        <w:rPr>
          <w:rFonts w:hint="default" w:ascii="Times New Roman" w:hAnsi="Times New Roman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万元，实际支出</w:t>
      </w:r>
      <w:r>
        <w:rPr>
          <w:rFonts w:hint="default" w:ascii="Times New Roman" w:hAnsi="Times New Roman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290.15</w:t>
      </w:r>
      <w:r>
        <w:rPr>
          <w:rFonts w:hint="default" w:ascii="Times New Roman" w:hAnsi="Times New Roman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万元，执行率100%。其中区级财政安排资金项目</w:t>
      </w:r>
      <w:r>
        <w:rPr>
          <w:rFonts w:hint="eastAsia" w:ascii="Times New Roman" w:hAnsi="Times New Roman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个，资来源共计</w:t>
      </w:r>
      <w:r>
        <w:rPr>
          <w:rFonts w:hint="eastAsia" w:ascii="Times New Roman" w:hAnsi="Times New Roman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113</w:t>
      </w:r>
      <w:r>
        <w:rPr>
          <w:rFonts w:hint="default" w:ascii="Times New Roman" w:hAnsi="Times New Roman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万元，实际支出</w:t>
      </w:r>
      <w:r>
        <w:rPr>
          <w:rFonts w:hint="eastAsia" w:ascii="Times New Roman" w:hAnsi="Times New Roman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113</w:t>
      </w:r>
      <w:r>
        <w:rPr>
          <w:rFonts w:hint="default" w:ascii="Times New Roman" w:hAnsi="Times New Roman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万元，执行率</w:t>
      </w:r>
      <w:r>
        <w:rPr>
          <w:rFonts w:hint="eastAsia" w:ascii="Times New Roman" w:hAnsi="Times New Roman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default" w:ascii="Times New Roman" w:hAnsi="Times New Roman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%；上对下专项转移支付资金项目</w:t>
      </w:r>
      <w:r>
        <w:rPr>
          <w:rFonts w:hint="eastAsia" w:ascii="Times New Roman" w:hAnsi="Times New Roman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个，资金来源共计</w:t>
      </w:r>
      <w:r>
        <w:rPr>
          <w:rFonts w:hint="eastAsia" w:ascii="Times New Roman" w:hAnsi="Times New Roman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177.15</w:t>
      </w:r>
      <w:r>
        <w:rPr>
          <w:rFonts w:hint="default" w:ascii="Times New Roman" w:hAnsi="Times New Roman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万元，实际支出</w:t>
      </w:r>
      <w:r>
        <w:rPr>
          <w:rFonts w:hint="eastAsia" w:ascii="Times New Roman" w:hAnsi="Times New Roman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177.15</w:t>
      </w:r>
      <w:r>
        <w:rPr>
          <w:rFonts w:hint="default" w:ascii="Times New Roman" w:hAnsi="Times New Roman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万元，执行率</w:t>
      </w:r>
      <w:r>
        <w:rPr>
          <w:rFonts w:hint="default" w:ascii="Times New Roman" w:hAnsi="Times New Roman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default" w:ascii="Times New Roman" w:hAnsi="Times New Roman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绩效目标设定及指标完成情况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呈贡区司法局绩效目标是按规定用途使用各专项经费</w:t>
      </w:r>
      <w:r>
        <w:rPr>
          <w:rFonts w:hint="eastAsia" w:ascii="仿宋_GB2312"/>
          <w:szCs w:val="32"/>
          <w:highlight w:val="none"/>
        </w:rPr>
        <w:t>，保障司法行政机关及</w:t>
      </w:r>
      <w:r>
        <w:rPr>
          <w:rFonts w:hint="eastAsia" w:ascii="仿宋_GB2312"/>
          <w:szCs w:val="32"/>
          <w:highlight w:val="none"/>
          <w:lang w:val="en-US" w:eastAsia="zh-CN"/>
        </w:rPr>
        <w:t>7</w:t>
      </w:r>
      <w:r>
        <w:rPr>
          <w:rFonts w:hint="eastAsia" w:ascii="仿宋_GB2312"/>
          <w:szCs w:val="32"/>
          <w:highlight w:val="none"/>
        </w:rPr>
        <w:t>个司法所普法宣传、人民调解、法律援助、社区矫正、公证律师、依法行政指导监督、依法治区等各项业务工作开展</w:t>
      </w:r>
      <w:r>
        <w:rPr>
          <w:rFonts w:hint="eastAsia" w:ascii="仿宋_GB2312"/>
          <w:szCs w:val="32"/>
          <w:highlight w:val="none"/>
          <w:lang w:eastAsia="zh-CN"/>
        </w:rPr>
        <w:t>，年底完成项目支付。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</w:rPr>
        <w:t>项目资金（包括公共财政预算资金、政府性基金、财政专户资金、自筹资金等）安排落实、总投入等情况分析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Cs w:val="32"/>
        </w:rPr>
        <w:t>项目资金（主要是指财政</w:t>
      </w:r>
      <w:r>
        <w:rPr>
          <w:rFonts w:hint="eastAsia" w:ascii="仿宋_GB2312" w:hAnsi="仿宋_GB2312" w:cs="仿宋_GB2312"/>
          <w:szCs w:val="32"/>
          <w:lang w:eastAsia="zh-CN"/>
        </w:rPr>
        <w:t>拨款</w:t>
      </w:r>
      <w:r>
        <w:rPr>
          <w:rFonts w:hint="eastAsia" w:ascii="仿宋_GB2312" w:hAnsi="仿宋_GB2312" w:eastAsia="仿宋_GB2312" w:cs="仿宋_GB2312"/>
          <w:szCs w:val="32"/>
        </w:rPr>
        <w:t>）实际使用情况分析。</w:t>
      </w:r>
      <w:r>
        <w:rPr>
          <w:rFonts w:hint="eastAsia" w:ascii="仿宋_GB2312" w:hAnsi="仿宋_GB2312" w:cs="仿宋_GB2312"/>
          <w:szCs w:val="32"/>
          <w:lang w:eastAsia="zh-CN"/>
        </w:rPr>
        <w:t>项目资金管理情况（包括管理制度、办法的制订及执行情况）分析。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楷体_GB2312" w:hAnsi="楷体_GB2312" w:eastAsia="楷体_GB2312" w:cs="楷体_GB231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Cs w:val="32"/>
          <w:highlight w:val="none"/>
        </w:rPr>
        <w:t>（一）项目资金情况分析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1.项目资金到位情况分析：预算支出200万元以下的项目有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cs="Times New Roman"/>
          <w:szCs w:val="32"/>
          <w:highlight w:val="none"/>
        </w:rPr>
        <w:t>个，合计金额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290.15</w:t>
      </w:r>
      <w:r>
        <w:rPr>
          <w:rFonts w:hint="default" w:ascii="Times New Roman" w:hAnsi="Times New Roman" w:cs="Times New Roman"/>
          <w:szCs w:val="32"/>
          <w:highlight w:val="none"/>
        </w:rPr>
        <w:t>万元，所有经费均是财政预算资金，是一年完成项目，各项资金总计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290.15</w:t>
      </w:r>
      <w:r>
        <w:rPr>
          <w:rFonts w:hint="default" w:ascii="Times New Roman" w:hAnsi="Times New Roman" w:cs="Times New Roman"/>
          <w:szCs w:val="32"/>
          <w:highlight w:val="none"/>
        </w:rPr>
        <w:t>万元全部到位，资金到位率为100%。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2.项目资金使用情况分析：200万元以下的项目经费共计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290.15</w:t>
      </w:r>
      <w:r>
        <w:rPr>
          <w:rFonts w:hint="default" w:ascii="Times New Roman" w:hAnsi="Times New Roman" w:cs="Times New Roman"/>
          <w:szCs w:val="32"/>
          <w:highlight w:val="none"/>
        </w:rPr>
        <w:t>万元，支出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290.15</w:t>
      </w:r>
      <w:r>
        <w:rPr>
          <w:rFonts w:hint="default" w:ascii="Times New Roman" w:hAnsi="Times New Roman" w:cs="Times New Roman"/>
          <w:szCs w:val="32"/>
          <w:highlight w:val="none"/>
        </w:rPr>
        <w:t>万元，总体执行率100%。各专项经费具体使用情况如下：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cs="Times New Roman"/>
          <w:b/>
          <w:bCs/>
          <w:szCs w:val="32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szCs w:val="32"/>
          <w:highlight w:val="none"/>
        </w:rPr>
        <w:t>（1）区级财政安排资金项目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 w:firstLine="594" w:firstLineChars="200"/>
        <w:jc w:val="both"/>
        <w:textAlignment w:val="auto"/>
        <w:rPr>
          <w:rFonts w:hint="default" w:ascii="Times New Roman" w:hAnsi="Times New Roman" w:eastAsia="MS Gothic" w:cs="Times New Roman"/>
          <w:szCs w:val="32"/>
          <w:highlight w:val="none"/>
        </w:rPr>
      </w:pPr>
      <w:r>
        <w:rPr>
          <w:rFonts w:hint="default" w:ascii="Times New Roman" w:hAnsi="Times New Roman" w:eastAsia="MS Gothic" w:cs="Times New Roman"/>
          <w:szCs w:val="32"/>
          <w:highlight w:val="none"/>
        </w:rPr>
        <w:t>①</w:t>
      </w:r>
      <w:r>
        <w:rPr>
          <w:rFonts w:hint="default" w:ascii="Times New Roman" w:hAnsi="Times New Roman" w:cs="Times New Roman"/>
          <w:szCs w:val="32"/>
          <w:highlight w:val="none"/>
        </w:rPr>
        <w:t>办案业务经费（基层）支出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cs="Times New Roman"/>
          <w:szCs w:val="32"/>
          <w:highlight w:val="none"/>
        </w:rPr>
        <w:t>万元，用于普法宣传、法律援助、司法所等基层业务支出；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MS Gothic" w:cs="Times New Roman"/>
          <w:szCs w:val="32"/>
          <w:highlight w:val="none"/>
        </w:rPr>
        <w:t>②</w:t>
      </w:r>
      <w:r>
        <w:rPr>
          <w:rFonts w:hint="default" w:ascii="Times New Roman" w:hAnsi="Times New Roman" w:cs="Times New Roman"/>
          <w:szCs w:val="32"/>
          <w:highlight w:val="none"/>
        </w:rPr>
        <w:t>呈贡区社区矫正和刑释帮教中心2023年工作运行经费支出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  <w:highlight w:val="none"/>
        </w:rPr>
        <w:t>万元，用于社区矫正及刑释人员劳动场地管养及日常运行支出；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MS Gothic" w:cs="Times New Roman"/>
          <w:szCs w:val="32"/>
          <w:highlight w:val="none"/>
        </w:rPr>
        <w:t>③</w:t>
      </w:r>
      <w:r>
        <w:rPr>
          <w:rFonts w:hint="default" w:ascii="Times New Roman" w:hAnsi="Times New Roman" w:cs="Times New Roman"/>
          <w:szCs w:val="32"/>
          <w:highlight w:val="none"/>
        </w:rPr>
        <w:t>法律顾问费支出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40</w:t>
      </w:r>
      <w:r>
        <w:rPr>
          <w:rFonts w:hint="default" w:ascii="Times New Roman" w:hAnsi="Times New Roman" w:cs="Times New Roman"/>
          <w:szCs w:val="32"/>
          <w:highlight w:val="none"/>
        </w:rPr>
        <w:t>万元，用于支付区委、区政府聘请法律顾问支出；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MS Gothic" w:cs="Times New Roman"/>
          <w:szCs w:val="32"/>
          <w:highlight w:val="none"/>
        </w:rPr>
        <w:t>④</w:t>
      </w:r>
      <w:r>
        <w:rPr>
          <w:rFonts w:hint="default" w:ascii="Times New Roman" w:hAnsi="Times New Roman" w:cs="Times New Roman"/>
          <w:szCs w:val="32"/>
          <w:highlight w:val="none"/>
        </w:rPr>
        <w:t>度假区（大渔片区）移交呈贡区社会事务经费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支出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24万元，</w:t>
      </w:r>
      <w:r>
        <w:rPr>
          <w:rFonts w:hint="default" w:ascii="Times New Roman" w:hAnsi="Times New Roman" w:cs="Times New Roman"/>
          <w:szCs w:val="32"/>
          <w:highlight w:val="none"/>
        </w:rPr>
        <w:t>用于度假区（大渔片区）司法所司法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社区矫正工作者工资支出及日常办公经费</w:t>
      </w:r>
      <w:r>
        <w:rPr>
          <w:rFonts w:hint="default" w:ascii="Times New Roman" w:hAnsi="Times New Roman" w:cs="Times New Roman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MS Gothic" w:cs="Times New Roman"/>
          <w:szCs w:val="32"/>
          <w:highlight w:val="none"/>
        </w:rPr>
        <w:t>⑤</w:t>
      </w:r>
      <w:r>
        <w:rPr>
          <w:rFonts w:hint="default" w:ascii="Times New Roman" w:hAnsi="Times New Roman" w:cs="Times New Roman"/>
          <w:szCs w:val="32"/>
          <w:highlight w:val="none"/>
        </w:rPr>
        <w:t>呈贡区智慧矫正中心创建经费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支出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18万元，用于社区矫正中心智慧化建设</w:t>
      </w:r>
      <w:r>
        <w:rPr>
          <w:rFonts w:hint="default" w:ascii="Times New Roman" w:hAnsi="Times New Roman" w:cs="Times New Roman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Cs w:val="32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szCs w:val="32"/>
          <w:highlight w:val="none"/>
        </w:rPr>
        <w:t>（2）专项转移支付项目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MS Gothic" w:cs="Times New Roman"/>
          <w:szCs w:val="32"/>
          <w:highlight w:val="none"/>
        </w:rPr>
        <w:t>①（</w:t>
      </w:r>
      <w:r>
        <w:rPr>
          <w:rFonts w:hint="default" w:ascii="Times New Roman" w:hAnsi="Times New Roman" w:cs="Times New Roman"/>
          <w:szCs w:val="32"/>
          <w:highlight w:val="none"/>
        </w:rPr>
        <w:t>结转2022年）县区人民调解以奖代补经费支出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13.47</w:t>
      </w:r>
      <w:r>
        <w:rPr>
          <w:rFonts w:hint="default" w:ascii="Times New Roman" w:hAnsi="Times New Roman" w:cs="Times New Roman"/>
          <w:szCs w:val="32"/>
          <w:highlight w:val="none"/>
        </w:rPr>
        <w:t>万元，用于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人民调解“以奖代补”案件补贴兑付</w:t>
      </w:r>
      <w:r>
        <w:rPr>
          <w:rFonts w:hint="default" w:ascii="Times New Roman" w:hAnsi="Times New Roman" w:cs="Times New Roman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  <w:highlight w:val="none"/>
          <w:lang w:eastAsia="zh-CN"/>
        </w:rPr>
      </w:pPr>
      <w:r>
        <w:rPr>
          <w:rFonts w:hint="default" w:ascii="Times New Roman" w:hAnsi="Times New Roman" w:eastAsia="MS Gothic" w:cs="Times New Roman"/>
          <w:szCs w:val="32"/>
          <w:highlight w:val="none"/>
        </w:rPr>
        <w:t>②</w:t>
      </w:r>
      <w:r>
        <w:rPr>
          <w:rFonts w:hint="default" w:ascii="Times New Roman" w:hAnsi="Times New Roman" w:cs="Times New Roman"/>
          <w:szCs w:val="32"/>
          <w:highlight w:val="none"/>
        </w:rPr>
        <w:t>下达省级2023年提前批次省对下司法专项资金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——</w:t>
      </w:r>
      <w:r>
        <w:rPr>
          <w:rFonts w:hint="default" w:ascii="Times New Roman" w:hAnsi="Times New Roman" w:cs="Times New Roman"/>
          <w:szCs w:val="32"/>
          <w:highlight w:val="none"/>
        </w:rPr>
        <w:t>法治文化广场建设资金支出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szCs w:val="32"/>
          <w:highlight w:val="none"/>
        </w:rPr>
        <w:t>万元，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用于法治文化广场建设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  <w:highlight w:val="none"/>
          <w:lang w:eastAsia="zh-CN"/>
        </w:rPr>
      </w:pPr>
      <w:r>
        <w:rPr>
          <w:rFonts w:hint="default" w:ascii="Times New Roman" w:hAnsi="Times New Roman" w:eastAsia="MS Gothic" w:cs="Times New Roman"/>
          <w:szCs w:val="32"/>
          <w:highlight w:val="none"/>
          <w:lang w:val="en-US" w:eastAsia="zh-CN"/>
        </w:rPr>
        <w:t>③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2023年省对下司法专项资金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——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法律援助办案补贴经费支出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2.03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万元，用于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支付法律援助案件补贴支出；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  <w:highlight w:val="none"/>
          <w:lang w:eastAsia="zh-CN"/>
        </w:rPr>
      </w:pPr>
      <w:r>
        <w:rPr>
          <w:rFonts w:hint="default" w:ascii="Times New Roman" w:hAnsi="Times New Roman" w:eastAsia="MS Gothic" w:cs="Times New Roman"/>
          <w:szCs w:val="32"/>
          <w:highlight w:val="none"/>
          <w:lang w:val="en-US" w:eastAsia="zh-CN"/>
        </w:rPr>
        <w:t>④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提前下达2023年中央政法纪检监察转移支付资金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——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办案业务经费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支出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16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万元，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用于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保障局机关及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个司法所办案业务经费和业务装备配备等经费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支出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MS Gothic" w:cs="Times New Roman"/>
          <w:szCs w:val="32"/>
          <w:highlight w:val="none"/>
          <w:lang w:val="en-US" w:eastAsia="zh-CN"/>
        </w:rPr>
        <w:t>⑤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2提前下达2023年中央政法纪检监察转移支付资金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——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普法宣传补助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经费支出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万元，用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于开展普法宣传教育工作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MS Gothic" w:cs="Times New Roman"/>
          <w:sz w:val="32"/>
          <w:szCs w:val="32"/>
          <w:lang w:val="en-US" w:eastAsia="zh-CN"/>
        </w:rPr>
        <w:t>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2023年省级司法行政系统政法纪检监察转移支付资金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——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办案业务经费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万元，用于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保障局机关及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个司法所办案业务经费和业务装备配备等经费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支出；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MS Gothic" w:cs="Times New Roman"/>
          <w:sz w:val="32"/>
          <w:szCs w:val="32"/>
          <w:lang w:val="en-US" w:eastAsia="zh-CN"/>
        </w:rPr>
        <w:t>⑦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提前下达2023年中央政法纪检监察转移支付资金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——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基本补助（普法强基补短板补助经费）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经费支出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万元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，用于拍摄普法宣传视频经费支出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  <w:highlight w:val="none"/>
          <w:lang w:eastAsia="zh-CN"/>
        </w:rPr>
      </w:pPr>
      <w:r>
        <w:rPr>
          <w:rFonts w:hint="default" w:ascii="Times New Roman" w:hAnsi="Times New Roman" w:eastAsia="MS Gothic" w:cs="Times New Roman"/>
          <w:szCs w:val="32"/>
          <w:highlight w:val="none"/>
        </w:rPr>
        <w:t>⑧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提前下达2023年省级政法纪检监察转移支付资金——办案业务经费8.53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万元，用于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保障局机关及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个司法所办案业务经费和业务装备配备等经费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支出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MS Gothic" w:hAnsi="MS Gothic" w:eastAsia="MS Gothic" w:cs="MS Gothic"/>
          <w:sz w:val="32"/>
          <w:szCs w:val="32"/>
          <w:lang w:val="en-US" w:eastAsia="zh-CN"/>
        </w:rPr>
        <w:t>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2023年司法行政系统中央政法纪检监察转移支付资金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——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法律援助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补助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经费支出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10.91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万元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用于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兑付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法律援助案件补贴支出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Times New Roman" w:hAnsi="Times New Roman" w:cs="Times New Roman"/>
          <w:szCs w:val="32"/>
          <w:highlight w:val="none"/>
          <w:lang w:val="en-US" w:eastAsia="zh-CN"/>
        </w:rPr>
      </w:pPr>
      <w:r>
        <w:rPr>
          <w:rFonts w:hint="eastAsia" w:ascii="MS Gothic" w:hAnsi="MS Gothic" w:eastAsia="MS Gothic" w:cs="MS Gothic"/>
          <w:szCs w:val="32"/>
          <w:highlight w:val="none"/>
          <w:lang w:eastAsia="zh-CN"/>
        </w:rPr>
        <w:t>⑩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（结转）2022年司法行政系统中央政法纪检监察转移支付资金重点业务经费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——公共法律服务补助经费支出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9.53万元，用于乡村法治通项目支出；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MS Gothic" w:hAnsi="MS Gothic" w:eastAsia="MS Gothic" w:cs="MS Gothic"/>
          <w:szCs w:val="32"/>
          <w:highlight w:val="none"/>
          <w:lang w:val="en-US" w:eastAsia="zh-CN"/>
        </w:rPr>
        <w:t>⑪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（结转2022年）对县区提前下达中央政法纪检监察转移支付补助资金——社区矫正监管经费支出20.68万元，用于社区矫正人员监管、教育支出；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MS Gothic" w:hAnsi="MS Gothic" w:eastAsia="MS Gothic" w:cs="MS Gothic"/>
          <w:sz w:val="32"/>
          <w:szCs w:val="32"/>
          <w:lang w:val="en-US" w:eastAsia="zh-CN"/>
        </w:rPr>
        <w:t>⑫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（结转2022年）下达各县区2022年司法行政系统省级政法纪检监察转移支付基本补助资金——办案业务经费支出0.81万元，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用于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保障局机关及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个司法所办案业务经费和业务装备配备等经费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支出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MS Gothic" w:hAnsi="MS Gothic" w:eastAsia="MS Gothic" w:cs="MS Gothic"/>
          <w:sz w:val="32"/>
          <w:szCs w:val="32"/>
          <w:lang w:val="en-US" w:eastAsia="zh-CN"/>
        </w:rPr>
        <w:t>⑬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2023年司法行政系统中央政法纪检监察转移支付资金——规范化司法所建设经费支出7.9万元，用于斗南司法所规范化建设支出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MS Gothic" w:hAnsi="MS Gothic" w:eastAsia="MS Gothic" w:cs="MS Gothic"/>
          <w:sz w:val="32"/>
          <w:szCs w:val="32"/>
          <w:lang w:val="en-US" w:eastAsia="zh-CN"/>
        </w:rPr>
        <w:t>⑭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提前下达2023年中央政法纪检监察转移支付资金——法律援助补助经费31.15万元，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用于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兑付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法律援助案件补贴支出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MS Gothic" w:hAnsi="MS Gothic" w:eastAsia="MS Gothic" w:cs="MS Gothic"/>
          <w:sz w:val="32"/>
          <w:szCs w:val="32"/>
          <w:lang w:val="en-US" w:eastAsia="zh-CN"/>
        </w:rPr>
        <w:t>⑮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提前下达2023年省级政法纪检监察转移支付资金——办案业务经费36.14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万元，用于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保障局机关及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个司法所办案业务经费和业务装备配备等经费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楷体_GB2312" w:hAnsi="楷体_GB2312" w:eastAsia="楷体_GB2312" w:cs="楷体_GB231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Cs w:val="32"/>
          <w:highlight w:val="none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Cs w:val="32"/>
          <w:highlight w:val="none"/>
        </w:rPr>
        <w:t>项目资金管理情况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本次绩效评价范围内的项目资金属于专款专用资金，每次大额资金的使用都是由呈贡区司法局党组会、行政办公会研究讨论，再由财务人员根据实际情况进行支付申请，严格执行国库集中支付制度，公务卡结算制度和政府采购制度等规定，按项目资金使用用途实施，确保预期目标实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我局</w:t>
      </w:r>
      <w:r>
        <w:rPr>
          <w:rFonts w:hint="default" w:ascii="Times New Roman" w:hAnsi="Times New Roman" w:eastAsia="仿宋_GB2312" w:cs="Times New Roman"/>
          <w:szCs w:val="32"/>
          <w:highlight w:val="none"/>
        </w:rPr>
        <w:t>对财政资金的使用实行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财务分管领导</w:t>
      </w:r>
      <w:r>
        <w:rPr>
          <w:rFonts w:hint="default" w:ascii="Times New Roman" w:hAnsi="Times New Roman" w:eastAsia="仿宋_GB2312" w:cs="Times New Roman"/>
          <w:szCs w:val="32"/>
          <w:highlight w:val="none"/>
        </w:rPr>
        <w:t>“一支笔”审批制，财务管理严格依法依规，做到公开公平公正，严格执行各项有关法律法规、财经纪律、财务规章制度，按照预算管理工作要求，建立完善的管理体系，严格按照预算批复组织实施，在预算执行中开展目标运行的跟踪监控，确保预算预期目标的实现，不断提高财政资金的管理水平和财政资金的使用效率和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textAlignment w:val="auto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Cs w:val="32"/>
          <w:highlight w:val="none"/>
        </w:rPr>
        <w:t>（一）绩效评价目的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Cs w:val="32"/>
          <w:highlight w:val="none"/>
        </w:rPr>
        <w:t>通过开展绩效评价工作，在资金使用过程中加强监督监管，确保资金使用用途合规，专款专用，督促各项工作进度，加快资金支付执行进度，提高资金使用效率最大化。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Cs w:val="32"/>
          <w:highlight w:val="none"/>
        </w:rPr>
        <w:t>（二）绩效评价原则、评价方法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Cs w:val="32"/>
          <w:highlight w:val="none"/>
        </w:rPr>
        <w:t>1.绩效评价原则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Cs w:val="32"/>
          <w:highlight w:val="none"/>
        </w:rPr>
        <w:t>我局绩效评价严格执行规定程序，按照科学规范、公正公开、分级分类等原则进行绩效评价。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Cs w:val="32"/>
          <w:highlight w:val="none"/>
        </w:rPr>
        <w:t>2.绩效评价方法：采用比较法、因素分析法等。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Cs w:val="32"/>
          <w:highlight w:val="none"/>
        </w:rPr>
        <w:t>（三）绩效评价工作过程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Cs w:val="32"/>
          <w:highlight w:val="none"/>
        </w:rPr>
        <w:t>1.前期准备：根据呈贡区财政局文件要求，呈贡区司法局及时组织开展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Cs w:val="32"/>
          <w:highlight w:val="none"/>
        </w:rPr>
        <w:t>年度区级预算支出绩效自评工作。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Cs w:val="32"/>
          <w:highlight w:val="none"/>
        </w:rPr>
        <w:t xml:space="preserve">2.组织实施：评价小组按要求梳理了需要开展绩效评价的项目，采取座谈等方式听取情况，检查项目支出有关账目，收集整理支出相关资料。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Cs w:val="32"/>
          <w:highlight w:val="none"/>
        </w:rPr>
        <w:t>3.分析评价：围绕各项目资金数额、使用用途、范围、支付进度、项目内容、质量等进行分析评价，形成了评价结论。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楷体_GB2312" w:cs="Times New Roman"/>
          <w:szCs w:val="32"/>
          <w:highlight w:val="none"/>
        </w:rPr>
        <w:t>）项目实施情况分析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我局项目经济效益指标是确保资金使用合理合规，加强保障呈贡区经济发展，创造良好环境。社会效益指标是不断提升司法行政各项业务工作能力，对全区依法治区工作完成情况进行督查，督促各单位完成依法治区各项工作任务，充分化解矛盾纠纷，加强律师培训，保证弱势群体应援尽援，维护呈贡区和谐稳定；生态效益指标是创造良好环境，保障人民群众安居乐业；可持续指标是维护社会政治稳定，不断提高公众安全感和满意度，做到人民群众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1.项目组织情况分析：结合工作实际提前做好项目规划，明确分管领导和责任科室，按进度组织项目工程实施。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2.项目管理情况分析：及时督促项目进度，根据进度分步进行资金支付，并在项目完成后进行结算。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楷体_GB2312" w:cs="Times New Roman"/>
          <w:szCs w:val="32"/>
          <w:highlight w:val="none"/>
        </w:rPr>
        <w:t>）项目绩效情况分析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1.项目经济性分析：以上资金总体预算执行率执行率100%，无超预算支出情况。由于部分上级资金因工作跨年开展，无法在当年进行支付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szCs w:val="32"/>
          <w:highlight w:val="none"/>
        </w:rPr>
        <w:t>中央转移支付资金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未使用完的结转下年使用</w:t>
      </w:r>
      <w:r>
        <w:rPr>
          <w:rFonts w:hint="default" w:ascii="Times New Roman" w:hAnsi="Times New Roman" w:cs="Times New Roman"/>
          <w:szCs w:val="32"/>
          <w:highlight w:val="none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2.项目的效率性分析：在资金使用过程中，按照各项目内容实施进度分项进行支付，按预期完成项目进度，到达预期目标。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3.项目的效益型分析：各项目经费专款专用，用于公共法律服务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szCs w:val="32"/>
          <w:highlight w:val="none"/>
        </w:rPr>
        <w:t>公证及律师管理日常工作支出；开展社区矫正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工作日常支出；</w:t>
      </w:r>
      <w:r>
        <w:rPr>
          <w:rFonts w:hint="default" w:ascii="Times New Roman" w:hAnsi="Times New Roman" w:cs="Times New Roman"/>
          <w:szCs w:val="32"/>
          <w:highlight w:val="none"/>
        </w:rPr>
        <w:t>开展“法治学校”、“诚信守法企业”等创建活动，“法律六进”、“法治文化”示范点创建，“青少年法治教育基地”及“法治主题公园观摩点”维护、更新；用于“法律六进”、普法专题日、专项普法等活动制作宣传资料、宣传用品等；组织开展全区普法骨干业务培训、“以案释法”及“菜单式”普法活动；指导督促各责任部门落实依法治区各项工作，并做好日常管理及考核工作；及时兑付法律援助案件补贴，印制宣传资料进行法律援助宣传，及时兑付“以奖代补”案件补贴，打造规范化社区调解委员会等，更好的为群众提供法律服务，有效维护社会稳定，为保障新区建设顺利推进发挥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Cs w:val="32"/>
          <w:highlight w:val="none"/>
        </w:rPr>
        <w:t>（一）专项管理方面的问题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专项立项依据充分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，按照相关文件及上级工作要求进行项目预算编制</w:t>
      </w:r>
      <w:r>
        <w:rPr>
          <w:rFonts w:hint="default" w:ascii="Times New Roman" w:hAnsi="Times New Roman" w:cs="Times New Roman"/>
          <w:szCs w:val="32"/>
          <w:highlight w:val="none"/>
        </w:rPr>
        <w:t>；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有</w:t>
      </w:r>
      <w:r>
        <w:rPr>
          <w:rFonts w:hint="default" w:ascii="Times New Roman" w:hAnsi="Times New Roman" w:cs="Times New Roman"/>
          <w:szCs w:val="32"/>
          <w:highlight w:val="none"/>
        </w:rPr>
        <w:t>资金管理办法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并且</w:t>
      </w:r>
      <w:r>
        <w:rPr>
          <w:rFonts w:hint="default" w:ascii="Times New Roman" w:hAnsi="Times New Roman" w:cs="Times New Roman"/>
          <w:szCs w:val="32"/>
          <w:highlight w:val="none"/>
        </w:rPr>
        <w:t>资金管理办法规范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szCs w:val="32"/>
          <w:highlight w:val="none"/>
        </w:rPr>
        <w:t>严格执行各项有关法律法规、财经纪律、财务规章制度，按照预算管理工作要求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，合理支付项目经费</w:t>
      </w:r>
      <w:r>
        <w:rPr>
          <w:rFonts w:hint="default" w:ascii="Times New Roman" w:hAnsi="Times New Roman" w:cs="Times New Roman"/>
          <w:szCs w:val="32"/>
          <w:highlight w:val="none"/>
        </w:rPr>
        <w:t>。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不存在专项管理方面的问题。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Cs w:val="32"/>
          <w:highlight w:val="none"/>
        </w:rPr>
        <w:t>资金分配方面的问题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资金分配合理，突出重点，公平公正；无散小差现象；资金分配和使用方向与资金管理办法相符。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不存在资金分配方面的问题。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Cs w:val="32"/>
          <w:highlight w:val="none"/>
          <w:lang w:eastAsia="zh-CN"/>
        </w:rPr>
        <w:t>（三）资金拨付方面的问题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 xml:space="preserve">  资金拨付及时，无</w:t>
      </w:r>
      <w:r>
        <w:rPr>
          <w:rFonts w:hint="default" w:ascii="Times New Roman" w:hAnsi="Times New Roman" w:cs="Times New Roman"/>
          <w:szCs w:val="32"/>
          <w:highlight w:val="none"/>
        </w:rPr>
        <w:t>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Cs w:val="32"/>
          <w:highlight w:val="none"/>
          <w:lang w:eastAsia="zh-CN"/>
        </w:rPr>
        <w:t>（四）资金使用方面的问题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891" w:firstLineChars="300"/>
        <w:jc w:val="both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资金使用合规，无截留、挪用等现象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Cs w:val="32"/>
          <w:highlight w:val="none"/>
          <w:lang w:eastAsia="zh-CN"/>
        </w:rPr>
        <w:t>（一）后续工作计划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我局将综合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2023</w:t>
      </w:r>
      <w:r>
        <w:rPr>
          <w:rFonts w:hint="default" w:ascii="Times New Roman" w:hAnsi="Times New Roman" w:cs="Times New Roman"/>
          <w:szCs w:val="32"/>
          <w:highlight w:val="none"/>
        </w:rPr>
        <w:t>年度呈贡区司法局财政预算项目绩效评价情况，强化以后年度的资金预算安排，并将绩效评价情况按要求予以公开，接受监督。制订年度项目资金预算方案前，认真做好每个项目的绩效目标分析，每月向领导班子汇报资金使用情况，以便及时作出调整，实现项目资金利用效率最大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Cs w:val="32"/>
          <w:highlight w:val="none"/>
          <w:lang w:eastAsia="zh-CN"/>
        </w:rPr>
        <w:t>（二）主要经验做法、改进措施和有关建议等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_GB2312" w:cs="Times New Roman"/>
          <w:highlight w:val="none"/>
        </w:rPr>
        <w:t>1.主</w:t>
      </w:r>
      <w:r>
        <w:rPr>
          <w:rFonts w:hint="default" w:ascii="Times New Roman" w:hAnsi="Times New Roman" w:cs="Times New Roman"/>
          <w:highlight w:val="none"/>
        </w:rPr>
        <w:t xml:space="preserve">要经验及做法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领导重视，责任明确，定期召开行政办公会或党组会，研究讨论项目实施方案及资金来源，做好项目方面的组织协调、监督督促的各项工作，控制项目成本，加快项目进度，确保资金安全，保证项目质量，使得资金发挥最大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_GB2312" w:cs="Times New Roman"/>
          <w:highlight w:val="none"/>
        </w:rPr>
        <w:t>2.改进</w:t>
      </w:r>
      <w:r>
        <w:rPr>
          <w:rFonts w:hint="default" w:ascii="Times New Roman" w:hAnsi="Times New Roman" w:cs="Times New Roman"/>
          <w:highlight w:val="none"/>
        </w:rPr>
        <w:t>措施和有关建议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项目在实施过程，对项目制定相关的管理制度还不够完善。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  <w:lang w:eastAsia="zh-CN"/>
        </w:rPr>
        <w:t>下一步将</w:t>
      </w:r>
      <w:r>
        <w:rPr>
          <w:rFonts w:hint="default" w:ascii="Times New Roman" w:hAnsi="Times New Roman" w:cs="Times New Roman"/>
          <w:highlight w:val="none"/>
        </w:rPr>
        <w:t>加强项目管理，形成相应的项目管理制度， 做好事前、事中、事后的监督，把事做好、做实；加强项目相关管理人员的专业知识培训，通过培训增强管理人员的项目管理方面的业务知识，对于确保项目的质量和项目的规范管理至关重要。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rPr>
          <w:rFonts w:hint="default" w:ascii="Times New Roman" w:hAnsi="Times New Roman" w:eastAsia="仿宋_GB2312" w:cs="Times New Roman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highlight w:val="none"/>
          <w:lang w:eastAsia="zh-CN"/>
        </w:rPr>
        <w:t>昆明市呈贡区司法局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                                      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202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年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月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日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12DEAE"/>
    <w:multiLevelType w:val="singleLevel"/>
    <w:tmpl w:val="6412DEAE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MzMyMzE0Mzk5Mjc3ZDRhOWZjMjZjZWU2ODM3YzAifQ=="/>
  </w:docVars>
  <w:rsids>
    <w:rsidRoot w:val="00000000"/>
    <w:rsid w:val="05AE36CA"/>
    <w:rsid w:val="0A9C56BC"/>
    <w:rsid w:val="10711239"/>
    <w:rsid w:val="1222745A"/>
    <w:rsid w:val="14152AA7"/>
    <w:rsid w:val="15057AB2"/>
    <w:rsid w:val="2AFC1D93"/>
    <w:rsid w:val="33413D41"/>
    <w:rsid w:val="378A5996"/>
    <w:rsid w:val="380F7F30"/>
    <w:rsid w:val="3E430897"/>
    <w:rsid w:val="49C43079"/>
    <w:rsid w:val="5A3C6978"/>
    <w:rsid w:val="5AB63BEF"/>
    <w:rsid w:val="6024691D"/>
    <w:rsid w:val="672E6BA8"/>
    <w:rsid w:val="67600811"/>
    <w:rsid w:val="7D9B7507"/>
    <w:rsid w:val="7ED5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3725</Words>
  <Characters>3908</Characters>
  <Lines>0</Lines>
  <Paragraphs>0</Paragraphs>
  <TotalTime>8</TotalTime>
  <ScaleCrop>false</ScaleCrop>
  <LinksUpToDate>false</LinksUpToDate>
  <CharactersWithSpaces>3954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2024-09-29T07:16:25Z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6EA1149D971D4323AF093750D2F5433F_13</vt:lpwstr>
  </property>
</Properties>
</file>