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94" w:firstLineChars="200"/>
        <w:rPr>
          <w:rFonts w:ascii="黑体" w:eastAsia="黑体"/>
          <w:szCs w:val="32"/>
        </w:rPr>
      </w:pPr>
      <w:r>
        <w:rPr>
          <w:rFonts w:hint="eastAsia" w:ascii="黑体" w:eastAsia="黑体"/>
          <w:szCs w:val="32"/>
        </w:rPr>
        <w:t>附件4-2</w:t>
      </w:r>
      <w:r>
        <w:rPr>
          <w:rFonts w:ascii="黑体" w:eastAsia="黑体"/>
          <w:szCs w:val="32"/>
        </w:rPr>
        <w:t>:</w:t>
      </w:r>
    </w:p>
    <w:p>
      <w:pPr>
        <w:spacing w:line="560" w:lineRule="exact"/>
        <w:ind w:firstLine="594" w:firstLineChars="200"/>
        <w:rPr>
          <w:rFonts w:ascii="黑体" w:eastAsia="黑体"/>
          <w:szCs w:val="32"/>
        </w:rPr>
      </w:pPr>
    </w:p>
    <w:p>
      <w:pPr>
        <w:spacing w:line="560" w:lineRule="exact"/>
        <w:ind w:firstLine="674" w:firstLineChars="200"/>
        <w:jc w:val="center"/>
        <w:rPr>
          <w:rFonts w:ascii="方正小标宋_GBK" w:eastAsia="方正小标宋_GBK"/>
          <w:sz w:val="36"/>
          <w:szCs w:val="36"/>
        </w:rPr>
      </w:pPr>
      <w:r>
        <w:rPr>
          <w:rFonts w:hint="eastAsia" w:ascii="方正小标宋_GBK" w:eastAsia="方正小标宋_GBK"/>
          <w:sz w:val="36"/>
          <w:szCs w:val="36"/>
        </w:rPr>
        <w:t>共青团昆明市呈贡区委项目支出绩效报告（自评）</w:t>
      </w:r>
    </w:p>
    <w:p>
      <w:pPr>
        <w:spacing w:line="560" w:lineRule="exact"/>
        <w:ind w:firstLine="674" w:firstLineChars="200"/>
        <w:jc w:val="center"/>
        <w:rPr>
          <w:rFonts w:ascii="方正小标宋_GBK" w:eastAsia="方正小标宋_GBK"/>
          <w:sz w:val="36"/>
          <w:szCs w:val="36"/>
        </w:rPr>
      </w:pPr>
    </w:p>
    <w:p>
      <w:pPr>
        <w:topLinePunct/>
        <w:spacing w:line="560" w:lineRule="exact"/>
        <w:ind w:firstLine="594" w:firstLineChars="200"/>
        <w:rPr>
          <w:rFonts w:ascii="黑体" w:eastAsia="黑体"/>
          <w:szCs w:val="32"/>
        </w:rPr>
      </w:pPr>
      <w:r>
        <w:rPr>
          <w:rFonts w:hint="eastAsia" w:ascii="黑体" w:eastAsia="黑体"/>
          <w:szCs w:val="32"/>
        </w:rPr>
        <w:t>一、项目基本情况</w:t>
      </w:r>
    </w:p>
    <w:p>
      <w:pPr>
        <w:topLinePunct/>
        <w:spacing w:line="560" w:lineRule="exact"/>
        <w:ind w:firstLine="594" w:firstLineChars="200"/>
        <w:rPr>
          <w:rFonts w:ascii="楷体" w:hAnsi="楷体" w:eastAsia="楷体" w:cs="楷体"/>
          <w:szCs w:val="32"/>
        </w:rPr>
      </w:pPr>
      <w:r>
        <w:rPr>
          <w:rFonts w:hint="eastAsia" w:ascii="楷体" w:hAnsi="楷体" w:eastAsia="楷体" w:cs="楷体"/>
          <w:szCs w:val="32"/>
        </w:rPr>
        <w:t>（一）项目基本情况简介</w:t>
      </w:r>
    </w:p>
    <w:p>
      <w:pPr>
        <w:topLinePunct/>
        <w:spacing w:line="560" w:lineRule="exact"/>
        <w:ind w:firstLine="594" w:firstLineChars="200"/>
        <w:rPr>
          <w:rFonts w:ascii="仿宋_GB2312"/>
          <w:szCs w:val="32"/>
        </w:rPr>
      </w:pPr>
      <w:r>
        <w:rPr>
          <w:rFonts w:hint="eastAsia" w:ascii="仿宋_GB2312"/>
          <w:szCs w:val="32"/>
        </w:rPr>
        <w:t>为认真学习贯彻落实习近平总书记关于学雷锋和志愿服务的重要指示精神，团市委以及区委区政府的相关文件精神，进一步动员全区志愿者和志愿服务组织参与“‘青’清滇池·‘河’我一起”大学生河湖长等滇池保护、校地共建品牌活动项目；文明城市、卫生城市建设、疫情防控等志愿服务；未成年人司法项目相关工作；少先队相关工作；关心下一代工作等。</w:t>
      </w:r>
    </w:p>
    <w:p>
      <w:pPr>
        <w:numPr>
          <w:ilvl w:val="0"/>
          <w:numId w:val="1"/>
        </w:numPr>
        <w:topLinePunct/>
        <w:spacing w:line="560" w:lineRule="exact"/>
        <w:ind w:firstLine="594" w:firstLineChars="200"/>
        <w:rPr>
          <w:rFonts w:ascii="仿宋_GB2312"/>
          <w:szCs w:val="32"/>
        </w:rPr>
      </w:pPr>
      <w:r>
        <w:rPr>
          <w:rFonts w:hint="eastAsia" w:ascii="楷体" w:hAnsi="楷体" w:eastAsia="楷体" w:cs="楷体"/>
          <w:szCs w:val="32"/>
        </w:rPr>
        <w:t>绩效目标设定及指标完成情况</w:t>
      </w:r>
      <w:r>
        <w:rPr>
          <w:rFonts w:hint="eastAsia" w:ascii="仿宋_GB2312"/>
          <w:szCs w:val="32"/>
        </w:rPr>
        <w:t>。</w:t>
      </w:r>
    </w:p>
    <w:p>
      <w:pPr>
        <w:topLinePunct/>
        <w:spacing w:line="560" w:lineRule="exact"/>
        <w:ind w:firstLine="594" w:firstLineChars="200"/>
        <w:rPr>
          <w:rFonts w:ascii="仿宋_GB2312"/>
          <w:szCs w:val="32"/>
        </w:rPr>
      </w:pPr>
      <w:r>
        <w:rPr>
          <w:rFonts w:hint="eastAsia" w:ascii="仿宋_GB2312"/>
          <w:szCs w:val="32"/>
        </w:rPr>
        <w:t>为推进呈贡区志愿服务常态化，采取多种志愿服务工作模式，围绕滇池保护、文明城市建设等重点活动，结合实际工作，开展线下志愿服务；关爱弱势群体，关心下一代工作、抓实滇池保护，发挥专业优势，更好地开展志愿服务活动。已按计划完成2023年绩效目标。</w:t>
      </w:r>
    </w:p>
    <w:p>
      <w:pPr>
        <w:topLinePunct/>
        <w:spacing w:line="560" w:lineRule="exact"/>
        <w:ind w:firstLine="594" w:firstLineChars="200"/>
        <w:rPr>
          <w:rFonts w:ascii="黑体" w:eastAsia="黑体"/>
          <w:szCs w:val="32"/>
        </w:rPr>
      </w:pPr>
      <w:r>
        <w:rPr>
          <w:rFonts w:hint="eastAsia" w:ascii="黑体" w:eastAsia="黑体"/>
          <w:szCs w:val="32"/>
        </w:rPr>
        <w:t>二、项目资金使用及管理情况</w:t>
      </w:r>
    </w:p>
    <w:p>
      <w:pPr>
        <w:topLinePunct/>
        <w:spacing w:line="560" w:lineRule="exact"/>
        <w:ind w:firstLine="594" w:firstLineChars="200"/>
        <w:rPr>
          <w:rFonts w:ascii="仿宋_GB2312" w:hAnsi="仿宋_GB2312" w:cs="仿宋_GB2312"/>
          <w:szCs w:val="32"/>
        </w:rPr>
      </w:pPr>
      <w:r>
        <w:rPr>
          <w:rFonts w:hint="eastAsia" w:ascii="仿宋_GB2312"/>
          <w:szCs w:val="32"/>
        </w:rPr>
        <w:t>（一）</w:t>
      </w:r>
      <w:r>
        <w:rPr>
          <w:rFonts w:hint="eastAsia" w:ascii="仿宋_GB2312" w:hAnsi="仿宋_GB2312" w:cs="仿宋_GB2312"/>
          <w:szCs w:val="32"/>
        </w:rPr>
        <w:t>项目资金到位情况分析：本项目资金来源为财政拨款，年初预算安排1071583.16元，2023年共计拨付1071583.16元，资金到位率100%。</w:t>
      </w:r>
    </w:p>
    <w:p>
      <w:pPr>
        <w:topLinePunct/>
        <w:spacing w:line="560" w:lineRule="exact"/>
        <w:ind w:firstLine="594" w:firstLineChars="200"/>
        <w:rPr>
          <w:rFonts w:ascii="仿宋_GB2312" w:hAnsi="仿宋_GB2312" w:cs="仿宋_GB2312"/>
          <w:w w:val="95"/>
          <w:szCs w:val="32"/>
        </w:rPr>
      </w:pPr>
      <w:r>
        <w:rPr>
          <w:rFonts w:hint="eastAsia" w:ascii="仿宋_GB2312"/>
          <w:szCs w:val="32"/>
        </w:rPr>
        <w:t>（二）项目资金使用情况分析：项目资金</w:t>
      </w:r>
      <w:r>
        <w:rPr>
          <w:rFonts w:hint="eastAsia" w:ascii="仿宋_GB2312" w:hAnsi="仿宋_GB2312" w:cs="仿宋_GB2312"/>
          <w:szCs w:val="32"/>
        </w:rPr>
        <w:t>1071583.16元已全部支出，主要用于</w:t>
      </w:r>
      <w:r>
        <w:rPr>
          <w:rFonts w:hint="eastAsia" w:ascii="仿宋_GB2312"/>
          <w:szCs w:val="32"/>
        </w:rPr>
        <w:t>进一步动员全区志愿者和志愿服务组织参与滇池保护、文明城市建设等志愿服务；大学生西部计划志愿者补贴；共青团工作、未成年人司法项目工作、关工委、少工委</w:t>
      </w:r>
      <w:r>
        <w:rPr>
          <w:rFonts w:hint="eastAsia" w:ascii="仿宋_GB2312" w:hAnsi="仿宋_GB2312" w:cs="仿宋_GB2312"/>
          <w:szCs w:val="32"/>
        </w:rPr>
        <w:t>等相关支出。</w:t>
      </w:r>
      <w:r>
        <w:rPr>
          <w:rFonts w:hint="eastAsia" w:ascii="仿宋_GB2312" w:hAnsi="仿宋_GB2312" w:cs="仿宋_GB2312"/>
          <w:w w:val="95"/>
          <w:szCs w:val="32"/>
        </w:rPr>
        <w:t>本项目资金使用率100%。资金支付无滞留、闲置、挪用等现象。</w:t>
      </w:r>
    </w:p>
    <w:p>
      <w:pPr>
        <w:topLinePunct/>
        <w:spacing w:line="560" w:lineRule="exact"/>
        <w:ind w:firstLine="594" w:firstLineChars="200"/>
        <w:rPr>
          <w:rFonts w:ascii="仿宋_GB2312" w:hAnsi="仿宋_GB2312" w:cs="仿宋_GB2312"/>
          <w:szCs w:val="32"/>
        </w:rPr>
      </w:pPr>
      <w:r>
        <w:rPr>
          <w:rFonts w:hint="eastAsia" w:ascii="仿宋_GB2312"/>
          <w:szCs w:val="32"/>
        </w:rPr>
        <w:t>（三）项目资金管理情况分析：项目经费严格按照单位财务制度和预算支出的范围使用。项目支出均有单位相关领导的授权审批，资金拨付严格按照审批程序，使用规范，会计核算结果真实、准确。项目实施过程中，无超标准开支情况，无超预算情况，会计核算规范，组织机构健全、分工明确。</w:t>
      </w:r>
    </w:p>
    <w:p>
      <w:pPr>
        <w:topLinePunct/>
        <w:spacing w:line="560" w:lineRule="exact"/>
        <w:ind w:firstLine="594" w:firstLineChars="200"/>
        <w:rPr>
          <w:rFonts w:ascii="黑体" w:eastAsia="黑体"/>
          <w:szCs w:val="32"/>
        </w:rPr>
      </w:pPr>
      <w:r>
        <w:rPr>
          <w:rFonts w:hint="eastAsia" w:ascii="黑体" w:eastAsia="黑体"/>
          <w:szCs w:val="32"/>
        </w:rPr>
        <w:t>三、项目组织实施情况</w:t>
      </w:r>
    </w:p>
    <w:p>
      <w:pPr>
        <w:topLinePunct/>
        <w:spacing w:line="560" w:lineRule="exact"/>
        <w:ind w:firstLine="594" w:firstLineChars="200"/>
        <w:rPr>
          <w:rFonts w:ascii="仿宋_GB2312"/>
          <w:szCs w:val="32"/>
        </w:rPr>
      </w:pPr>
      <w:r>
        <w:rPr>
          <w:rFonts w:hint="eastAsia" w:ascii="仿宋_GB2312"/>
          <w:szCs w:val="32"/>
        </w:rPr>
        <w:t>该项目属于经常性项目，大多数项目采用政府购买服务形式委托社会组织实施，本项目按年初计划按时开展，项目周期为2023年全年，实施过程严格按照单位制定的管理制度来执行，形成规范化项目书，项目开展过程中严格监督，结项时完善项目档案资料，撰写期终报告，宣传报道活动信息和活动情况，扩大活动影响力，提高志愿知晓率和参与率，完成年初制定的绩效目标。</w:t>
      </w:r>
    </w:p>
    <w:p>
      <w:pPr>
        <w:topLinePunct/>
        <w:spacing w:line="560" w:lineRule="exact"/>
        <w:ind w:firstLine="594" w:firstLineChars="200"/>
        <w:rPr>
          <w:rFonts w:ascii="黑体" w:eastAsia="黑体"/>
          <w:szCs w:val="32"/>
        </w:rPr>
      </w:pPr>
      <w:r>
        <w:rPr>
          <w:rFonts w:hint="eastAsia" w:ascii="黑体" w:eastAsia="黑体"/>
          <w:szCs w:val="32"/>
        </w:rPr>
        <w:t>四、项目绩效情况</w:t>
      </w:r>
    </w:p>
    <w:p>
      <w:pPr>
        <w:topLinePunct/>
        <w:spacing w:line="560" w:lineRule="exact"/>
        <w:ind w:firstLine="594" w:firstLineChars="200"/>
        <w:rPr>
          <w:rFonts w:ascii="仿宋_GB2312" w:hAnsi="仿宋_GB2312" w:cs="仿宋_GB2312"/>
          <w:szCs w:val="32"/>
        </w:rPr>
      </w:pPr>
      <w:r>
        <w:rPr>
          <w:rFonts w:hint="eastAsia" w:ascii="仿宋_GB2312"/>
          <w:szCs w:val="32"/>
        </w:rPr>
        <w:t>（一）</w:t>
      </w:r>
      <w:r>
        <w:rPr>
          <w:rFonts w:hint="eastAsia" w:ascii="仿宋_GB2312" w:hAnsi="仿宋_GB2312" w:cs="仿宋_GB2312"/>
          <w:szCs w:val="32"/>
        </w:rPr>
        <w:t>项目经济性分析。</w:t>
      </w:r>
    </w:p>
    <w:p>
      <w:pPr>
        <w:topLinePunct/>
        <w:spacing w:line="560" w:lineRule="exact"/>
        <w:ind w:firstLine="594" w:firstLineChars="200"/>
        <w:rPr>
          <w:rFonts w:ascii="仿宋_GB2312" w:hAnsi="仿宋_GB2312" w:cs="仿宋_GB2312"/>
          <w:szCs w:val="32"/>
        </w:rPr>
      </w:pPr>
      <w:r>
        <w:rPr>
          <w:rFonts w:hint="eastAsia" w:ascii="仿宋_GB2312" w:hAnsi="仿宋_GB2312" w:cs="仿宋_GB2312"/>
          <w:szCs w:val="32"/>
        </w:rPr>
        <w:t>项目成本（预算）在资金管理方面做到了专款专用，严格控制专项资</w:t>
      </w:r>
      <w:r>
        <w:rPr>
          <w:rFonts w:hint="eastAsia" w:ascii="仿宋_GB2312"/>
          <w:szCs w:val="32"/>
        </w:rPr>
        <w:t>金合理合规使用，无截留</w:t>
      </w:r>
      <w:r>
        <w:rPr>
          <w:rFonts w:hint="eastAsia" w:ascii="仿宋_GB2312" w:hAnsi="仿宋_GB2312" w:cs="仿宋_GB2312"/>
          <w:szCs w:val="32"/>
        </w:rPr>
        <w:t>、挤占、滥用情况。</w:t>
      </w:r>
    </w:p>
    <w:p>
      <w:pPr>
        <w:topLinePunct/>
        <w:spacing w:line="560" w:lineRule="exact"/>
        <w:ind w:firstLine="594" w:firstLineChars="200"/>
        <w:rPr>
          <w:rFonts w:ascii="仿宋_GB2312"/>
          <w:szCs w:val="32"/>
        </w:rPr>
      </w:pPr>
      <w:r>
        <w:rPr>
          <w:rFonts w:hint="eastAsia" w:ascii="仿宋_GB2312"/>
          <w:szCs w:val="32"/>
        </w:rPr>
        <w:t>（二）项目的效率性分析。</w:t>
      </w:r>
    </w:p>
    <w:p>
      <w:pPr>
        <w:topLinePunct/>
        <w:spacing w:line="560" w:lineRule="exact"/>
        <w:ind w:firstLine="594" w:firstLineChars="200"/>
        <w:rPr>
          <w:rFonts w:ascii="仿宋_GB2312"/>
          <w:szCs w:val="32"/>
        </w:rPr>
      </w:pPr>
      <w:r>
        <w:rPr>
          <w:rFonts w:hint="eastAsia" w:ascii="仿宋_GB2312"/>
          <w:szCs w:val="32"/>
        </w:rPr>
        <w:t>该项目是按照工作的需求逐步开展进行，到2023年底已完成全部工作目标，项目支出预算执行进度为100%。</w:t>
      </w:r>
    </w:p>
    <w:p>
      <w:pPr>
        <w:topLinePunct/>
        <w:spacing w:line="560" w:lineRule="exact"/>
        <w:ind w:firstLine="594" w:firstLineChars="200"/>
        <w:rPr>
          <w:rFonts w:ascii="仿宋_GB2312"/>
          <w:szCs w:val="32"/>
        </w:rPr>
      </w:pPr>
      <w:r>
        <w:rPr>
          <w:rFonts w:hint="eastAsia" w:ascii="仿宋_GB2312"/>
          <w:szCs w:val="32"/>
        </w:rPr>
        <w:t>（三）项目的有效性分析。</w:t>
      </w:r>
    </w:p>
    <w:p>
      <w:pPr>
        <w:topLinePunct/>
        <w:spacing w:line="560" w:lineRule="exact"/>
        <w:ind w:firstLine="594" w:firstLineChars="200"/>
        <w:rPr>
          <w:rFonts w:ascii="仿宋_GB2312"/>
          <w:szCs w:val="32"/>
        </w:rPr>
      </w:pPr>
      <w:r>
        <w:rPr>
          <w:rFonts w:hint="eastAsia" w:ascii="仿宋_GB2312"/>
          <w:szCs w:val="32"/>
        </w:rPr>
        <w:t xml:space="preserve"> 项目实施过程严格按照单位制定的管理制度来执行，形成规范化项目书，项目开展过程中严格监督，结项时完善项目档案资料，撰写期终报告，宣传报道活动信息和活动情况，扩大活动影响力，提高志愿知晓率和参与率，完成年初制定的绩效目标。</w:t>
      </w:r>
    </w:p>
    <w:p>
      <w:pPr>
        <w:topLinePunct/>
        <w:spacing w:line="560" w:lineRule="exact"/>
        <w:ind w:firstLine="594" w:firstLineChars="200"/>
        <w:rPr>
          <w:rFonts w:ascii="仿宋_GB2312"/>
          <w:szCs w:val="32"/>
        </w:rPr>
      </w:pPr>
      <w:r>
        <w:rPr>
          <w:rFonts w:hint="eastAsia" w:ascii="仿宋_GB2312"/>
          <w:szCs w:val="32"/>
        </w:rPr>
        <w:t>（四）项目的可持续性分析。</w:t>
      </w:r>
    </w:p>
    <w:p>
      <w:pPr>
        <w:topLinePunct/>
        <w:spacing w:line="560" w:lineRule="exact"/>
        <w:ind w:firstLine="594" w:firstLineChars="200"/>
        <w:rPr>
          <w:rFonts w:ascii="仿宋_GB2312"/>
          <w:szCs w:val="32"/>
        </w:rPr>
      </w:pPr>
      <w:r>
        <w:rPr>
          <w:rFonts w:hint="eastAsia" w:ascii="仿宋_GB2312"/>
          <w:szCs w:val="32"/>
        </w:rPr>
        <w:t>本项目按年初计划按时开展，项目周期为2023年全年，实施过程严格按照单位制定的管理制度来执行，形成规范化项目书，项目开展过程中严格监督，结项时完善项目档案资料，撰写期终报告，宣传报道活动信息和活动情况，扩大活动影响力，提高志愿知晓率和参与率，完成年初制定的绩效目标。参与志愿服务活动的志愿者满意度得到极大提升，该项目具有可重复性和持续性。</w:t>
      </w:r>
    </w:p>
    <w:p>
      <w:pPr>
        <w:topLinePunct/>
        <w:spacing w:line="560" w:lineRule="exact"/>
        <w:ind w:firstLine="594" w:firstLineChars="200"/>
        <w:rPr>
          <w:rFonts w:ascii="黑体" w:eastAsia="黑体"/>
          <w:szCs w:val="32"/>
        </w:rPr>
      </w:pPr>
      <w:r>
        <w:rPr>
          <w:rFonts w:hint="eastAsia" w:ascii="黑体" w:eastAsia="黑体"/>
          <w:szCs w:val="32"/>
        </w:rPr>
        <w:t>五、存在的问题</w:t>
      </w:r>
    </w:p>
    <w:p>
      <w:pPr>
        <w:topLinePunct/>
        <w:spacing w:line="560" w:lineRule="exact"/>
        <w:ind w:firstLine="594" w:firstLineChars="200"/>
        <w:rPr>
          <w:rFonts w:ascii="仿宋_GB2312"/>
          <w:szCs w:val="32"/>
        </w:rPr>
      </w:pPr>
      <w:r>
        <w:rPr>
          <w:rFonts w:hint="eastAsia" w:ascii="仿宋_GB2312"/>
          <w:szCs w:val="32"/>
        </w:rPr>
        <w:t>（一）专项管理方面的问题。专项立项依据充分；有健全资金管理办法，资金管理办法规范。</w:t>
      </w:r>
    </w:p>
    <w:p>
      <w:pPr>
        <w:topLinePunct/>
        <w:spacing w:line="560" w:lineRule="exact"/>
        <w:ind w:firstLine="594" w:firstLineChars="200"/>
        <w:rPr>
          <w:rFonts w:ascii="仿宋_GB2312"/>
          <w:szCs w:val="32"/>
        </w:rPr>
      </w:pPr>
      <w:r>
        <w:rPr>
          <w:rFonts w:hint="eastAsia" w:ascii="仿宋_GB2312"/>
          <w:szCs w:val="32"/>
        </w:rPr>
        <w:t>（二）资金分配方面的问题。资金分配合理，突出重点，公平公正；无散小差现象；资金分配和使用方向与资金管理办法相符。</w:t>
      </w:r>
    </w:p>
    <w:p>
      <w:pPr>
        <w:topLinePunct/>
        <w:spacing w:line="560" w:lineRule="exact"/>
        <w:ind w:firstLine="594" w:firstLineChars="200"/>
        <w:rPr>
          <w:rFonts w:ascii="仿宋_GB2312"/>
          <w:szCs w:val="32"/>
        </w:rPr>
      </w:pPr>
      <w:r>
        <w:rPr>
          <w:rFonts w:hint="eastAsia" w:ascii="仿宋_GB2312"/>
          <w:szCs w:val="32"/>
        </w:rPr>
        <w:t>（三）资金拨付方面的问题。拨付及时，无滞留、闲置等现象。</w:t>
      </w:r>
    </w:p>
    <w:p>
      <w:pPr>
        <w:topLinePunct/>
        <w:spacing w:line="560" w:lineRule="exact"/>
        <w:ind w:firstLine="594" w:firstLineChars="200"/>
        <w:rPr>
          <w:rFonts w:ascii="仿宋_GB2312"/>
          <w:szCs w:val="32"/>
        </w:rPr>
      </w:pPr>
      <w:r>
        <w:rPr>
          <w:rFonts w:hint="eastAsia" w:ascii="仿宋_GB2312"/>
          <w:szCs w:val="32"/>
        </w:rPr>
        <w:t>（四）资金使用方面的问题。资金使用合规，无截留、挪用等现象，资金使用产生良好的社会效益。</w:t>
      </w:r>
    </w:p>
    <w:p>
      <w:pPr>
        <w:topLinePunct/>
        <w:spacing w:line="560" w:lineRule="exact"/>
        <w:ind w:firstLine="594" w:firstLineChars="200"/>
        <w:jc w:val="left"/>
        <w:rPr>
          <w:rFonts w:ascii="黑体" w:eastAsia="黑体"/>
          <w:szCs w:val="32"/>
        </w:rPr>
      </w:pPr>
      <w:r>
        <w:rPr>
          <w:rFonts w:hint="eastAsia" w:ascii="黑体" w:eastAsia="黑体"/>
          <w:szCs w:val="32"/>
        </w:rPr>
        <w:t>六、其他需要说明的问题</w:t>
      </w:r>
    </w:p>
    <w:p>
      <w:pPr>
        <w:topLinePunct/>
        <w:spacing w:line="560" w:lineRule="exact"/>
        <w:ind w:firstLine="594" w:firstLineChars="200"/>
        <w:rPr>
          <w:rFonts w:ascii="楷体_GB2312" w:eastAsia="楷体_GB2312"/>
          <w:color w:val="000000" w:themeColor="text1"/>
          <w:szCs w:val="32"/>
          <w14:textFill>
            <w14:solidFill>
              <w14:schemeClr w14:val="tx1"/>
            </w14:solidFill>
          </w14:textFill>
        </w:rPr>
      </w:pPr>
      <w:r>
        <w:rPr>
          <w:rFonts w:hint="eastAsia" w:ascii="楷体_GB2312" w:eastAsia="楷体_GB2312"/>
          <w:color w:val="000000" w:themeColor="text1"/>
          <w:szCs w:val="32"/>
          <w14:textFill>
            <w14:solidFill>
              <w14:schemeClr w14:val="tx1"/>
            </w14:solidFill>
          </w14:textFill>
        </w:rPr>
        <w:t>（一）后续工作计划。</w:t>
      </w:r>
    </w:p>
    <w:p>
      <w:pPr>
        <w:topLinePunct/>
        <w:spacing w:line="560" w:lineRule="exact"/>
        <w:ind w:firstLine="594" w:firstLineChars="200"/>
        <w:rPr>
          <w:rFonts w:ascii="仿宋_GB2312"/>
          <w:szCs w:val="32"/>
        </w:rPr>
      </w:pPr>
      <w:r>
        <w:rPr>
          <w:rFonts w:hint="eastAsia" w:ascii="仿宋_GB2312"/>
          <w:szCs w:val="32"/>
        </w:rPr>
        <w:t>今后将持续性开展该项目工作，进一步动员全区志愿者和志愿服务组织参与滇池保护、文明城市建设等志愿服务项目</w:t>
      </w:r>
      <w:r>
        <w:rPr>
          <w:rFonts w:hint="eastAsia" w:ascii="仿宋_GB2312"/>
          <w:color w:val="FF0000"/>
          <w:szCs w:val="32"/>
        </w:rPr>
        <w:t>，</w:t>
      </w:r>
      <w:r>
        <w:rPr>
          <w:rFonts w:hint="eastAsia" w:ascii="仿宋_GB2312"/>
          <w:szCs w:val="32"/>
        </w:rPr>
        <w:t>开展过程中严格监督，宣传报道活动信息和活动情况，扩大活动影响力，提高志愿知晓率和参与率。</w:t>
      </w:r>
    </w:p>
    <w:p>
      <w:pPr>
        <w:topLinePunct/>
        <w:spacing w:line="560" w:lineRule="exact"/>
        <w:ind w:left="594" w:leftChars="200"/>
        <w:rPr>
          <w:rFonts w:ascii="楷体_GB2312" w:eastAsia="楷体_GB2312"/>
          <w:color w:val="000000" w:themeColor="text1"/>
          <w:szCs w:val="32"/>
          <w14:textFill>
            <w14:solidFill>
              <w14:schemeClr w14:val="tx1"/>
            </w14:solidFill>
          </w14:textFill>
        </w:rPr>
      </w:pPr>
      <w:r>
        <w:rPr>
          <w:rFonts w:hint="eastAsia" w:ascii="楷体_GB2312" w:eastAsia="楷体_GB2312"/>
          <w:color w:val="000000" w:themeColor="text1"/>
          <w:szCs w:val="32"/>
          <w14:textFill>
            <w14:solidFill>
              <w14:schemeClr w14:val="tx1"/>
            </w14:solidFill>
          </w14:textFill>
        </w:rPr>
        <w:t>（二）主要经验做法、改进措施和有关建议等。</w:t>
      </w:r>
    </w:p>
    <w:p>
      <w:pPr>
        <w:topLinePunct/>
        <w:spacing w:line="560" w:lineRule="exact"/>
        <w:ind w:firstLine="594" w:firstLineChars="20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通过发布公告，三方询价的方式招选第三方，对项目做好监督管理相关工作。并在每月月初将资金使用进度报各领导知悉，及时关注资金使用情况并进行分析。</w:t>
      </w:r>
    </w:p>
    <w:p>
      <w:pPr>
        <w:spacing w:line="560" w:lineRule="exact"/>
        <w:ind w:firstLine="594" w:firstLineChars="200"/>
        <w:jc w:val="left"/>
      </w:pPr>
      <w:r>
        <w:rPr>
          <w:rFonts w:hint="eastAsia"/>
          <w:lang w:val="en-US" w:eastAsia="zh-CN"/>
        </w:rPr>
        <w:t xml:space="preserve"> </w:t>
      </w:r>
    </w:p>
    <w:p>
      <w:pPr>
        <w:spacing w:line="560" w:lineRule="exact"/>
        <w:ind w:firstLine="594" w:firstLineChars="200"/>
        <w:jc w:val="left"/>
      </w:pPr>
    </w:p>
    <w:p>
      <w:pPr>
        <w:spacing w:line="560" w:lineRule="exact"/>
        <w:ind w:firstLine="594" w:firstLineChars="200"/>
        <w:jc w:val="left"/>
      </w:pPr>
    </w:p>
    <w:p>
      <w:pPr>
        <w:jc w:val="right"/>
        <w:rPr>
          <w:rFonts w:hint="default" w:ascii="Times New Roman" w:hAnsi="Times New Roman" w:cs="Times New Roman"/>
        </w:rPr>
      </w:pPr>
      <w:bookmarkStart w:id="0" w:name="_GoBack"/>
      <w:bookmarkEnd w:id="0"/>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16AF7"/>
    <w:multiLevelType w:val="singleLevel"/>
    <w:tmpl w:val="87E16AF7"/>
    <w:lvl w:ilvl="0" w:tentative="0">
      <w:start w:val="2"/>
      <w:numFmt w:val="chineseCounting"/>
      <w:suff w:val="nothing"/>
      <w:lvlText w:val="（%1）"/>
      <w:lvlJc w:val="left"/>
      <w:pPr>
        <w:ind w:left="-1"/>
      </w:pPr>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90"/>
    <w:rsid w:val="000033E6"/>
    <w:rsid w:val="00206E17"/>
    <w:rsid w:val="003165A9"/>
    <w:rsid w:val="00326C47"/>
    <w:rsid w:val="00382FD8"/>
    <w:rsid w:val="00542311"/>
    <w:rsid w:val="006C0A7C"/>
    <w:rsid w:val="00765D45"/>
    <w:rsid w:val="00902F79"/>
    <w:rsid w:val="00994C90"/>
    <w:rsid w:val="00A2459B"/>
    <w:rsid w:val="00B11933"/>
    <w:rsid w:val="00B11F4E"/>
    <w:rsid w:val="00B2616A"/>
    <w:rsid w:val="00BD7DEA"/>
    <w:rsid w:val="00CE34F8"/>
    <w:rsid w:val="05AE36CA"/>
    <w:rsid w:val="13A97C67"/>
    <w:rsid w:val="15FB46D6"/>
    <w:rsid w:val="18873A9E"/>
    <w:rsid w:val="24D0302D"/>
    <w:rsid w:val="2A226BF2"/>
    <w:rsid w:val="336D362C"/>
    <w:rsid w:val="34F65477"/>
    <w:rsid w:val="35B17591"/>
    <w:rsid w:val="378A5996"/>
    <w:rsid w:val="57BB68E7"/>
    <w:rsid w:val="5A3C6978"/>
    <w:rsid w:val="5C6C1F22"/>
    <w:rsid w:val="5E7F52CD"/>
    <w:rsid w:val="67600811"/>
    <w:rsid w:val="7DCF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NormalCharacter"/>
    <w:qFormat/>
    <w:uiPriority w:val="0"/>
    <w:rPr>
      <w:rFonts w:eastAsia="方正仿宋简体"/>
      <w:kern w:val="2"/>
      <w:sz w:val="32"/>
      <w:szCs w:val="32"/>
      <w:lang w:val="en-US" w:eastAsia="zh-CN" w:bidi="ar-SA"/>
    </w:rPr>
  </w:style>
  <w:style w:type="character" w:customStyle="1" w:styleId="7">
    <w:name w:val="页眉 Char"/>
    <w:basedOn w:val="5"/>
    <w:link w:val="3"/>
    <w:qFormat/>
    <w:uiPriority w:val="0"/>
    <w:rPr>
      <w:rFonts w:eastAsia="仿宋_GB2312" w:asciiTheme="minorHAnsi" w:hAnsiTheme="minorHAnsi" w:cstheme="minorBidi"/>
      <w:kern w:val="2"/>
      <w:sz w:val="18"/>
      <w:szCs w:val="18"/>
    </w:rPr>
  </w:style>
  <w:style w:type="character" w:customStyle="1" w:styleId="8">
    <w:name w:val="页脚 Char"/>
    <w:basedOn w:val="5"/>
    <w:link w:val="2"/>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1666</Words>
  <Characters>1724</Characters>
  <Lines>12</Lines>
  <Paragraphs>3</Paragraphs>
  <TotalTime>3</TotalTime>
  <ScaleCrop>false</ScaleCrop>
  <LinksUpToDate>false</LinksUpToDate>
  <CharactersWithSpaces>1736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jyjcg</dc:creator>
  <cp:lastModifiedBy>lenovo323</cp:lastModifiedBy>
  <dcterms:modified xsi:type="dcterms:W3CDTF">2024-09-26T06:17:11Z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CCF4CA0234BB2E68C5E3DF65D1E0E937</vt:lpwstr>
  </property>
</Properties>
</file>