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36"/>
          <w:szCs w:val="36"/>
          <w:lang w:eastAsia="zh-CN"/>
        </w:rPr>
      </w:pPr>
      <w:r>
        <w:rPr>
          <w:rFonts w:hint="eastAsia" w:ascii="方正小标宋_GBK" w:eastAsia="方正小标宋_GBK"/>
          <w:sz w:val="36"/>
          <w:szCs w:val="36"/>
        </w:rPr>
        <w:t>斗南花卉周边环境提升及景观打造项目（一期）经费支出绩效报告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w:t>
      </w:r>
    </w:p>
    <w:p>
      <w:pPr>
        <w:topLinePunct/>
        <w:ind w:firstLine="594" w:firstLineChars="200"/>
        <w:rPr>
          <w:rFonts w:hint="eastAsia" w:ascii="仿宋_GB2312"/>
          <w:szCs w:val="32"/>
        </w:rPr>
      </w:pPr>
      <w:r>
        <w:rPr>
          <w:rFonts w:hint="default" w:ascii="Times New Roman" w:hAnsi="Times New Roman" w:eastAsia="仿宋_GB2312" w:cs="Times New Roman"/>
          <w:kern w:val="0"/>
          <w:sz w:val="32"/>
          <w:szCs w:val="32"/>
          <w:highlight w:val="none"/>
          <w:lang w:val="zh-CN" w:bidi="zh-CN"/>
        </w:rPr>
        <w:t>以习近平新时代中国特色社会主义思想为指导，贯彻落实李克强总理视察昆明斗南花卉市场时提出“斗南花卉市场向世界第一迈进”的重要指示精神，以及省委省政府、市委市政府关于加快昆明斗南花卉产业发展的部署要求，解决斗南花卉产业园区城市建设管理与“斗南花卉”品牌相差甚远的问题，全力推进花卉产业提质发展。</w:t>
      </w:r>
      <w:r>
        <w:rPr>
          <w:rFonts w:hint="default" w:ascii="Times New Roman" w:hAnsi="Times New Roman" w:eastAsia="仿宋_GB2312" w:cs="Times New Roman"/>
          <w:sz w:val="32"/>
          <w:szCs w:val="32"/>
          <w:lang w:val="en-US" w:eastAsia="zh-CN"/>
        </w:rPr>
        <w:t>根据整体景观形象提升需求，确定斗南花卉产业园区周边环境提升及景观打造项目，展示斗南花卉新形象。</w:t>
      </w:r>
    </w:p>
    <w:p>
      <w:pPr>
        <w:keepNext w:val="0"/>
        <w:keepLines w:val="0"/>
        <w:pageBreakBefore w:val="0"/>
        <w:widowControl w:val="0"/>
        <w:numPr>
          <w:numId w:val="0"/>
        </w:numPr>
        <w:kinsoku/>
        <w:wordWrap/>
        <w:overflowPunct/>
        <w:topLinePunct/>
        <w:autoSpaceDE/>
        <w:autoSpaceDN/>
        <w:bidi w:val="0"/>
        <w:adjustRightInd/>
        <w:snapToGrid/>
        <w:ind w:firstLine="594" w:firstLineChars="200"/>
        <w:textAlignment w:val="auto"/>
        <w:rPr>
          <w:rFonts w:hint="eastAsia" w:ascii="仿宋_GB2312"/>
          <w:szCs w:val="32"/>
        </w:rPr>
      </w:pPr>
      <w:r>
        <w:rPr>
          <w:rFonts w:hint="eastAsia" w:ascii="仿宋_GB2312"/>
          <w:szCs w:val="32"/>
          <w:lang w:eastAsia="zh-CN"/>
        </w:rPr>
        <w:t>（二）</w:t>
      </w:r>
      <w:r>
        <w:rPr>
          <w:rFonts w:hint="eastAsia" w:ascii="仿宋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594" w:firstLineChars="200"/>
        <w:textAlignment w:val="auto"/>
        <w:rPr>
          <w:rFonts w:hint="eastAsia" w:ascii="仿宋_GB2312"/>
          <w:szCs w:val="32"/>
        </w:rPr>
      </w:pPr>
      <w:r>
        <w:rPr>
          <w:rFonts w:hint="eastAsia" w:ascii="仿宋_GB2312"/>
          <w:szCs w:val="32"/>
          <w:lang w:eastAsia="zh-CN"/>
        </w:rPr>
        <w:t>根据《昆明市呈贡区人民政府呈贡区斗南花卉周边环境提升及景观打造工作方案》要求设定绩效目标，年内各项目标均完成。</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本项目预算安排资金</w:t>
      </w:r>
      <w:r>
        <w:rPr>
          <w:rFonts w:hint="eastAsia" w:ascii="仿宋_GB2312" w:hAnsi="仿宋_GB2312" w:cs="仿宋_GB2312"/>
          <w:szCs w:val="32"/>
          <w:lang w:val="en-US" w:eastAsia="zh-CN"/>
        </w:rPr>
        <w:t>463.96万元，实际列支418.2万元。</w:t>
      </w:r>
      <w:r>
        <w:rPr>
          <w:rFonts w:hint="eastAsia" w:ascii="仿宋_GB2312" w:hAnsi="仿宋_GB2312" w:cs="仿宋_GB2312"/>
          <w:szCs w:val="32"/>
          <w:lang w:eastAsia="zh-CN"/>
        </w:rPr>
        <w:t>经费的支出均按照街道办事处的内部审批流程执行，由使用科室根据项目预算情况申请支出，履行完单位的审批流程后，由财务室负责款项的支付与核算，经费的管理与核算严格按照经费的开支范围执行，确保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ascii="仿宋_GB2312"/>
          <w:szCs w:val="32"/>
        </w:rPr>
      </w:pPr>
      <w:r>
        <w:rPr>
          <w:rFonts w:hint="eastAsia" w:ascii="Times New Roman" w:hAnsi="Times New Roman" w:cs="Times New Roman"/>
          <w:sz w:val="32"/>
          <w:szCs w:val="32"/>
          <w:lang w:val="en-US" w:eastAsia="zh-CN"/>
        </w:rPr>
        <w:t>项目由各职能单位，根据</w:t>
      </w:r>
      <w:r>
        <w:rPr>
          <w:rFonts w:hint="eastAsia" w:ascii="仿宋_GB2312"/>
          <w:szCs w:val="32"/>
          <w:lang w:eastAsia="zh-CN"/>
        </w:rPr>
        <w:t>《昆明市呈贡区人民政府呈贡区斗南花卉周边环境提升及景观打造工作方案》</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对照分工，将环境提升和景观打造工作同部门职能职责深度融合，</w:t>
      </w:r>
      <w:r>
        <w:rPr>
          <w:rFonts w:hint="eastAsia" w:ascii="Times New Roman" w:hAnsi="Times New Roman" w:cs="Times New Roman"/>
          <w:sz w:val="32"/>
          <w:szCs w:val="32"/>
          <w:lang w:val="en-US" w:eastAsia="zh-CN"/>
        </w:rPr>
        <w:t>开展</w:t>
      </w:r>
      <w:r>
        <w:rPr>
          <w:rFonts w:hint="default" w:ascii="Times New Roman" w:hAnsi="Times New Roman" w:eastAsia="仿宋_GB2312" w:cs="Times New Roman"/>
          <w:sz w:val="32"/>
          <w:szCs w:val="32"/>
          <w:lang w:val="en-US" w:eastAsia="zh-CN"/>
        </w:rPr>
        <w:t>点位勘察，跟进方案设计，加强对接，按照时限按质按量完成改造提升工程</w:t>
      </w:r>
      <w:r>
        <w:rPr>
          <w:rFonts w:hint="eastAsia" w:ascii="Times New Roman" w:hAnsi="Times New Roman" w:cs="Times New Roman"/>
          <w:sz w:val="32"/>
          <w:szCs w:val="32"/>
          <w:lang w:val="en-US" w:eastAsia="zh-CN"/>
        </w:rPr>
        <w:t>。</w:t>
      </w:r>
    </w:p>
    <w:p>
      <w:pPr>
        <w:numPr>
          <w:ilvl w:val="0"/>
          <w:numId w:val="1"/>
        </w:numPr>
        <w:topLinePunct/>
        <w:ind w:firstLine="594" w:firstLineChars="200"/>
        <w:rPr>
          <w:rFonts w:hint="eastAsia" w:ascii="黑体" w:eastAsia="黑体"/>
          <w:szCs w:val="32"/>
        </w:rPr>
      </w:pPr>
      <w:r>
        <w:rPr>
          <w:rFonts w:hint="eastAsia" w:ascii="黑体" w:eastAsia="黑体"/>
          <w:szCs w:val="32"/>
        </w:rPr>
        <w:t>项目绩效情况</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hAnsi="仿宋_GB2312" w:cs="仿宋_GB2312"/>
          <w:szCs w:val="32"/>
          <w:lang w:val="en-US" w:eastAsia="zh-CN"/>
        </w:rPr>
      </w:pPr>
      <w:r>
        <w:rPr>
          <w:rFonts w:hint="eastAsia" w:ascii="仿宋_GB2312" w:hAnsi="仿宋_GB2312" w:eastAsia="仿宋_GB2312" w:cs="仿宋_GB2312"/>
          <w:szCs w:val="32"/>
        </w:rPr>
        <w:t>斗南花卉周边环境提升及景观打造项目（一期）经费支出</w:t>
      </w:r>
      <w:r>
        <w:rPr>
          <w:rFonts w:hint="eastAsia" w:ascii="仿宋_GB2312" w:hAnsi="仿宋_GB2312" w:cs="仿宋_GB2312"/>
          <w:szCs w:val="32"/>
          <w:lang w:val="en-US" w:eastAsia="zh-CN"/>
        </w:rPr>
        <w:t>418.2万元，主要用于：</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594"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（一）金桂街与兴呈路南侧绿化空地。</w:t>
      </w:r>
      <w:r>
        <w:rPr>
          <w:rFonts w:hint="default" w:ascii="Times New Roman" w:hAnsi="Times New Roman" w:eastAsia="仿宋_GB2312" w:cs="Times New Roman"/>
          <w:sz w:val="32"/>
          <w:szCs w:val="32"/>
          <w:lang w:val="en-US" w:eastAsia="zh-CN"/>
        </w:rPr>
        <w:t>面积约4.5亩</w:t>
      </w:r>
      <w:r>
        <w:rPr>
          <w:rFonts w:hint="eastAsia" w:asci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建设3D电子广告牌，作为地标展示。</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594" w:firstLineChars="200"/>
        <w:jc w:val="both"/>
        <w:textAlignment w:val="auto"/>
        <w:rPr>
          <w:rFonts w:hint="default" w:ascii="Times New Roman" w:hAnsi="Times New Roman" w:eastAsia="仿宋_GB2312" w:cs="Times New Roman"/>
          <w:sz w:val="32"/>
          <w:szCs w:val="32"/>
          <w:lang w:val="en-US" w:eastAsia="zh-CN"/>
        </w:rPr>
      </w:pPr>
      <w:bookmarkStart w:id="0" w:name="_GoBack"/>
      <w:r>
        <w:rPr>
          <w:rFonts w:hint="eastAsia" w:ascii="楷体_GB2312" w:hAnsi="楷体_GB2312" w:eastAsia="楷体_GB2312" w:cs="楷体_GB2312"/>
          <w:sz w:val="32"/>
          <w:szCs w:val="32"/>
          <w:lang w:val="en-US" w:eastAsia="zh-CN"/>
        </w:rPr>
        <w:t>（二）兴呈路与金桂街交叉口北侧空地。</w:t>
      </w:r>
      <w:r>
        <w:rPr>
          <w:rFonts w:hint="default" w:ascii="Times New Roman" w:hAnsi="Times New Roman" w:eastAsia="仿宋_GB2312" w:cs="Times New Roman"/>
          <w:sz w:val="32"/>
          <w:szCs w:val="32"/>
          <w:lang w:val="en-US" w:eastAsia="zh-CN"/>
        </w:rPr>
        <w:t>面积约29.4亩，</w:t>
      </w:r>
      <w:r>
        <w:rPr>
          <w:rFonts w:hint="eastAsia" w:ascii="Times New Roman" w:eastAsia="仿宋_GB2312" w:cs="Times New Roman"/>
          <w:sz w:val="32"/>
          <w:szCs w:val="32"/>
          <w:lang w:val="en-US" w:eastAsia="zh-CN"/>
        </w:rPr>
        <w:t>进行</w:t>
      </w:r>
      <w:r>
        <w:rPr>
          <w:rFonts w:hint="default" w:ascii="Times New Roman" w:hAnsi="Times New Roman" w:eastAsia="仿宋_GB2312" w:cs="Times New Roman"/>
          <w:sz w:val="32"/>
          <w:szCs w:val="32"/>
          <w:lang w:val="en-US" w:eastAsia="zh-CN"/>
        </w:rPr>
        <w:t>场地环境改造和舞台等基础设施建设，引入商用集中箱配套；打造鲜花音乐广场、婚庆广场；在空地北侧同步设计并建设非机动车停车场。</w:t>
      </w:r>
      <w:bookmarkEnd w:id="0"/>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594"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（三）金桂街（彩云路—兴呈路段）道路建设。</w:t>
      </w:r>
      <w:r>
        <w:rPr>
          <w:rFonts w:hint="default" w:ascii="Times New Roman" w:hAnsi="Times New Roman" w:eastAsia="仿宋_GB2312" w:cs="Times New Roman"/>
          <w:color w:val="auto"/>
          <w:sz w:val="32"/>
          <w:szCs w:val="32"/>
          <w:lang w:val="en-US" w:eastAsia="zh-CN"/>
        </w:rPr>
        <w:t>取消右转喇叭口设计</w:t>
      </w:r>
      <w:r>
        <w:rPr>
          <w:rFonts w:hint="eastAsia" w:ascii="Times New Roman" w:eastAsia="仿宋_GB2312" w:cs="Times New Roman"/>
          <w:color w:val="auto"/>
          <w:sz w:val="32"/>
          <w:szCs w:val="32"/>
          <w:lang w:val="en-US" w:eastAsia="zh-CN"/>
        </w:rPr>
        <w:t>。</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594"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（四）金桂街南侧鑫盛达背后空地约68亩。</w:t>
      </w:r>
      <w:r>
        <w:rPr>
          <w:rFonts w:hint="default" w:ascii="Times New Roman" w:hAnsi="Times New Roman" w:eastAsia="仿宋_GB2312" w:cs="Times New Roman"/>
          <w:sz w:val="32"/>
          <w:szCs w:val="32"/>
          <w:lang w:val="en-US" w:eastAsia="zh-CN"/>
        </w:rPr>
        <w:t>现为围挡空地。任务目标：完成场地拆除围挡、土地平整、绿化美化工作，作为停车场使用。</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594"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（五）金桂街与龙兴路交叉口东北侧空地。</w:t>
      </w:r>
      <w:r>
        <w:rPr>
          <w:rFonts w:hint="eastAsia" w:ascii="仿宋_GB2312" w:hAnsi="仿宋_GB2312" w:eastAsia="仿宋_GB2312" w:cs="仿宋_GB2312"/>
          <w:sz w:val="32"/>
          <w:szCs w:val="32"/>
          <w:lang w:val="en-US" w:eastAsia="zh-CN"/>
        </w:rPr>
        <w:t>面积</w:t>
      </w:r>
      <w:r>
        <w:rPr>
          <w:rFonts w:hint="default" w:ascii="Times New Roman" w:hAnsi="Times New Roman" w:eastAsia="仿宋_GB2312" w:cs="Times New Roman"/>
          <w:sz w:val="32"/>
          <w:szCs w:val="32"/>
          <w:lang w:val="en-US" w:eastAsia="zh-CN"/>
        </w:rPr>
        <w:t>约0.3亩</w:t>
      </w:r>
      <w:r>
        <w:rPr>
          <w:rFonts w:hint="eastAsia" w:asci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结合旅游公厕建设同步进行金桂街与龙兴路交叉口东北侧空地景观打造。</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594" w:firstLineChars="200"/>
        <w:jc w:val="both"/>
        <w:textAlignment w:val="auto"/>
        <w:rPr>
          <w:rFonts w:hint="default" w:ascii="Times New Roman" w:hAnsi="Times New Roman" w:eastAsia="仿宋_GB2312" w:cs="Times New Roman"/>
          <w:kern w:val="0"/>
          <w:sz w:val="32"/>
          <w:szCs w:val="32"/>
          <w:highlight w:val="none"/>
          <w:lang w:val="en-US" w:eastAsia="zh-CN" w:bidi="zh-CN"/>
        </w:rPr>
      </w:pPr>
      <w:r>
        <w:rPr>
          <w:rFonts w:hint="eastAsia" w:ascii="楷体_GB2312" w:hAnsi="楷体_GB2312" w:eastAsia="楷体_GB2312" w:cs="楷体_GB2312"/>
          <w:b w:val="0"/>
          <w:bCs w:val="0"/>
          <w:sz w:val="32"/>
          <w:szCs w:val="32"/>
          <w:lang w:val="en-US" w:eastAsia="zh-CN"/>
        </w:rPr>
        <w:t>（六）金桂街与龙兴路交叉口西北侧绿化空地。</w:t>
      </w:r>
      <w:r>
        <w:rPr>
          <w:rFonts w:hint="default" w:ascii="Times New Roman" w:hAnsi="Times New Roman" w:eastAsia="仿宋_GB2312" w:cs="Times New Roman"/>
          <w:b w:val="0"/>
          <w:bCs w:val="0"/>
          <w:sz w:val="32"/>
          <w:szCs w:val="32"/>
          <w:lang w:val="en-US" w:eastAsia="zh-CN"/>
        </w:rPr>
        <w:t>面积</w:t>
      </w:r>
      <w:r>
        <w:rPr>
          <w:rFonts w:hint="eastAsia" w:ascii="Times New Roman" w:eastAsia="仿宋_GB2312" w:cs="Times New Roman"/>
          <w:b w:val="0"/>
          <w:bCs w:val="0"/>
          <w:sz w:val="32"/>
          <w:szCs w:val="32"/>
          <w:lang w:val="en-US" w:eastAsia="zh-CN"/>
        </w:rPr>
        <w:t>约</w:t>
      </w:r>
      <w:r>
        <w:rPr>
          <w:rFonts w:hint="default" w:ascii="Times New Roman" w:hAnsi="Times New Roman" w:eastAsia="仿宋_GB2312" w:cs="Times New Roman"/>
          <w:b w:val="0"/>
          <w:bCs w:val="0"/>
          <w:sz w:val="32"/>
          <w:szCs w:val="32"/>
          <w:lang w:val="en-US" w:eastAsia="zh-CN"/>
        </w:rPr>
        <w:t>0.1亩</w:t>
      </w:r>
      <w:r>
        <w:rPr>
          <w:rFonts w:hint="eastAsia" w:ascii="Times New Roman" w:eastAsia="仿宋_GB2312" w:cs="Times New Roman"/>
          <w:b w:val="0"/>
          <w:bCs w:val="0"/>
          <w:sz w:val="32"/>
          <w:szCs w:val="32"/>
          <w:lang w:val="en-US" w:eastAsia="zh-CN"/>
        </w:rPr>
        <w:t>，</w:t>
      </w:r>
      <w:r>
        <w:rPr>
          <w:rFonts w:hint="default" w:ascii="Times New Roman" w:hAnsi="Times New Roman" w:eastAsia="仿宋_GB2312" w:cs="Times New Roman"/>
          <w:kern w:val="0"/>
          <w:sz w:val="32"/>
          <w:szCs w:val="32"/>
          <w:highlight w:val="none"/>
          <w:lang w:val="en-US" w:eastAsia="zh-CN" w:bidi="zh-CN"/>
        </w:rPr>
        <w:t>进行</w:t>
      </w:r>
      <w:r>
        <w:rPr>
          <w:rFonts w:hint="eastAsia" w:ascii="Times New Roman" w:eastAsia="仿宋_GB2312" w:cs="Times New Roman"/>
          <w:kern w:val="0"/>
          <w:sz w:val="32"/>
          <w:szCs w:val="32"/>
          <w:highlight w:val="none"/>
          <w:lang w:val="en-US" w:eastAsia="zh-CN" w:bidi="zh-CN"/>
        </w:rPr>
        <w:t>地被更换</w:t>
      </w:r>
      <w:r>
        <w:rPr>
          <w:rFonts w:hint="default" w:ascii="Times New Roman" w:hAnsi="Times New Roman" w:eastAsia="仿宋_GB2312" w:cs="Times New Roman"/>
          <w:kern w:val="0"/>
          <w:sz w:val="32"/>
          <w:szCs w:val="32"/>
          <w:highlight w:val="none"/>
          <w:lang w:val="en-US" w:eastAsia="zh-CN" w:bidi="zh-CN"/>
        </w:rPr>
        <w:t>。</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594"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（七）地铁4号线金桂街地铁站B出口。</w:t>
      </w:r>
      <w:r>
        <w:rPr>
          <w:rFonts w:hint="default" w:ascii="Times New Roman" w:hAnsi="Times New Roman" w:eastAsia="仿宋_GB2312" w:cs="Times New Roman"/>
          <w:sz w:val="32"/>
          <w:szCs w:val="32"/>
          <w:lang w:val="en-US" w:eastAsia="zh-CN"/>
        </w:rPr>
        <w:t>以现有的鲜花“女王大道”为基础，对金桂街地铁站B出口及出口两侧地被、</w:t>
      </w:r>
      <w:r>
        <w:rPr>
          <w:rFonts w:hint="eastAsia" w:ascii="Times New Roman" w:eastAsia="仿宋_GB2312" w:cs="Times New Roman"/>
          <w:sz w:val="32"/>
          <w:szCs w:val="32"/>
          <w:lang w:val="en-US" w:eastAsia="zh-CN"/>
        </w:rPr>
        <w:t>出口</w:t>
      </w:r>
      <w:r>
        <w:rPr>
          <w:rFonts w:hint="default" w:ascii="Times New Roman" w:hAnsi="Times New Roman" w:eastAsia="仿宋_GB2312" w:cs="Times New Roman"/>
          <w:sz w:val="32"/>
          <w:szCs w:val="32"/>
          <w:lang w:val="en-US" w:eastAsia="zh-CN"/>
        </w:rPr>
        <w:t>地面进行整体设计和景观打造。</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594"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（八）金桂街北侧连接花花世界处空地。</w:t>
      </w:r>
      <w:r>
        <w:rPr>
          <w:rFonts w:hint="eastAsia" w:ascii="仿宋_GB2312" w:hAnsi="仿宋_GB2312" w:eastAsia="仿宋_GB2312" w:cs="仿宋_GB2312"/>
          <w:sz w:val="32"/>
          <w:szCs w:val="32"/>
          <w:lang w:val="en-US" w:eastAsia="zh-CN"/>
        </w:rPr>
        <w:t>面积约26亩，</w:t>
      </w:r>
      <w:r>
        <w:rPr>
          <w:rFonts w:hint="default" w:ascii="Times New Roman" w:hAnsi="Times New Roman" w:eastAsia="仿宋_GB2312" w:cs="Times New Roman"/>
          <w:kern w:val="0"/>
          <w:sz w:val="32"/>
          <w:szCs w:val="32"/>
          <w:highlight w:val="none"/>
          <w:lang w:val="en-US" w:eastAsia="zh-CN" w:bidi="zh-CN"/>
        </w:rPr>
        <w:t>按照景观设计方案进行绿化及景观打造工作。</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594"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（九）金桂街与花都路交叉口江云酒店用品博览中心南侧空地。</w:t>
      </w:r>
      <w:r>
        <w:rPr>
          <w:rFonts w:hint="default" w:ascii="Times New Roman" w:hAnsi="Times New Roman" w:eastAsia="仿宋_GB2312" w:cs="Times New Roman"/>
          <w:sz w:val="32"/>
          <w:szCs w:val="32"/>
          <w:lang w:val="en-US" w:eastAsia="zh-CN"/>
        </w:rPr>
        <w:t>现为一半裸露土地一半硬化地面，面积约6亩，作为道路绿化景观提升改造和市场配套功能使用</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594"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（十）金桂街北侧花拍中心门口绿化用地。</w:t>
      </w:r>
      <w:r>
        <w:rPr>
          <w:rFonts w:hint="default" w:ascii="Times New Roman" w:hAnsi="Times New Roman" w:eastAsia="仿宋_GB2312" w:cs="Times New Roman"/>
          <w:sz w:val="32"/>
          <w:szCs w:val="32"/>
          <w:highlight w:val="none"/>
          <w:lang w:val="en-US" w:eastAsia="zh-CN"/>
        </w:rPr>
        <w:t>面积约7亩</w:t>
      </w:r>
      <w:r>
        <w:rPr>
          <w:rFonts w:hint="default" w:ascii="Times New Roman" w:hAnsi="Times New Roman" w:eastAsia="仿宋_GB2312" w:cs="Times New Roman"/>
          <w:sz w:val="32"/>
          <w:szCs w:val="32"/>
          <w:lang w:val="en-US" w:eastAsia="zh-CN"/>
        </w:rPr>
        <w:t>，进行提升改造。</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594"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（十一）江云酒店用品博览中心6号门出口。</w:t>
      </w:r>
      <w:r>
        <w:rPr>
          <w:rFonts w:hint="default" w:ascii="Times New Roman" w:hAnsi="Times New Roman" w:eastAsia="仿宋_GB2312" w:cs="Times New Roman"/>
          <w:sz w:val="32"/>
          <w:szCs w:val="32"/>
          <w:lang w:val="en-US" w:eastAsia="zh-CN"/>
        </w:rPr>
        <w:t>面积约1亩，提升改造</w:t>
      </w:r>
      <w:r>
        <w:rPr>
          <w:rFonts w:hint="eastAsia" w:ascii="Times New Roman" w:eastAsia="仿宋_GB2312" w:cs="Times New Roman"/>
          <w:sz w:val="32"/>
          <w:szCs w:val="32"/>
          <w:lang w:val="en-US" w:eastAsia="zh-CN"/>
        </w:rPr>
        <w:t>。</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594"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（十二）瑞香街和龙兴路交叉殷实家园路口。</w:t>
      </w:r>
      <w:r>
        <w:rPr>
          <w:rFonts w:hint="default" w:ascii="Times New Roman" w:hAnsi="Times New Roman" w:eastAsia="仿宋_GB2312" w:cs="Times New Roman"/>
          <w:sz w:val="32"/>
          <w:szCs w:val="32"/>
          <w:lang w:val="en-US" w:eastAsia="zh-CN"/>
        </w:rPr>
        <w:t>面积约0.2亩，</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eastAsia="仿宋_GB2312" w:cs="Times New Roman"/>
          <w:sz w:val="32"/>
          <w:szCs w:val="32"/>
          <w:lang w:val="en-US" w:eastAsia="zh-CN"/>
        </w:rPr>
        <w:t>进行</w:t>
      </w:r>
      <w:r>
        <w:rPr>
          <w:rFonts w:hint="default" w:ascii="Times New Roman" w:hAnsi="Times New Roman" w:eastAsia="仿宋_GB2312" w:cs="Times New Roman"/>
          <w:sz w:val="32"/>
          <w:szCs w:val="32"/>
          <w:lang w:val="en-US" w:eastAsia="zh-CN"/>
        </w:rPr>
        <w:t>景观方案设计</w:t>
      </w:r>
      <w:r>
        <w:rPr>
          <w:rFonts w:hint="eastAsia" w:asci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提升改造。</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594"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（十三）龙兴路、花都路、兴呈路、瑞香街4个公交车站。</w:t>
      </w:r>
      <w:r>
        <w:rPr>
          <w:rFonts w:hint="default" w:ascii="Times New Roman" w:hAnsi="Times New Roman" w:eastAsia="仿宋_GB2312" w:cs="Times New Roman"/>
          <w:sz w:val="32"/>
          <w:szCs w:val="32"/>
          <w:lang w:val="en-US" w:eastAsia="zh-CN"/>
        </w:rPr>
        <w:t>站台基座长约29.9m、宽约2m，公交车站（单个）长约3.8米、顶宽约1.75m、高约1.86m。</w:t>
      </w:r>
      <w:r>
        <w:rPr>
          <w:rFonts w:hint="eastAsia" w:ascii="Times New Roman" w:eastAsia="仿宋_GB2312" w:cs="Times New Roman"/>
          <w:sz w:val="32"/>
          <w:szCs w:val="32"/>
          <w:lang w:val="en-US" w:eastAsia="zh-CN"/>
        </w:rPr>
        <w:t>进行</w:t>
      </w:r>
      <w:r>
        <w:rPr>
          <w:rFonts w:hint="default" w:ascii="Times New Roman" w:hAnsi="Times New Roman" w:eastAsia="仿宋_GB2312" w:cs="Times New Roman"/>
          <w:sz w:val="32"/>
          <w:szCs w:val="32"/>
          <w:lang w:val="en-US" w:eastAsia="zh-CN"/>
        </w:rPr>
        <w:t>设计及提升改造。</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594"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 xml:space="preserve"> （十四）瑞香街沿线花架16个。</w:t>
      </w:r>
      <w:r>
        <w:rPr>
          <w:rFonts w:hint="default" w:ascii="Times New Roman" w:hAnsi="Times New Roman" w:eastAsia="仿宋_GB2312" w:cs="Times New Roman"/>
          <w:sz w:val="32"/>
          <w:szCs w:val="32"/>
          <w:lang w:val="en-US" w:eastAsia="zh-CN"/>
        </w:rPr>
        <w:t>长约6.8m，宽约3.7米，高约2.86米。</w:t>
      </w:r>
      <w:r>
        <w:rPr>
          <w:rFonts w:hint="eastAsia" w:ascii="Times New Roman" w:eastAsia="仿宋_GB2312" w:cs="Times New Roman"/>
          <w:sz w:val="32"/>
          <w:szCs w:val="32"/>
          <w:lang w:val="en-US" w:eastAsia="zh-CN"/>
        </w:rPr>
        <w:t>进行</w:t>
      </w:r>
      <w:r>
        <w:rPr>
          <w:rFonts w:hint="default" w:ascii="Times New Roman" w:hAnsi="Times New Roman" w:eastAsia="仿宋_GB2312" w:cs="Times New Roman"/>
          <w:sz w:val="32"/>
          <w:szCs w:val="32"/>
          <w:lang w:val="en-US" w:eastAsia="zh-CN"/>
        </w:rPr>
        <w:t>方案设计及提升改造。</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594"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（十五）芊卉公司至盆花市场瑞香街北侧外围景观提升。</w:t>
      </w:r>
      <w:r>
        <w:rPr>
          <w:rFonts w:hint="default" w:ascii="Times New Roman" w:hAnsi="Times New Roman" w:eastAsia="仿宋_GB2312" w:cs="Times New Roman"/>
          <w:sz w:val="32"/>
          <w:szCs w:val="32"/>
          <w:lang w:val="en-US" w:eastAsia="zh-CN"/>
        </w:rPr>
        <w:t>现为普通围挡遮蔽。</w:t>
      </w:r>
      <w:r>
        <w:rPr>
          <w:rFonts w:hint="eastAsia" w:ascii="Times New Roman" w:eastAsia="仿宋_GB2312" w:cs="Times New Roman"/>
          <w:sz w:val="32"/>
          <w:szCs w:val="32"/>
          <w:lang w:val="en-US" w:eastAsia="zh-CN"/>
        </w:rPr>
        <w:t>进行</w:t>
      </w:r>
      <w:r>
        <w:rPr>
          <w:rFonts w:hint="default" w:ascii="Times New Roman" w:hAnsi="Times New Roman" w:eastAsia="仿宋_GB2312" w:cs="Times New Roman"/>
          <w:sz w:val="32"/>
          <w:szCs w:val="32"/>
          <w:lang w:val="en-US" w:eastAsia="zh-CN"/>
        </w:rPr>
        <w:t>实体围墙建设；</w:t>
      </w:r>
      <w:r>
        <w:rPr>
          <w:rFonts w:hint="eastAsia" w:asci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对围墙进行</w:t>
      </w:r>
      <w:r>
        <w:rPr>
          <w:rFonts w:hint="eastAsia" w:ascii="Times New Roman" w:eastAsia="仿宋_GB2312" w:cs="Times New Roman"/>
          <w:sz w:val="32"/>
          <w:szCs w:val="32"/>
          <w:lang w:val="en-US" w:eastAsia="zh-CN"/>
        </w:rPr>
        <w:t>彩绘</w:t>
      </w:r>
      <w:r>
        <w:rPr>
          <w:rFonts w:hint="default" w:ascii="Times New Roman" w:hAnsi="Times New Roman" w:eastAsia="仿宋_GB2312" w:cs="Times New Roman"/>
          <w:sz w:val="32"/>
          <w:szCs w:val="32"/>
          <w:lang w:val="en-US" w:eastAsia="zh-CN"/>
        </w:rPr>
        <w:t>方案设计及实施。</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594"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（十六）周边弱电箱、立交桥墙体提升改造。</w:t>
      </w:r>
      <w:r>
        <w:rPr>
          <w:rFonts w:hint="default" w:ascii="Times New Roman" w:hAnsi="Times New Roman" w:eastAsia="仿宋_GB2312" w:cs="Times New Roman"/>
          <w:sz w:val="32"/>
          <w:szCs w:val="32"/>
          <w:lang w:val="en-US" w:eastAsia="zh-CN"/>
        </w:rPr>
        <w:t>对园区弱电箱、立交桥墙体等进行美化改造，喷绘、彩绘、装饰。</w:t>
      </w:r>
    </w:p>
    <w:p>
      <w:pPr>
        <w:pStyle w:val="6"/>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firstLine="594"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科研用地外围围挡提升改造。</w:t>
      </w:r>
      <w:r>
        <w:rPr>
          <w:rFonts w:hint="default" w:ascii="Times New Roman" w:hAnsi="Times New Roman" w:eastAsia="仿宋_GB2312" w:cs="Times New Roman"/>
          <w:sz w:val="32"/>
          <w:szCs w:val="32"/>
          <w:lang w:val="en-US" w:eastAsia="zh-CN"/>
        </w:rPr>
        <w:t>科研用地外围实体围墙建设工作，融入花卉元素，完成实体围墙彩绘工作。</w:t>
      </w:r>
    </w:p>
    <w:p>
      <w:pPr>
        <w:pStyle w:val="6"/>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firstLine="594" w:firstLineChars="200"/>
        <w:jc w:val="both"/>
        <w:textAlignment w:val="auto"/>
        <w:rPr>
          <w:rFonts w:hint="default" w:ascii="仿宋_GB2312" w:hAnsi="仿宋_GB2312" w:cs="仿宋_GB2312"/>
          <w:szCs w:val="32"/>
          <w:lang w:val="en-US" w:eastAsia="zh-CN"/>
        </w:rPr>
      </w:pPr>
      <w:r>
        <w:rPr>
          <w:rFonts w:hint="eastAsia" w:ascii="楷体_GB2312" w:hAnsi="楷体_GB2312" w:eastAsia="楷体_GB2312" w:cs="楷体_GB2312"/>
          <w:sz w:val="32"/>
          <w:szCs w:val="32"/>
          <w:lang w:val="en-US" w:eastAsia="zh-CN"/>
        </w:rPr>
        <w:t>花花世界、花拍中心、省农科院高效种植基地外立面提升改造。</w:t>
      </w:r>
      <w:r>
        <w:rPr>
          <w:rFonts w:hint="eastAsia" w:ascii="Times New Roman" w:eastAsia="仿宋_GB2312" w:cs="Times New Roman"/>
          <w:sz w:val="32"/>
          <w:szCs w:val="32"/>
          <w:lang w:val="en-US" w:eastAsia="zh-CN"/>
        </w:rPr>
        <w:t>进行</w:t>
      </w:r>
      <w:r>
        <w:rPr>
          <w:rFonts w:hint="default" w:ascii="Times New Roman" w:hAnsi="Times New Roman" w:eastAsia="仿宋_GB2312" w:cs="Times New Roman"/>
          <w:sz w:val="32"/>
          <w:szCs w:val="32"/>
          <w:lang w:val="en-US" w:eastAsia="zh-CN"/>
        </w:rPr>
        <w:t>方案设计工作。</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无</w:t>
      </w:r>
      <w:r>
        <w:rPr>
          <w:rFonts w:hint="eastAsia" w:ascii="仿宋_GB2312" w:hAnsi="仿宋_GB2312" w:cs="仿宋_GB2312"/>
          <w:szCs w:val="32"/>
          <w:lang w:eastAsia="zh-CN"/>
        </w:rPr>
        <w:t>。</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topLinePunct w:val="0"/>
        <w:autoSpaceDE/>
        <w:autoSpaceDN/>
        <w:bidi w:val="0"/>
        <w:adjustRightInd/>
        <w:snapToGrid/>
        <w:ind w:firstLine="594" w:firstLineChars="200"/>
        <w:textAlignment w:val="auto"/>
        <w:rPr>
          <w:rFonts w:hint="eastAsia" w:eastAsia="仿宋_GB2312"/>
          <w:lang w:eastAsia="zh-CN"/>
        </w:rPr>
      </w:pPr>
      <w:r>
        <w:rPr>
          <w:rFonts w:hint="eastAsia" w:ascii="仿宋_GB2312"/>
          <w:szCs w:val="32"/>
          <w:lang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8AC95"/>
    <w:multiLevelType w:val="singleLevel"/>
    <w:tmpl w:val="EAB8AC95"/>
    <w:lvl w:ilvl="0" w:tentative="0">
      <w:start w:val="4"/>
      <w:numFmt w:val="chineseCounting"/>
      <w:suff w:val="nothing"/>
      <w:lvlText w:val="%1、"/>
      <w:lvlJc w:val="left"/>
      <w:rPr>
        <w:rFonts w:hint="eastAsia"/>
      </w:rPr>
    </w:lvl>
  </w:abstractNum>
  <w:abstractNum w:abstractNumId="1">
    <w:nsid w:val="F5F516EA"/>
    <w:multiLevelType w:val="singleLevel"/>
    <w:tmpl w:val="F5F516EA"/>
    <w:lvl w:ilvl="0" w:tentative="0">
      <w:start w:val="17"/>
      <w:numFmt w:val="chineseCounting"/>
      <w:suff w:val="nothing"/>
      <w:lvlText w:val="（%1）"/>
      <w:lvlJc w:val="left"/>
      <w:rPr>
        <w:rFonts w:hint="eastAsia" w:ascii="楷体_GB2312" w:hAnsi="楷体_GB2312" w:eastAsia="楷体_GB2312" w:cs="楷体_GB2312"/>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196D19B6"/>
    <w:rsid w:val="378A5996"/>
    <w:rsid w:val="442225FE"/>
    <w:rsid w:val="5A3C6978"/>
    <w:rsid w:val="5CA745B7"/>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3"/>
    <w:basedOn w:val="3"/>
    <w:next w:val="1"/>
    <w:qFormat/>
    <w:uiPriority w:val="0"/>
    <w:pPr>
      <w:keepNext/>
      <w:keepLines/>
      <w:widowControl w:val="0"/>
      <w:spacing w:line="560" w:lineRule="exact"/>
      <w:outlineLvl w:val="2"/>
    </w:pPr>
    <w:rPr>
      <w:rFonts w:ascii="Times New Roman" w:hAnsi="Times New Roman" w:eastAsia="仿宋_GB2312"/>
      <w:bCs w:val="0"/>
      <w:kern w:val="0"/>
      <w:sz w:val="32"/>
      <w:szCs w:val="32"/>
    </w:rPr>
  </w:style>
  <w:style w:type="paragraph" w:styleId="3">
    <w:name w:val="heading 4"/>
    <w:basedOn w:val="1"/>
    <w:next w:val="1"/>
    <w:qFormat/>
    <w:uiPriority w:val="0"/>
    <w:pPr>
      <w:keepNext/>
      <w:keepLines/>
      <w:widowControl w:val="0"/>
      <w:spacing w:before="280" w:after="290" w:line="376" w:lineRule="auto"/>
      <w:outlineLvl w:val="3"/>
    </w:pPr>
    <w:rPr>
      <w:rFonts w:ascii="Calibri Light" w:hAnsi="Calibri Light" w:eastAsia="宋体" w:cs="Times New Roman"/>
      <w:b/>
      <w:bCs/>
      <w:sz w:val="28"/>
      <w:szCs w:val="28"/>
      <w:lang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979</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2024-02-19T07:42:38Z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