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方正小标宋_GBK" w:eastAsia="方正小标宋_GBK"/>
          <w:sz w:val="36"/>
          <w:szCs w:val="36"/>
        </w:rPr>
      </w:pPr>
      <w:r>
        <w:rPr>
          <w:rFonts w:hint="eastAsia" w:ascii="方正小标宋_GBK" w:eastAsia="方正小标宋_GBK"/>
          <w:sz w:val="36"/>
          <w:szCs w:val="36"/>
        </w:rPr>
        <w:t>斗南花卉小镇北侧交通环线建设项目支出绩效报告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pStyle w:val="2"/>
        <w:keepNext w:val="0"/>
        <w:keepLines w:val="0"/>
        <w:pageBreakBefore w:val="0"/>
        <w:widowControl w:val="0"/>
        <w:kinsoku/>
        <w:wordWrap/>
        <w:overflowPunct/>
        <w:autoSpaceDE/>
        <w:autoSpaceDN/>
        <w:bidi w:val="0"/>
        <w:adjustRightInd/>
        <w:snapToGrid/>
        <w:spacing w:line="240" w:lineRule="auto"/>
        <w:textAlignment w:val="auto"/>
        <w:rPr>
          <w:color w:val="000000" w:themeColor="text1"/>
          <w:spacing w:val="8"/>
          <w14:textFill>
            <w14:solidFill>
              <w14:schemeClr w14:val="tx1"/>
            </w14:solidFill>
          </w14:textFill>
        </w:rPr>
      </w:pPr>
      <w:r>
        <w:rPr>
          <w:rFonts w:hint="eastAsia"/>
        </w:rPr>
        <w:t>项目区域内部道路网密度较低，局部道路通行条件较差，存在断头路，与规划路网仍有一定差距，原规划的呈贡区</w:t>
      </w:r>
      <w:r>
        <w:rPr>
          <w:rFonts w:ascii="Times New Roman" w:hAnsi="Times New Roman" w:cs="Times New Roman"/>
        </w:rPr>
        <w:t>61</w:t>
      </w:r>
      <w:r>
        <w:rPr>
          <w:rFonts w:hint="eastAsia"/>
        </w:rPr>
        <w:t>号路因土地指标问题暂时未能实施建设，斗南花卉小镇北侧交通环线建设项目的实施对完善小镇片区路网具有促进作用，并能够有力的提高周边土地价值，改善片区的投资环境，拉动经济发展。</w:t>
      </w:r>
      <w:r>
        <w:rPr>
          <w:rFonts w:hint="eastAsia"/>
          <w:color w:val="333333"/>
          <w:spacing w:val="8"/>
        </w:rPr>
        <w:t>呈贡区斗南花卉小镇北侧交通环线建设项目位于</w:t>
      </w:r>
      <w:r>
        <w:rPr>
          <w:rFonts w:hint="eastAsia"/>
        </w:rPr>
        <w:t>呈贡区斗南片区，</w:t>
      </w:r>
      <w:r>
        <w:rPr>
          <w:rFonts w:hint="eastAsia"/>
          <w:color w:val="333333"/>
          <w:spacing w:val="8"/>
        </w:rPr>
        <w:t>起于斗南中轴线，由西南向东北延伸，止于彩云中路，修建为</w:t>
      </w:r>
      <w:r>
        <w:rPr>
          <w:rFonts w:ascii="Times New Roman" w:hAnsi="Times New Roman" w:cs="Times New Roman"/>
          <w:color w:val="333333"/>
          <w:spacing w:val="8"/>
        </w:rPr>
        <w:t>8m</w:t>
      </w:r>
      <w:r>
        <w:rPr>
          <w:rFonts w:hint="eastAsia"/>
          <w:color w:val="333333"/>
          <w:spacing w:val="8"/>
        </w:rPr>
        <w:t>宽临时道路，</w:t>
      </w:r>
      <w:r>
        <w:rPr>
          <w:rFonts w:hint="eastAsia" w:ascii="仿宋" w:hAnsi="仿宋" w:eastAsia="仿宋" w:cs="宋体"/>
          <w:color w:val="333333"/>
          <w:spacing w:val="8"/>
        </w:rPr>
        <w:t>设置双向</w:t>
      </w:r>
      <w:r>
        <w:rPr>
          <w:rFonts w:ascii="Times New Roman" w:hAnsi="Times New Roman" w:eastAsia="仿宋" w:cs="Times New Roman"/>
          <w:color w:val="333333"/>
          <w:spacing w:val="8"/>
        </w:rPr>
        <w:t>2</w:t>
      </w:r>
      <w:r>
        <w:rPr>
          <w:rFonts w:hint="eastAsia" w:ascii="仿宋" w:hAnsi="仿宋" w:eastAsia="仿宋" w:cs="宋体"/>
          <w:color w:val="333333"/>
          <w:spacing w:val="8"/>
        </w:rPr>
        <w:t>车道，设计时速</w:t>
      </w:r>
      <w:r>
        <w:rPr>
          <w:rFonts w:ascii="Times New Roman" w:hAnsi="Times New Roman" w:eastAsia="仿宋" w:cs="Times New Roman"/>
          <w:color w:val="333333"/>
          <w:spacing w:val="8"/>
        </w:rPr>
        <w:t>20km/h</w:t>
      </w:r>
      <w:r>
        <w:rPr>
          <w:rFonts w:hint="eastAsia" w:ascii="仿宋" w:hAnsi="仿宋" w:eastAsia="仿宋" w:cs="宋体"/>
          <w:color w:val="333333"/>
          <w:spacing w:val="8"/>
        </w:rPr>
        <w:t>，</w:t>
      </w:r>
      <w:r>
        <w:rPr>
          <w:rFonts w:hint="eastAsia"/>
          <w:color w:val="333333"/>
          <w:spacing w:val="8"/>
        </w:rPr>
        <w:t>工程范围内全长</w:t>
      </w:r>
      <w:r>
        <w:rPr>
          <w:rFonts w:ascii="Times New Roman" w:hAnsi="Times New Roman" w:cs="Times New Roman"/>
          <w:color w:val="333333"/>
          <w:spacing w:val="8"/>
        </w:rPr>
        <w:t>1717.95m</w:t>
      </w:r>
      <w:r>
        <w:rPr>
          <w:rFonts w:hint="eastAsia"/>
          <w:color w:val="333333"/>
          <w:spacing w:val="8"/>
        </w:rPr>
        <w:t>。本项目工程内容包括道路、交通、照明等。</w:t>
      </w:r>
    </w:p>
    <w:p>
      <w:pPr>
        <w:pStyle w:val="2"/>
        <w:keepNext w:val="0"/>
        <w:keepLines w:val="0"/>
        <w:pageBreakBefore w:val="0"/>
        <w:widowControl w:val="0"/>
        <w:kinsoku/>
        <w:wordWrap/>
        <w:overflowPunct/>
        <w:autoSpaceDE/>
        <w:autoSpaceDN/>
        <w:bidi w:val="0"/>
        <w:adjustRightInd/>
        <w:snapToGrid/>
        <w:spacing w:line="240" w:lineRule="auto"/>
        <w:textAlignment w:val="auto"/>
      </w:pPr>
      <w:r>
        <w:rPr>
          <w:rFonts w:hint="eastAsia"/>
        </w:rPr>
        <w:t>建设单位：昆明市呈贡区城市投资集团有限公司</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设计单位：云南人防建筑设计院有限公司</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z w:val="32"/>
          <w:szCs w:val="32"/>
        </w:rPr>
        <w:t>监理单位：</w:t>
      </w:r>
      <w:r>
        <w:rPr>
          <w:rFonts w:hint="eastAsia" w:ascii="仿宋_GB2312" w:hAnsi="仿宋_GB2312" w:eastAsia="仿宋_GB2312" w:cs="仿宋_GB2312"/>
          <w:spacing w:val="-4"/>
          <w:sz w:val="32"/>
          <w:szCs w:val="32"/>
        </w:rPr>
        <w:t>中船重工海鑫工程管理（北京）有限公司</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ascii="仿宋_GB2312"/>
          <w:szCs w:val="32"/>
        </w:rPr>
      </w:pPr>
      <w:r>
        <w:rPr>
          <w:rFonts w:hint="eastAsia" w:ascii="仿宋_GB2312" w:hAnsi="仿宋_GB2312" w:eastAsia="仿宋_GB2312" w:cs="仿宋_GB2312"/>
          <w:color w:val="000000"/>
          <w:sz w:val="32"/>
          <w:szCs w:val="32"/>
        </w:rPr>
        <w:t>施工单位：</w:t>
      </w:r>
      <w:r>
        <w:rPr>
          <w:rFonts w:hint="eastAsia" w:ascii="仿宋_GB2312" w:hAnsi="仿宋_GB2312" w:eastAsia="仿宋_GB2312" w:cs="仿宋_GB2312"/>
          <w:color w:val="000000"/>
          <w:spacing w:val="8"/>
          <w:kern w:val="0"/>
          <w:sz w:val="32"/>
          <w:szCs w:val="32"/>
        </w:rPr>
        <w:t>昆明市道桥工程有限责任公司</w:t>
      </w:r>
    </w:p>
    <w:p>
      <w:pPr>
        <w:keepNext w:val="0"/>
        <w:keepLines w:val="0"/>
        <w:pageBreakBefore w:val="0"/>
        <w:widowControl w:val="0"/>
        <w:numPr>
          <w:ilvl w:val="0"/>
          <w:numId w:val="1"/>
        </w:numPr>
        <w:kinsoku/>
        <w:wordWrap/>
        <w:overflowPunct/>
        <w:topLinePunct/>
        <w:autoSpaceDE/>
        <w:autoSpaceDN/>
        <w:bidi w:val="0"/>
        <w:adjustRightInd/>
        <w:snapToGrid/>
        <w:spacing w:line="240" w:lineRule="auto"/>
        <w:ind w:firstLine="594" w:firstLineChars="200"/>
        <w:textAlignment w:val="auto"/>
        <w:rPr>
          <w:rFonts w:hint="eastAsia" w:ascii="仿宋_GB2312"/>
          <w:szCs w:val="32"/>
        </w:rPr>
      </w:pPr>
      <w:r>
        <w:rPr>
          <w:rFonts w:hint="eastAsia" w:ascii="仿宋_GB2312"/>
          <w:szCs w:val="32"/>
        </w:rPr>
        <w:t>绩效目标设定及指标完成情况</w:t>
      </w:r>
    </w:p>
    <w:p>
      <w:pPr>
        <w:pStyle w:val="2"/>
        <w:numPr>
          <w:numId w:val="0"/>
        </w:numPr>
        <w:ind w:leftChars="200"/>
        <w:rPr>
          <w:rFonts w:hint="default" w:eastAsia="仿宋_GB2312"/>
          <w:lang w:val="en-US" w:eastAsia="zh-CN"/>
        </w:rPr>
      </w:pPr>
      <w:r>
        <w:rPr>
          <w:rFonts w:hint="eastAsia"/>
          <w:lang w:val="en-US" w:eastAsia="zh-CN"/>
        </w:rPr>
        <w:t>该路网已全部建设完毕，绩效目标均完成。</w:t>
      </w:r>
    </w:p>
    <w:p>
      <w:pPr>
        <w:numPr>
          <w:ilvl w:val="0"/>
          <w:numId w:val="2"/>
        </w:numPr>
        <w:topLinePunct/>
        <w:ind w:firstLine="594" w:firstLineChars="200"/>
        <w:rPr>
          <w:rFonts w:hint="eastAsia" w:ascii="黑体" w:eastAsia="黑体"/>
          <w:szCs w:val="32"/>
          <w:lang w:eastAsia="zh-CN"/>
        </w:rPr>
      </w:pPr>
      <w:r>
        <w:rPr>
          <w:rFonts w:hint="eastAsia" w:ascii="黑体" w:eastAsia="黑体"/>
          <w:szCs w:val="32"/>
          <w:lang w:eastAsia="zh-CN"/>
        </w:rPr>
        <w:t>项目资金使用及管理情况</w:t>
      </w:r>
    </w:p>
    <w:p>
      <w:pPr>
        <w:pStyle w:val="2"/>
        <w:numPr>
          <w:numId w:val="0"/>
        </w:numPr>
        <w:ind w:leftChars="200"/>
        <w:rPr>
          <w:rFonts w:hint="default" w:eastAsia="仿宋_GB2312"/>
          <w:lang w:val="en-US" w:eastAsia="zh-CN"/>
        </w:rPr>
      </w:pPr>
      <w:r>
        <w:rPr>
          <w:rFonts w:hint="eastAsia"/>
          <w:lang w:eastAsia="zh-CN"/>
        </w:rPr>
        <w:t>该项目由</w:t>
      </w:r>
      <w:r>
        <w:rPr>
          <w:rFonts w:hint="eastAsia"/>
        </w:rPr>
        <w:t>昆明市呈贡区城市投资集团有限公司</w:t>
      </w:r>
      <w:r>
        <w:rPr>
          <w:rFonts w:hint="eastAsia"/>
          <w:lang w:eastAsia="zh-CN"/>
        </w:rPr>
        <w:t>建设，项目已建设完毕，斗南街道按照项目资金使用规范支付</w:t>
      </w:r>
      <w:r>
        <w:rPr>
          <w:rFonts w:hint="eastAsia"/>
        </w:rPr>
        <w:t>昆明市呈贡区城市投资集团有限公司</w:t>
      </w:r>
      <w:r>
        <w:rPr>
          <w:rFonts w:hint="eastAsia"/>
          <w:lang w:eastAsia="zh-CN"/>
        </w:rPr>
        <w:t>项目所需费用</w:t>
      </w:r>
      <w:r>
        <w:rPr>
          <w:rFonts w:hint="eastAsia"/>
          <w:lang w:val="en-US" w:eastAsia="zh-CN"/>
        </w:rPr>
        <w:t>1786.18万元。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pStyle w:val="6"/>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ascii="Times New Roman" w:hAnsi="Times New Roman" w:eastAsia="仿宋_GB2312" w:cs="Times New Roman"/>
          <w:bCs/>
          <w:sz w:val="32"/>
          <w:szCs w:val="32"/>
        </w:rPr>
      </w:pPr>
      <w:r>
        <w:rPr>
          <w:rFonts w:hint="eastAsia" w:ascii="仿宋_GB2312" w:hAnsi="仿宋_GB2312" w:eastAsia="仿宋_GB2312" w:cs="仿宋_GB2312"/>
          <w:bCs/>
          <w:sz w:val="32"/>
          <w:szCs w:val="32"/>
        </w:rPr>
        <w:t>（一）前期手续办理情况：</w:t>
      </w:r>
      <w:r>
        <w:rPr>
          <w:rFonts w:hint="eastAsia" w:ascii="Times New Roman" w:hAnsi="Times New Roman" w:eastAsia="仿宋_GB2312" w:cs="Times New Roman"/>
          <w:bCs/>
          <w:sz w:val="32"/>
          <w:szCs w:val="32"/>
        </w:rPr>
        <w:t>于2021年6月2日取得昆明市呈贡区发展和改革局《关于呈贡区斗南花卉小镇北侧交通环线建设项目可行性研究报告的批复》(呈发改复(2021125号)。项目责任单位为区城投公司。</w:t>
      </w:r>
    </w:p>
    <w:p>
      <w:pPr>
        <w:pStyle w:val="6"/>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w:t>
      </w:r>
      <w:r>
        <w:rPr>
          <w:rFonts w:ascii="Times New Roman" w:hAnsi="Times New Roman" w:eastAsia="仿宋_GB2312" w:cs="Times New Roman"/>
          <w:bCs/>
          <w:sz w:val="32"/>
          <w:szCs w:val="32"/>
        </w:rPr>
        <w:t>招投标情况</w:t>
      </w:r>
      <w:r>
        <w:rPr>
          <w:rFonts w:hint="eastAsia" w:ascii="Times New Roman" w:hAnsi="Times New Roman" w:eastAsia="仿宋_GB2312" w:cs="Times New Roman"/>
          <w:bCs/>
          <w:sz w:val="32"/>
          <w:szCs w:val="32"/>
        </w:rPr>
        <w:t>：</w:t>
      </w:r>
    </w:p>
    <w:p>
      <w:pPr>
        <w:pStyle w:val="6"/>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该项目进入昆明市公共资源交易中心进行公开招标，确定昆明市道桥工程有限责任公司为施工单位，云南人防建筑设计院有限公司为勘察、设计单位</w:t>
      </w:r>
      <w:r>
        <w:rPr>
          <w:rFonts w:hint="eastAsia" w:ascii="Times New Roman" w:hAnsi="Times New Roman" w:eastAsia="仿宋_GB2312" w:cs="Times New Roman"/>
          <w:bCs/>
          <w:sz w:val="32"/>
          <w:szCs w:val="32"/>
        </w:rPr>
        <w:t>。</w:t>
      </w:r>
    </w:p>
    <w:p>
      <w:pPr>
        <w:pStyle w:val="6"/>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通过云南省投资审批中介超市选取，确定昆明市政工程设计科学研究院有限公司为可行性研究报告编制服务单位，昆明龙慧工程设计咨询有限公司为洪水影响评价报告编制单位，云南兴滇建筑设计咨询有限公司为施工图设计文件审查单位</w:t>
      </w:r>
      <w:r>
        <w:rPr>
          <w:rFonts w:hint="eastAsia" w:ascii="Times New Roman" w:hAnsi="Times New Roman" w:eastAsia="仿宋_GB2312" w:cs="Times New Roman"/>
          <w:bCs/>
          <w:sz w:val="32"/>
          <w:szCs w:val="32"/>
        </w:rPr>
        <w:t>。</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采取场外公开招标方式，确定中船重工海鑫工程管理(北京)有限公司为监理单位，昆明东陆工程造价咨询有限公司为造价咨询单位</w:t>
      </w:r>
      <w:r>
        <w:rPr>
          <w:rFonts w:hint="eastAsia" w:ascii="Times New Roman" w:hAnsi="Times New Roman" w:eastAsia="仿宋_GB2312" w:cs="Times New Roman"/>
          <w:bCs/>
          <w:sz w:val="32"/>
          <w:szCs w:val="32"/>
        </w:rPr>
        <w:t>。</w:t>
      </w:r>
    </w:p>
    <w:p>
      <w:pPr>
        <w:pStyle w:val="6"/>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szCs w:val="32"/>
        </w:rPr>
        <w:t>采用自行委托方式，确定昆明市测绘研究院为测绘单位，云南建林工程建设招标造价咨询有限公司为招标代理单位，昆明呈贡区城投建筑工程质量检测中心有限公司为工程检测单位，昆明飞讯达信息科技有限公司为放桩测绘单位。</w:t>
      </w:r>
    </w:p>
    <w:p>
      <w:pPr>
        <w:pStyle w:val="6"/>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ascii="仿宋_GB2312" w:hAnsi="仿宋_GB2312" w:eastAsia="仿宋_GB2312" w:cs="仿宋_GB2312"/>
          <w:color w:val="000000" w:themeColor="text1"/>
          <w:spacing w:val="8"/>
          <w:sz w:val="32"/>
          <w:szCs w:val="32"/>
          <w14:textFill>
            <w14:solidFill>
              <w14:schemeClr w14:val="tx1"/>
            </w14:solidFill>
          </w14:textFill>
        </w:rPr>
      </w:pPr>
      <w:r>
        <w:rPr>
          <w:rFonts w:hint="eastAsia" w:ascii="Times New Roman" w:hAnsi="Times New Roman" w:eastAsia="仿宋_GB2312" w:cs="Times New Roman"/>
          <w:sz w:val="32"/>
          <w:szCs w:val="32"/>
        </w:rPr>
        <w:t>（三）施工开展情况：</w:t>
      </w:r>
      <w:r>
        <w:rPr>
          <w:rFonts w:hint="eastAsia" w:ascii="仿宋_GB2312" w:hAnsi="仿宋_GB2312" w:eastAsia="仿宋_GB2312" w:cs="仿宋_GB2312"/>
          <w:color w:val="000000" w:themeColor="text1"/>
          <w:spacing w:val="8"/>
          <w:sz w:val="32"/>
          <w:szCs w:val="32"/>
          <w14:textFill>
            <w14:solidFill>
              <w14:schemeClr w14:val="tx1"/>
            </w14:solidFill>
          </w14:textFill>
        </w:rPr>
        <w:t>该项目于</w:t>
      </w:r>
      <w:r>
        <w:rPr>
          <w:rFonts w:ascii="Times New Roman" w:hAnsi="Times New Roman" w:eastAsia="仿宋_GB2312" w:cs="Times New Roman"/>
          <w:color w:val="000000" w:themeColor="text1"/>
          <w:spacing w:val="8"/>
          <w:sz w:val="32"/>
          <w:szCs w:val="32"/>
          <w14:textFill>
            <w14:solidFill>
              <w14:schemeClr w14:val="tx1"/>
            </w14:solidFill>
          </w14:textFill>
        </w:rPr>
        <w:t>2021</w:t>
      </w:r>
      <w:r>
        <w:rPr>
          <w:rFonts w:hint="eastAsia" w:ascii="仿宋_GB2312" w:hAnsi="仿宋_GB2312" w:eastAsia="仿宋_GB2312" w:cs="仿宋_GB2312"/>
          <w:color w:val="000000" w:themeColor="text1"/>
          <w:spacing w:val="8"/>
          <w:sz w:val="32"/>
          <w:szCs w:val="32"/>
          <w14:textFill>
            <w14:solidFill>
              <w14:schemeClr w14:val="tx1"/>
            </w14:solidFill>
          </w14:textFill>
        </w:rPr>
        <w:t>年</w:t>
      </w:r>
      <w:r>
        <w:rPr>
          <w:rFonts w:ascii="Times New Roman" w:hAnsi="Times New Roman" w:eastAsia="仿宋_GB2312" w:cs="Times New Roman"/>
          <w:color w:val="000000" w:themeColor="text1"/>
          <w:spacing w:val="8"/>
          <w:sz w:val="32"/>
          <w:szCs w:val="32"/>
          <w14:textFill>
            <w14:solidFill>
              <w14:schemeClr w14:val="tx1"/>
            </w14:solidFill>
          </w14:textFill>
        </w:rPr>
        <w:t>12</w:t>
      </w:r>
      <w:r>
        <w:rPr>
          <w:rFonts w:hint="eastAsia" w:ascii="仿宋_GB2312" w:hAnsi="仿宋_GB2312" w:eastAsia="仿宋_GB2312" w:cs="仿宋_GB2312"/>
          <w:color w:val="000000" w:themeColor="text1"/>
          <w:spacing w:val="8"/>
          <w:sz w:val="32"/>
          <w:szCs w:val="32"/>
          <w14:textFill>
            <w14:solidFill>
              <w14:schemeClr w14:val="tx1"/>
            </w14:solidFill>
          </w14:textFill>
        </w:rPr>
        <w:t>月</w:t>
      </w:r>
      <w:r>
        <w:rPr>
          <w:rFonts w:ascii="Times New Roman" w:hAnsi="Times New Roman" w:eastAsia="仿宋_GB2312" w:cs="Times New Roman"/>
          <w:color w:val="000000" w:themeColor="text1"/>
          <w:spacing w:val="8"/>
          <w:sz w:val="32"/>
          <w:szCs w:val="32"/>
          <w14:textFill>
            <w14:solidFill>
              <w14:schemeClr w14:val="tx1"/>
            </w14:solidFill>
          </w14:textFill>
        </w:rPr>
        <w:t>1</w:t>
      </w:r>
      <w:r>
        <w:rPr>
          <w:rFonts w:hint="eastAsia" w:ascii="仿宋_GB2312" w:hAnsi="仿宋_GB2312" w:eastAsia="仿宋_GB2312" w:cs="仿宋_GB2312"/>
          <w:color w:val="000000" w:themeColor="text1"/>
          <w:spacing w:val="8"/>
          <w:sz w:val="32"/>
          <w:szCs w:val="32"/>
          <w14:textFill>
            <w14:solidFill>
              <w14:schemeClr w14:val="tx1"/>
            </w14:solidFill>
          </w14:textFill>
        </w:rPr>
        <w:t>日开工，</w:t>
      </w:r>
      <w:r>
        <w:rPr>
          <w:rFonts w:ascii="Times New Roman" w:hAnsi="Times New Roman" w:eastAsia="仿宋_GB2312" w:cs="Times New Roman"/>
          <w:color w:val="000000" w:themeColor="text1"/>
          <w:spacing w:val="8"/>
          <w:sz w:val="32"/>
          <w:szCs w:val="32"/>
          <w14:textFill>
            <w14:solidFill>
              <w14:schemeClr w14:val="tx1"/>
            </w14:solidFill>
          </w14:textFill>
        </w:rPr>
        <w:t>2022</w:t>
      </w:r>
      <w:r>
        <w:rPr>
          <w:rFonts w:hint="eastAsia" w:ascii="仿宋_GB2312" w:hAnsi="仿宋_GB2312" w:eastAsia="仿宋_GB2312" w:cs="仿宋_GB2312"/>
          <w:color w:val="000000" w:themeColor="text1"/>
          <w:spacing w:val="8"/>
          <w:sz w:val="32"/>
          <w:szCs w:val="32"/>
          <w14:textFill>
            <w14:solidFill>
              <w14:schemeClr w14:val="tx1"/>
            </w14:solidFill>
          </w14:textFill>
        </w:rPr>
        <w:t>年</w:t>
      </w:r>
      <w:r>
        <w:rPr>
          <w:rFonts w:ascii="Times New Roman" w:hAnsi="Times New Roman" w:eastAsia="仿宋_GB2312" w:cs="Times New Roman"/>
          <w:color w:val="000000" w:themeColor="text1"/>
          <w:spacing w:val="8"/>
          <w:sz w:val="32"/>
          <w:szCs w:val="32"/>
          <w14:textFill>
            <w14:solidFill>
              <w14:schemeClr w14:val="tx1"/>
            </w14:solidFill>
          </w14:textFill>
        </w:rPr>
        <w:t>7</w:t>
      </w:r>
      <w:r>
        <w:rPr>
          <w:rFonts w:hint="eastAsia" w:ascii="仿宋_GB2312" w:hAnsi="仿宋_GB2312" w:eastAsia="仿宋_GB2312" w:cs="仿宋_GB2312"/>
          <w:color w:val="000000" w:themeColor="text1"/>
          <w:spacing w:val="8"/>
          <w:sz w:val="32"/>
          <w:szCs w:val="32"/>
          <w14:textFill>
            <w14:solidFill>
              <w14:schemeClr w14:val="tx1"/>
            </w14:solidFill>
          </w14:textFill>
        </w:rPr>
        <w:t>月</w:t>
      </w:r>
      <w:r>
        <w:rPr>
          <w:rFonts w:ascii="Times New Roman" w:hAnsi="Times New Roman" w:eastAsia="仿宋_GB2312" w:cs="Times New Roman"/>
          <w:color w:val="000000" w:themeColor="text1"/>
          <w:spacing w:val="8"/>
          <w:sz w:val="32"/>
          <w:szCs w:val="32"/>
          <w14:textFill>
            <w14:solidFill>
              <w14:schemeClr w14:val="tx1"/>
            </w14:solidFill>
          </w14:textFill>
        </w:rPr>
        <w:t>10</w:t>
      </w:r>
      <w:r>
        <w:rPr>
          <w:rFonts w:hint="eastAsia" w:ascii="仿宋_GB2312" w:hAnsi="仿宋_GB2312" w:eastAsia="仿宋_GB2312" w:cs="仿宋_GB2312"/>
          <w:color w:val="000000" w:themeColor="text1"/>
          <w:spacing w:val="8"/>
          <w:sz w:val="32"/>
          <w:szCs w:val="32"/>
          <w14:textFill>
            <w14:solidFill>
              <w14:schemeClr w14:val="tx1"/>
            </w14:solidFill>
          </w14:textFill>
        </w:rPr>
        <w:t>日完工</w:t>
      </w:r>
      <w:r>
        <w:rPr>
          <w:rFonts w:ascii="Times New Roman" w:hAnsi="Times New Roman" w:eastAsia="仿宋_GB2312" w:cs="Times New Roman"/>
          <w:color w:val="000000" w:themeColor="text1"/>
          <w:spacing w:val="8"/>
          <w:sz w:val="32"/>
          <w:szCs w:val="32"/>
          <w14:textFill>
            <w14:solidFill>
              <w14:schemeClr w14:val="tx1"/>
            </w14:solidFill>
          </w14:textFill>
        </w:rPr>
        <w:t>2022</w:t>
      </w:r>
      <w:r>
        <w:rPr>
          <w:rFonts w:hint="eastAsia" w:ascii="仿宋_GB2312" w:hAnsi="仿宋_GB2312" w:eastAsia="仿宋_GB2312" w:cs="仿宋_GB2312"/>
          <w:color w:val="000000" w:themeColor="text1"/>
          <w:spacing w:val="8"/>
          <w:sz w:val="32"/>
          <w:szCs w:val="32"/>
          <w14:textFill>
            <w14:solidFill>
              <w14:schemeClr w14:val="tx1"/>
            </w14:solidFill>
          </w14:textFill>
        </w:rPr>
        <w:t>年</w:t>
      </w:r>
      <w:r>
        <w:rPr>
          <w:rFonts w:ascii="Times New Roman" w:hAnsi="Times New Roman" w:eastAsia="仿宋_GB2312" w:cs="Times New Roman"/>
          <w:color w:val="000000" w:themeColor="text1"/>
          <w:spacing w:val="8"/>
          <w:sz w:val="32"/>
          <w:szCs w:val="32"/>
          <w14:textFill>
            <w14:solidFill>
              <w14:schemeClr w14:val="tx1"/>
            </w14:solidFill>
          </w14:textFill>
        </w:rPr>
        <w:t>7</w:t>
      </w:r>
      <w:r>
        <w:rPr>
          <w:rFonts w:hint="eastAsia" w:ascii="仿宋_GB2312" w:hAnsi="仿宋_GB2312" w:eastAsia="仿宋_GB2312" w:cs="仿宋_GB2312"/>
          <w:color w:val="000000" w:themeColor="text1"/>
          <w:spacing w:val="8"/>
          <w:sz w:val="32"/>
          <w:szCs w:val="32"/>
          <w14:textFill>
            <w14:solidFill>
              <w14:schemeClr w14:val="tx1"/>
            </w14:solidFill>
          </w14:textFill>
        </w:rPr>
        <w:t>月</w:t>
      </w:r>
      <w:r>
        <w:rPr>
          <w:rFonts w:ascii="Times New Roman" w:hAnsi="Times New Roman" w:eastAsia="仿宋_GB2312" w:cs="Times New Roman"/>
          <w:color w:val="000000" w:themeColor="text1"/>
          <w:spacing w:val="8"/>
          <w:sz w:val="32"/>
          <w:szCs w:val="32"/>
          <w14:textFill>
            <w14:solidFill>
              <w14:schemeClr w14:val="tx1"/>
            </w14:solidFill>
          </w14:textFill>
        </w:rPr>
        <w:t>15</w:t>
      </w:r>
      <w:r>
        <w:rPr>
          <w:rFonts w:hint="eastAsia" w:ascii="仿宋_GB2312" w:hAnsi="仿宋_GB2312" w:eastAsia="仿宋_GB2312" w:cs="仿宋_GB2312"/>
          <w:color w:val="000000" w:themeColor="text1"/>
          <w:spacing w:val="8"/>
          <w:sz w:val="32"/>
          <w:szCs w:val="32"/>
          <w14:textFill>
            <w14:solidFill>
              <w14:schemeClr w14:val="tx1"/>
            </w14:solidFill>
          </w14:textFill>
        </w:rPr>
        <w:t>日通过初步验收:</w:t>
      </w:r>
      <w:r>
        <w:rPr>
          <w:rFonts w:ascii="Times New Roman" w:hAnsi="Times New Roman" w:eastAsia="仿宋_GB2312" w:cs="Times New Roman"/>
          <w:color w:val="000000" w:themeColor="text1"/>
          <w:spacing w:val="8"/>
          <w:sz w:val="32"/>
          <w:szCs w:val="32"/>
          <w14:textFill>
            <w14:solidFill>
              <w14:schemeClr w14:val="tx1"/>
            </w14:solidFill>
          </w14:textFill>
        </w:rPr>
        <w:t>2022</w:t>
      </w:r>
      <w:r>
        <w:rPr>
          <w:rFonts w:hint="eastAsia" w:ascii="仿宋_GB2312" w:hAnsi="仿宋_GB2312" w:eastAsia="仿宋_GB2312" w:cs="仿宋_GB2312"/>
          <w:color w:val="000000" w:themeColor="text1"/>
          <w:spacing w:val="8"/>
          <w:sz w:val="32"/>
          <w:szCs w:val="32"/>
          <w14:textFill>
            <w14:solidFill>
              <w14:schemeClr w14:val="tx1"/>
            </w14:solidFill>
          </w14:textFill>
        </w:rPr>
        <w:t>年</w:t>
      </w:r>
      <w:r>
        <w:rPr>
          <w:rFonts w:ascii="Times New Roman" w:hAnsi="Times New Roman" w:eastAsia="仿宋_GB2312" w:cs="Times New Roman"/>
          <w:color w:val="000000" w:themeColor="text1"/>
          <w:spacing w:val="8"/>
          <w:sz w:val="32"/>
          <w:szCs w:val="32"/>
          <w14:textFill>
            <w14:solidFill>
              <w14:schemeClr w14:val="tx1"/>
            </w14:solidFill>
          </w14:textFill>
        </w:rPr>
        <w:t>7</w:t>
      </w:r>
      <w:r>
        <w:rPr>
          <w:rFonts w:hint="eastAsia" w:ascii="仿宋_GB2312" w:hAnsi="仿宋_GB2312" w:eastAsia="仿宋_GB2312" w:cs="仿宋_GB2312"/>
          <w:color w:val="000000" w:themeColor="text1"/>
          <w:spacing w:val="8"/>
          <w:sz w:val="32"/>
          <w:szCs w:val="32"/>
          <w14:textFill>
            <w14:solidFill>
              <w14:schemeClr w14:val="tx1"/>
            </w14:solidFill>
          </w14:textFill>
        </w:rPr>
        <w:t>月</w:t>
      </w:r>
      <w:r>
        <w:rPr>
          <w:rFonts w:ascii="Times New Roman" w:hAnsi="Times New Roman" w:eastAsia="仿宋_GB2312" w:cs="Times New Roman"/>
          <w:color w:val="000000" w:themeColor="text1"/>
          <w:spacing w:val="8"/>
          <w:sz w:val="32"/>
          <w:szCs w:val="32"/>
          <w14:textFill>
            <w14:solidFill>
              <w14:schemeClr w14:val="tx1"/>
            </w14:solidFill>
          </w14:textFill>
        </w:rPr>
        <w:t>21</w:t>
      </w:r>
      <w:r>
        <w:rPr>
          <w:rFonts w:hint="eastAsia" w:ascii="仿宋_GB2312" w:hAnsi="仿宋_GB2312" w:eastAsia="仿宋_GB2312" w:cs="仿宋_GB2312"/>
          <w:color w:val="000000" w:themeColor="text1"/>
          <w:spacing w:val="8"/>
          <w:sz w:val="32"/>
          <w:szCs w:val="32"/>
          <w14:textFill>
            <w14:solidFill>
              <w14:schemeClr w14:val="tx1"/>
            </w14:solidFill>
          </w14:textFill>
        </w:rPr>
        <w:t>日竣工验收合格。项目建成后已投入使用，现由区城投公司管理，暂未移交。</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pStyle w:val="6"/>
        <w:keepNext w:val="0"/>
        <w:keepLines w:val="0"/>
        <w:pageBreakBefore w:val="0"/>
        <w:widowControl w:val="0"/>
        <w:kinsoku/>
        <w:wordWrap/>
        <w:overflowPunct/>
        <w:topLinePunct w:val="0"/>
        <w:autoSpaceDE/>
        <w:autoSpaceDN/>
        <w:bidi w:val="0"/>
        <w:adjustRightInd/>
        <w:snapToGrid/>
        <w:spacing w:line="240" w:lineRule="auto"/>
        <w:ind w:firstLine="67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pacing w:val="8"/>
          <w:sz w:val="32"/>
          <w:szCs w:val="32"/>
          <w14:textFill>
            <w14:solidFill>
              <w14:schemeClr w14:val="tx1"/>
            </w14:solidFill>
          </w14:textFill>
        </w:rPr>
        <w:t>项目总投资约</w:t>
      </w:r>
      <w:r>
        <w:rPr>
          <w:rFonts w:ascii="Times New Roman" w:hAnsi="Times New Roman" w:eastAsia="仿宋_GB2312" w:cs="Times New Roman"/>
          <w:color w:val="000000" w:themeColor="text1"/>
          <w:spacing w:val="8"/>
          <w:sz w:val="32"/>
          <w:szCs w:val="32"/>
          <w14:textFill>
            <w14:solidFill>
              <w14:schemeClr w14:val="tx1"/>
            </w14:solidFill>
          </w14:textFill>
        </w:rPr>
        <w:t>4716.54</w:t>
      </w:r>
      <w:r>
        <w:rPr>
          <w:rFonts w:hint="eastAsia" w:ascii="仿宋_GB2312" w:hAnsi="仿宋_GB2312" w:eastAsia="仿宋_GB2312" w:cs="仿宋_GB2312"/>
          <w:color w:val="000000" w:themeColor="text1"/>
          <w:spacing w:val="8"/>
          <w:sz w:val="32"/>
          <w:szCs w:val="32"/>
          <w14:textFill>
            <w14:solidFill>
              <w14:schemeClr w14:val="tx1"/>
            </w14:solidFill>
          </w14:textFill>
        </w:rPr>
        <w:t>万元（可研批复估算），</w:t>
      </w:r>
      <w:r>
        <w:rPr>
          <w:rFonts w:hint="eastAsia" w:ascii="仿宋_GB2312" w:hAnsi="仿宋_GB2312" w:eastAsia="仿宋_GB2312" w:cs="仿宋_GB2312"/>
          <w:bCs/>
          <w:sz w:val="32"/>
          <w:szCs w:val="32"/>
        </w:rPr>
        <w:t>项目资金来源为区级财政资金。该项目报审决算金额为</w:t>
      </w:r>
      <w:r>
        <w:rPr>
          <w:rFonts w:ascii="Times New Roman" w:hAnsi="Times New Roman" w:eastAsia="仿宋_GB2312" w:cs="Times New Roman"/>
          <w:bCs/>
          <w:sz w:val="32"/>
          <w:szCs w:val="32"/>
        </w:rPr>
        <w:t>18610369.06</w:t>
      </w:r>
      <w:r>
        <w:rPr>
          <w:rFonts w:hint="eastAsia" w:ascii="仿宋_GB2312" w:hAnsi="仿宋_GB2312" w:eastAsia="仿宋_GB2312" w:cs="仿宋_GB2312"/>
          <w:bCs/>
          <w:sz w:val="32"/>
          <w:szCs w:val="32"/>
        </w:rPr>
        <w:t>元，经审计实际完成投资</w:t>
      </w:r>
      <w:r>
        <w:rPr>
          <w:rFonts w:ascii="Times New Roman" w:hAnsi="Times New Roman" w:eastAsia="仿宋_GB2312" w:cs="Times New Roman"/>
          <w:bCs/>
          <w:sz w:val="32"/>
          <w:szCs w:val="32"/>
        </w:rPr>
        <w:t>17861795.18</w:t>
      </w:r>
      <w:r>
        <w:rPr>
          <w:rFonts w:hint="eastAsia" w:ascii="仿宋_GB2312" w:hAnsi="仿宋_GB2312" w:eastAsia="仿宋_GB2312" w:cs="仿宋_GB2312"/>
          <w:bCs/>
          <w:sz w:val="32"/>
          <w:szCs w:val="32"/>
        </w:rPr>
        <w:t>元，调减投资</w:t>
      </w:r>
      <w:r>
        <w:rPr>
          <w:rFonts w:ascii="Times New Roman" w:hAnsi="Times New Roman" w:eastAsia="仿宋_GB2312" w:cs="Times New Roman"/>
          <w:bCs/>
          <w:sz w:val="32"/>
          <w:szCs w:val="32"/>
        </w:rPr>
        <w:t>748573.88</w:t>
      </w:r>
      <w:r>
        <w:rPr>
          <w:rFonts w:hint="eastAsia" w:ascii="仿宋_GB2312" w:hAnsi="仿宋_GB2312" w:eastAsia="仿宋_GB2312" w:cs="仿宋_GB2312"/>
          <w:bCs/>
          <w:sz w:val="32"/>
          <w:szCs w:val="32"/>
        </w:rPr>
        <w:t>元，调减率</w:t>
      </w:r>
      <w:r>
        <w:rPr>
          <w:rFonts w:ascii="Times New Roman" w:hAnsi="Times New Roman" w:eastAsia="仿宋_GB2312" w:cs="Times New Roman"/>
          <w:bCs/>
          <w:sz w:val="32"/>
          <w:szCs w:val="32"/>
        </w:rPr>
        <w:t>4.02%</w:t>
      </w:r>
      <w:r>
        <w:rPr>
          <w:rFonts w:hint="eastAsia" w:ascii="仿宋_GB2312" w:hAnsi="仿宋_GB2312" w:eastAsia="仿宋_GB2312" w:cs="仿宋_GB2312"/>
          <w:bCs/>
          <w:sz w:val="32"/>
          <w:szCs w:val="32"/>
        </w:rPr>
        <w:t>。</w:t>
      </w:r>
      <w:r>
        <w:rPr>
          <w:rFonts w:hint="eastAsia" w:ascii="仿宋_GB2312" w:hAnsi="仿宋_GB2312" w:cs="仿宋_GB2312"/>
          <w:bCs/>
          <w:sz w:val="32"/>
          <w:szCs w:val="32"/>
          <w:lang w:eastAsia="zh-CN"/>
        </w:rPr>
        <w:t>该路段的修建，改善了斗南辖区内的路网，使整个辖区内的交通更加便利畅通。</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6859A"/>
    <w:multiLevelType w:val="singleLevel"/>
    <w:tmpl w:val="8F96859A"/>
    <w:lvl w:ilvl="0" w:tentative="0">
      <w:start w:val="2"/>
      <w:numFmt w:val="chineseCounting"/>
      <w:suff w:val="nothing"/>
      <w:lvlText w:val="%1、"/>
      <w:lvlJc w:val="left"/>
      <w:rPr>
        <w:rFonts w:hint="eastAsia"/>
      </w:rPr>
    </w:lvl>
  </w:abstractNum>
  <w:abstractNum w:abstractNumId="1">
    <w:nsid w:val="740F8515"/>
    <w:multiLevelType w:val="singleLevel"/>
    <w:tmpl w:val="740F851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5A3C6978"/>
    <w:rsid w:val="61940387"/>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left="0" w:firstLine="640" w:firstLineChars="200"/>
    </w:pPr>
    <w:rPr>
      <w:rFonts w:ascii="仿宋_GB2312" w:hAnsi="仿宋_GB2312" w:eastAsia="仿宋_GB2312" w:cs="仿宋_GB2312"/>
      <w:bCs/>
      <w:sz w:val="32"/>
      <w:szCs w:val="32"/>
    </w:rPr>
  </w:style>
  <w:style w:type="paragraph" w:styleId="3">
    <w:name w:val="Body Text Indent"/>
    <w:basedOn w:val="1"/>
    <w:qFormat/>
    <w:uiPriority w:val="0"/>
    <w:pPr>
      <w:ind w:left="360" w:firstLine="240"/>
    </w:pPr>
    <w:rPr>
      <w:rFonts w:ascii="宋体"/>
      <w:kern w:val="0"/>
      <w:sz w:val="30"/>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2024-02-19T07:03:27Z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