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lang w:eastAsia="zh-CN"/>
        </w:rPr>
        <w:t>龙城街道办事处</w:t>
      </w:r>
      <w:r>
        <w:rPr>
          <w:rFonts w:hint="eastAsia" w:ascii="方正小标宋_GBK" w:eastAsia="方正小标宋_GBK"/>
          <w:sz w:val="36"/>
          <w:szCs w:val="36"/>
          <w:lang w:val="en-US" w:eastAsia="zh-CN"/>
        </w:rPr>
        <w:t>2023年200万元以下</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bookmarkStart w:id="0" w:name="_GoBack"/>
      <w:bookmarkEnd w:id="0"/>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Times New Roman" w:hAnsi="Times New Roman" w:eastAsia="楷体" w:cs="Times New Roman"/>
          <w:szCs w:val="32"/>
        </w:rPr>
      </w:pPr>
      <w:r>
        <w:rPr>
          <w:rFonts w:hint="eastAsia" w:ascii="Times New Roman" w:hAnsi="Times New Roman" w:eastAsia="楷体" w:cs="Times New Roman"/>
          <w:szCs w:val="32"/>
        </w:rPr>
        <w:t>（一）项目</w:t>
      </w:r>
      <w:r>
        <w:rPr>
          <w:rFonts w:hint="eastAsia" w:ascii="Times New Roman" w:hAnsi="Times New Roman" w:eastAsia="楷体" w:cs="Times New Roman"/>
          <w:szCs w:val="32"/>
          <w:lang w:eastAsia="zh-CN"/>
        </w:rPr>
        <w:t>概况</w:t>
      </w:r>
    </w:p>
    <w:p>
      <w:pPr>
        <w:topLinePunct/>
        <w:ind w:firstLine="594" w:firstLineChars="200"/>
        <w:rPr>
          <w:rFonts w:hint="default" w:ascii="仿宋_GB2312" w:eastAsia="仿宋_GB2312"/>
          <w:szCs w:val="32"/>
          <w:lang w:val="en-US" w:eastAsia="zh-CN"/>
        </w:rPr>
      </w:pPr>
      <w:r>
        <w:rPr>
          <w:rFonts w:hint="eastAsia" w:ascii="仿宋_GB2312"/>
          <w:szCs w:val="32"/>
          <w:lang w:eastAsia="zh-CN"/>
        </w:rPr>
        <w:t>龙城街道根据项目属性、内容，将下列</w:t>
      </w:r>
      <w:r>
        <w:rPr>
          <w:rFonts w:hint="eastAsia" w:ascii="仿宋_GB2312"/>
          <w:szCs w:val="32"/>
          <w:lang w:val="en-US" w:eastAsia="zh-CN"/>
        </w:rPr>
        <w:t>200万以下的项目合并进行绩效评价，项目清单明细如下：</w:t>
      </w:r>
    </w:p>
    <w:tbl>
      <w:tblPr>
        <w:tblStyle w:val="8"/>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705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65" w:type="dxa"/>
            <w:tcBorders>
              <w:top w:val="single" w:color="000000" w:sz="4" w:space="0"/>
              <w:left w:val="single" w:color="000000" w:sz="4" w:space="0"/>
              <w:bottom w:val="single" w:color="000000" w:sz="4" w:space="0"/>
              <w:right w:val="single" w:color="000000" w:sz="4" w:space="0"/>
            </w:tcBorders>
            <w:shd w:val="clear" w:color="CCCCFF" w:fill="CCCCFF"/>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shd w:val="clear" w:color="CCCCFF" w:fill="CCCCFF"/>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预算项目</w:t>
            </w:r>
          </w:p>
        </w:tc>
        <w:tc>
          <w:tcPr>
            <w:tcW w:w="2010" w:type="dxa"/>
            <w:tcBorders>
              <w:top w:val="single" w:color="000000" w:sz="4" w:space="0"/>
              <w:left w:val="single" w:color="000000" w:sz="4" w:space="0"/>
              <w:bottom w:val="single" w:color="000000" w:sz="4" w:space="0"/>
              <w:right w:val="single" w:color="000000" w:sz="4" w:space="0"/>
            </w:tcBorders>
            <w:shd w:val="clear" w:color="CCCCFF" w:fill="CCCCFF"/>
            <w:vAlign w:val="center"/>
          </w:tcPr>
          <w:p>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支出（元）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乡镇财政公共服务能力提升建设专项资金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325,067.00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基层党建管理经费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462,880.00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2023年度国有企业退休人员社会化管理财政补助资金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277,500.00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呈贡区第五次全国经济普查经费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233,162.00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2023年呈贡区国家卫生城市复审达标工作经费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智慧安防小区网络费和服务经费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人大代表履职经费人大代表活动经费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入滇沟渠保洁及绿化管理经费全面深化河长制工作经费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龙岭社区升级改造兴锦嘉园小区垃圾分类回收处理系统专项资金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2023年公共图书馆美术馆文化馆免费开放补助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43,600.00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呈贡区三轮摩托车（电动车）专项治理经费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2023年度离退休干部党组织工作经费及先进创建专项补助资金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综合养老服务中心建设补助经费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2023年残疾人春雨助学补助资金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进京劝返及专项稳控工作经费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832,841.00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职工食堂补助经费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828,483.78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3,9</w:t>
            </w:r>
            <w:r>
              <w:rPr>
                <w:rFonts w:hint="eastAsia" w:ascii="宋体" w:hAnsi="宋体" w:eastAsia="宋体" w:cs="宋体"/>
                <w:i w:val="0"/>
                <w:iCs w:val="0"/>
                <w:color w:val="000000"/>
                <w:kern w:val="0"/>
                <w:sz w:val="24"/>
                <w:szCs w:val="24"/>
                <w:u w:val="none"/>
                <w:lang w:val="en-US" w:eastAsia="zh-CN" w:bidi="ar"/>
              </w:rPr>
              <w:t>02</w:t>
            </w:r>
            <w:r>
              <w:rPr>
                <w:rFonts w:ascii="宋体" w:hAnsi="宋体" w:eastAsia="宋体" w:cs="宋体"/>
                <w:i w:val="0"/>
                <w:iCs w:val="0"/>
                <w:color w:val="000000"/>
                <w:kern w:val="0"/>
                <w:sz w:val="24"/>
                <w:szCs w:val="24"/>
                <w:u w:val="none"/>
                <w:lang w:val="en-US" w:eastAsia="zh-CN" w:bidi="ar"/>
              </w:rPr>
              <w:t>,733.78</w:t>
            </w:r>
          </w:p>
        </w:tc>
      </w:tr>
    </w:tbl>
    <w:p>
      <w:pPr>
        <w:topLinePunct/>
        <w:ind w:firstLine="594" w:firstLineChars="200"/>
        <w:rPr>
          <w:rFonts w:hint="eastAsia" w:ascii="仿宋_GB2312"/>
          <w:szCs w:val="32"/>
        </w:rPr>
      </w:pPr>
    </w:p>
    <w:p>
      <w:pPr>
        <w:topLinePunct/>
        <w:ind w:firstLine="594" w:firstLineChars="200"/>
        <w:rPr>
          <w:rFonts w:hint="eastAsia" w:ascii="Times New Roman" w:hAnsi="Times New Roman" w:eastAsia="楷体" w:cs="Times New Roman"/>
          <w:szCs w:val="32"/>
        </w:rPr>
      </w:pPr>
      <w:r>
        <w:rPr>
          <w:rFonts w:hint="eastAsia" w:ascii="Times New Roman" w:hAnsi="Times New Roman" w:eastAsia="楷体" w:cs="Times New Roman"/>
          <w:szCs w:val="32"/>
          <w:lang w:eastAsia="zh-CN"/>
        </w:rPr>
        <w:t>（二）</w:t>
      </w:r>
      <w:r>
        <w:rPr>
          <w:rFonts w:hint="eastAsia" w:ascii="Times New Roman" w:hAnsi="Times New Roman" w:eastAsia="楷体" w:cs="Times New Roman"/>
          <w:szCs w:val="32"/>
        </w:rPr>
        <w:t>绩效目标设定及指标完成情况</w:t>
      </w:r>
    </w:p>
    <w:p>
      <w:pPr>
        <w:numPr>
          <w:ilvl w:val="0"/>
          <w:numId w:val="0"/>
        </w:numPr>
        <w:topLinePunct/>
        <w:ind w:firstLine="594" w:firstLineChars="200"/>
        <w:rPr>
          <w:rFonts w:hint="eastAsia" w:ascii="仿宋_GB2312"/>
          <w:szCs w:val="32"/>
          <w:lang w:val="en-US" w:eastAsia="zh-CN"/>
        </w:rPr>
      </w:pPr>
      <w:r>
        <w:rPr>
          <w:rFonts w:hint="eastAsia" w:ascii="仿宋_GB2312"/>
          <w:szCs w:val="32"/>
          <w:lang w:val="en-US" w:eastAsia="zh-CN"/>
        </w:rPr>
        <w:t>200万元以下的项目主要集中在卫生城市复审、基层党建管理、财政公共服务能力提升、专项稳控、经济普查等刚性支出方面，项目按绩效目标正常开展，为推动辖区经济社会发展提供有力支持，项目自评评分100分。</w:t>
      </w:r>
    </w:p>
    <w:p>
      <w:pPr>
        <w:numPr>
          <w:ilvl w:val="0"/>
          <w:numId w:val="0"/>
        </w:numPr>
        <w:topLinePunct/>
        <w:ind w:firstLine="594" w:firstLineChars="200"/>
        <w:rPr>
          <w:rFonts w:hint="eastAsia"/>
          <w:lang w:val="en-US" w:eastAsia="zh-CN"/>
        </w:rPr>
      </w:pPr>
      <w:r>
        <w:rPr>
          <w:rFonts w:hint="eastAsia" w:ascii="仿宋_GB2312"/>
          <w:szCs w:val="32"/>
          <w:lang w:val="en-US" w:eastAsia="zh-CN"/>
        </w:rPr>
        <w:t>1.乡镇财政公共服务能力提升建设专项资金，绩效目标是提升财政服务水平和质量，财政公共服务能力显著提升。</w:t>
      </w:r>
    </w:p>
    <w:p>
      <w:pPr>
        <w:numPr>
          <w:ilvl w:val="0"/>
          <w:numId w:val="0"/>
        </w:numPr>
        <w:topLinePunct/>
        <w:ind w:firstLine="594" w:firstLineChars="200"/>
        <w:rPr>
          <w:rFonts w:hint="eastAsia"/>
          <w:lang w:val="en-US" w:eastAsia="zh-CN"/>
        </w:rPr>
      </w:pPr>
      <w:r>
        <w:rPr>
          <w:rFonts w:hint="eastAsia" w:ascii="仿宋_GB2312"/>
          <w:szCs w:val="32"/>
          <w:lang w:val="en-US" w:eastAsia="zh-CN"/>
        </w:rPr>
        <w:t>2.基层党建管理经费，绩效目标是将资金用于党员教育视频片拍摄、党建品牌打造、党建文化公园更新维护等，落实服务型党组织建设各项措施，更好地服务群众。</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rPr>
          <w:rFonts w:hint="eastAsia" w:ascii="仿宋_GB2312"/>
          <w:szCs w:val="32"/>
          <w:lang w:eastAsia="zh-CN"/>
        </w:rPr>
      </w:pPr>
      <w:r>
        <w:rPr>
          <w:rFonts w:hint="eastAsia" w:ascii="仿宋_GB2312"/>
          <w:szCs w:val="32"/>
          <w:lang w:val="en-US" w:eastAsia="zh-CN"/>
        </w:rPr>
        <w:t>3.2023年度国有企业退休人员社会化管理财政补助资金，绩效目标是</w:t>
      </w:r>
      <w:r>
        <w:rPr>
          <w:rFonts w:hint="eastAsia" w:ascii="仿宋_GB2312" w:hAnsi="仿宋_GB2312" w:eastAsia="仿宋_GB2312" w:cs="仿宋_GB2312"/>
          <w:sz w:val="32"/>
          <w:szCs w:val="32"/>
          <w:lang w:val="en-US" w:eastAsia="zh-CN"/>
        </w:rPr>
        <w:t>按照《昆明市国有企业退休人员社会化管理服务实施办法》</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整合辖区资源，拓宽活动场所渠道，充分利用企业现有活动场所和辖区内文化、体育经营场所、家属区的企业用房及相应设备设施，建立文体活动基地和社区养老服务中心，为国有企业退休人员提供健身、娱乐、餐饮等养老服务场所</w:t>
      </w:r>
      <w:r>
        <w:rPr>
          <w:rFonts w:hint="eastAsia" w:ascii="仿宋_GB231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rPr>
          <w:rFonts w:hint="eastAsia" w:ascii="仿宋_GB2312"/>
          <w:szCs w:val="32"/>
          <w:lang w:val="en" w:eastAsia="zh-CN"/>
        </w:rPr>
      </w:pPr>
      <w:r>
        <w:rPr>
          <w:rFonts w:hint="eastAsia" w:ascii="仿宋_GB2312"/>
          <w:szCs w:val="32"/>
          <w:lang w:val="en-US" w:eastAsia="zh-CN"/>
        </w:rPr>
        <w:t>4.呈贡区第五次全国经济普查经费，绩效目标是</w:t>
      </w:r>
      <w:r>
        <w:rPr>
          <w:rFonts w:hint="eastAsia" w:ascii="仿宋_GB2312"/>
          <w:szCs w:val="32"/>
          <w:lang w:val="en" w:eastAsia="zh-CN"/>
        </w:rPr>
        <w:t>统筹开展投入产出调查，全面调查辖区第二产业和第三产业的发展规模、布局和效益，掌握国民经济行业间经济联系，为加强和改善宏观经济治理，科学制定中长期发展规划，推动经济高质量发展，全面建设社会主义现代化国家提供科学准确的统计信息支持。</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rPr>
          <w:rFonts w:hint="eastAsia" w:ascii="仿宋_GB2312"/>
          <w:szCs w:val="32"/>
        </w:rPr>
      </w:pPr>
      <w:r>
        <w:rPr>
          <w:rFonts w:hint="eastAsia" w:ascii="仿宋_GB2312"/>
          <w:szCs w:val="32"/>
          <w:lang w:val="en-US" w:eastAsia="zh-CN"/>
        </w:rPr>
        <w:t>5.2023年呈贡区国家卫生城市复审达标工作经费，绩效目标是</w:t>
      </w:r>
      <w:r>
        <w:rPr>
          <w:rFonts w:hint="eastAsia" w:ascii="仿宋_GB2312"/>
          <w:szCs w:val="32"/>
        </w:rPr>
        <w:t>巩固国家卫生城市成果，</w:t>
      </w:r>
      <w:r>
        <w:rPr>
          <w:rFonts w:hint="eastAsia" w:ascii="仿宋_GB2312" w:hAnsi="Times New Roman" w:eastAsia="仿宋_GB2312" w:cs="Times New Roman"/>
          <w:kern w:val="2"/>
          <w:sz w:val="32"/>
          <w:szCs w:val="32"/>
          <w:lang w:val="en-US" w:eastAsia="zh-CN" w:bidi="ar-SA"/>
        </w:rPr>
        <w:t>确保高标准做好迎检各项工作</w:t>
      </w:r>
      <w:r>
        <w:rPr>
          <w:rFonts w:hint="eastAsia" w:ascii="仿宋_GB2312" w:hAnsi="Times New Roman" w:cs="Times New Roman"/>
          <w:kern w:val="2"/>
          <w:sz w:val="32"/>
          <w:szCs w:val="32"/>
          <w:lang w:val="en-US" w:eastAsia="zh-CN" w:bidi="ar-SA"/>
        </w:rPr>
        <w:t>，</w:t>
      </w:r>
      <w:r>
        <w:rPr>
          <w:rFonts w:hint="eastAsia" w:ascii="仿宋_GB2312"/>
          <w:szCs w:val="32"/>
        </w:rPr>
        <w:t>营造干净整洁、美丽宜居的生活环境。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94" w:firstLineChars="200"/>
        <w:textAlignment w:val="auto"/>
        <w:outlineLvl w:val="9"/>
        <w:rPr>
          <w:rFonts w:hint="eastAsia" w:ascii="仿宋_GB2312" w:hAnsi="仿宋_GB2312" w:eastAsia="仿宋_GB2312" w:cs="仿宋_GB2312"/>
          <w:sz w:val="32"/>
          <w:szCs w:val="32"/>
          <w:lang w:eastAsia="zh-CN"/>
        </w:rPr>
      </w:pPr>
      <w:r>
        <w:rPr>
          <w:rFonts w:hint="eastAsia" w:ascii="仿宋_GB2312"/>
          <w:szCs w:val="32"/>
          <w:lang w:val="en-US" w:eastAsia="zh-CN"/>
        </w:rPr>
        <w:t>6.智慧安防小区网络费和服务经费，</w:t>
      </w:r>
      <w:r>
        <w:rPr>
          <w:rFonts w:hint="eastAsia" w:ascii="仿宋_GB2312" w:hAnsi="仿宋_GB2312" w:eastAsia="仿宋_GB2312" w:cs="仿宋_GB2312"/>
          <w:i w:val="0"/>
          <w:caps w:val="0"/>
          <w:color w:val="000000"/>
          <w:spacing w:val="0"/>
          <w:sz w:val="32"/>
          <w:szCs w:val="32"/>
          <w:shd w:val="clear" w:color="auto" w:fill="FFFFFF"/>
        </w:rPr>
        <w:t>加强和规范我</w:t>
      </w:r>
      <w:r>
        <w:rPr>
          <w:rFonts w:hint="eastAsia" w:ascii="仿宋_GB2312" w:hAnsi="仿宋_GB2312" w:eastAsia="仿宋_GB2312" w:cs="仿宋_GB2312"/>
          <w:i w:val="0"/>
          <w:caps w:val="0"/>
          <w:color w:val="000000"/>
          <w:spacing w:val="0"/>
          <w:sz w:val="32"/>
          <w:szCs w:val="32"/>
          <w:shd w:val="clear" w:color="auto" w:fill="FFFFFF"/>
          <w:lang w:val="en-US" w:eastAsia="zh-CN"/>
        </w:rPr>
        <w:t>区</w:t>
      </w:r>
      <w:r>
        <w:rPr>
          <w:rFonts w:hint="eastAsia" w:ascii="仿宋_GB2312" w:hAnsi="仿宋_GB2312" w:eastAsia="仿宋_GB2312" w:cs="仿宋_GB2312"/>
          <w:i w:val="0"/>
          <w:caps w:val="0"/>
          <w:color w:val="000000"/>
          <w:spacing w:val="0"/>
          <w:sz w:val="32"/>
          <w:szCs w:val="32"/>
          <w:shd w:val="clear" w:color="auto" w:fill="FFFFFF"/>
        </w:rPr>
        <w:t>住宅小区</w:t>
      </w:r>
      <w:r>
        <w:rPr>
          <w:rFonts w:hint="eastAsia" w:ascii="仿宋_GB2312" w:hAnsi="仿宋_GB2312" w:eastAsia="仿宋_GB2312" w:cs="仿宋_GB2312"/>
          <w:i w:val="0"/>
          <w:caps w:val="0"/>
          <w:color w:val="000000"/>
          <w:spacing w:val="0"/>
          <w:sz w:val="32"/>
          <w:szCs w:val="32"/>
          <w:shd w:val="clear" w:color="auto" w:fill="FFFFFF"/>
          <w:lang w:val="en-US" w:eastAsia="zh-CN"/>
        </w:rPr>
        <w:t>智慧安全技术防范</w:t>
      </w:r>
      <w:r>
        <w:rPr>
          <w:rFonts w:hint="eastAsia" w:ascii="仿宋_GB2312" w:hAnsi="仿宋_GB2312" w:eastAsia="仿宋_GB2312" w:cs="仿宋_GB2312"/>
          <w:i w:val="0"/>
          <w:caps w:val="0"/>
          <w:color w:val="000000"/>
          <w:spacing w:val="0"/>
          <w:sz w:val="32"/>
          <w:szCs w:val="32"/>
          <w:shd w:val="clear" w:color="auto" w:fill="FFFFFF"/>
        </w:rPr>
        <w:t>设施</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以下简称智慧安防设施</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的建设和管理，深化平安</w:t>
      </w:r>
      <w:r>
        <w:rPr>
          <w:rFonts w:hint="eastAsia" w:ascii="仿宋_GB2312" w:hAnsi="仿宋_GB2312" w:eastAsia="仿宋_GB2312" w:cs="仿宋_GB2312"/>
          <w:i w:val="0"/>
          <w:caps w:val="0"/>
          <w:color w:val="000000"/>
          <w:spacing w:val="0"/>
          <w:sz w:val="32"/>
          <w:szCs w:val="32"/>
          <w:shd w:val="clear" w:color="auto" w:fill="FFFFFF"/>
          <w:lang w:val="en-US" w:eastAsia="zh-CN"/>
        </w:rPr>
        <w:t>呈贡</w:t>
      </w:r>
      <w:r>
        <w:rPr>
          <w:rFonts w:hint="eastAsia" w:ascii="仿宋_GB2312" w:hAnsi="仿宋_GB2312" w:eastAsia="仿宋_GB2312" w:cs="仿宋_GB2312"/>
          <w:i w:val="0"/>
          <w:caps w:val="0"/>
          <w:color w:val="000000"/>
          <w:spacing w:val="0"/>
          <w:sz w:val="32"/>
          <w:szCs w:val="32"/>
          <w:shd w:val="clear" w:color="auto" w:fill="FFFFFF"/>
        </w:rPr>
        <w:t>创建工作，根据《城市居民住宅安全防范设施建设管理规定》（建设部、公安部令第49号）、《云南省公共安全视频图像信息系统管理规定</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（云南省人民政府令</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第203号）</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昆明市智慧安防小区建设三年行动计划（2020-2022 年）》（昆平安〔2020〕2 号）等要求，</w:t>
      </w:r>
      <w:r>
        <w:rPr>
          <w:rFonts w:hint="eastAsia" w:ascii="仿宋_GB2312" w:hAnsi="仿宋_GB2312" w:eastAsia="仿宋_GB2312" w:cs="仿宋_GB2312"/>
          <w:i w:val="0"/>
          <w:caps w:val="0"/>
          <w:color w:val="000000"/>
          <w:spacing w:val="0"/>
          <w:sz w:val="32"/>
          <w:szCs w:val="32"/>
          <w:shd w:val="clear" w:color="auto" w:fill="FFFFFF"/>
          <w:lang w:val="en-US" w:eastAsia="zh-CN"/>
        </w:rPr>
        <w:t>充分运用互联网、大数据、人工智能、物联网等科技手段构建的智慧安防系统，</w:t>
      </w:r>
      <w:r>
        <w:rPr>
          <w:rFonts w:hint="eastAsia" w:ascii="仿宋_GB2312" w:hAnsi="仿宋_GB2312" w:eastAsia="仿宋_GB2312" w:cs="仿宋_GB2312"/>
          <w:sz w:val="32"/>
          <w:szCs w:val="32"/>
        </w:rPr>
        <w:t>以平安综治的视角，从智能硬件入手，通过人工智能对数据资源进行采集整合分析应用，逐步实现无纸化服务管理，各类资源标准化集成共享，人脸识别认证，指纹识别认证及时对社会智能感知分析研判，精准处置，提高小区的安全管理效率，有效解决物业和业主之间管理与服务的矛盾，全面提升小区出行服务和安全防范能力，切实提高市民的安全感，获得感和幸福感</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94" w:firstLineChars="200"/>
        <w:textAlignment w:val="auto"/>
        <w:outlineLvl w:val="9"/>
        <w:rPr>
          <w:rFonts w:hint="eastAsia" w:ascii="仿宋_GB2312"/>
          <w:szCs w:val="32"/>
          <w:highlight w:val="none"/>
          <w:lang w:val="en-US" w:eastAsia="zh-CN"/>
        </w:rPr>
      </w:pPr>
      <w:r>
        <w:rPr>
          <w:rFonts w:hint="eastAsia" w:ascii="仿宋_GB2312" w:hAnsi="仿宋_GB2312" w:cs="仿宋_GB2312"/>
          <w:sz w:val="32"/>
          <w:szCs w:val="32"/>
          <w:lang w:val="en-US" w:eastAsia="zh-CN"/>
        </w:rPr>
        <w:t>7.人大代表履职经费人大代表活动经费，绩效目标是为人大代表履职和开展人大活动提供经费保障。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94" w:firstLineChars="200"/>
        <w:textAlignment w:val="auto"/>
        <w:outlineLvl w:val="9"/>
        <w:rPr>
          <w:rFonts w:hint="eastAsia" w:ascii="仿宋_GB2312"/>
          <w:szCs w:val="32"/>
          <w:highlight w:val="none"/>
          <w:lang w:val="en-US" w:eastAsia="zh-CN"/>
        </w:rPr>
      </w:pPr>
      <w:r>
        <w:rPr>
          <w:rFonts w:hint="eastAsia" w:ascii="仿宋_GB2312" w:hAnsi="仿宋_GB2312" w:cs="仿宋_GB2312"/>
          <w:sz w:val="32"/>
          <w:szCs w:val="32"/>
          <w:lang w:val="en-US" w:eastAsia="zh-CN"/>
        </w:rPr>
        <w:t>8.入滇沟渠保洁及绿化管理经费全面深化河长制工作经费，绩效目标是</w:t>
      </w:r>
      <w:r>
        <w:rPr>
          <w:rFonts w:hint="eastAsia" w:ascii="仿宋_GB2312"/>
          <w:szCs w:val="32"/>
          <w:highlight w:val="none"/>
          <w:lang w:val="en-US" w:eastAsia="zh-CN"/>
        </w:rPr>
        <w:t>完成龙城街道2023年辖区内入滇河道洛龙河，入滇沟渠江尾新沟、龙王庙沟、水龙沟的日常保洁及绿化管护工作。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94" w:firstLineChars="200"/>
        <w:textAlignment w:val="auto"/>
        <w:outlineLvl w:val="9"/>
        <w:rPr>
          <w:rFonts w:hint="eastAsia" w:ascii="仿宋_GB2312"/>
          <w:szCs w:val="32"/>
          <w:lang w:eastAsia="zh-CN"/>
        </w:rPr>
      </w:pPr>
      <w:r>
        <w:rPr>
          <w:rFonts w:hint="eastAsia" w:ascii="仿宋_GB2312"/>
          <w:szCs w:val="32"/>
          <w:highlight w:val="none"/>
          <w:lang w:val="en-US" w:eastAsia="zh-CN"/>
        </w:rPr>
        <w:t>9.龙岭社区升级改造兴锦嘉园小区垃圾分类回收处理系统专项资金，</w:t>
      </w:r>
      <w:r>
        <w:rPr>
          <w:rFonts w:hint="eastAsia" w:ascii="仿宋_GB2312"/>
          <w:szCs w:val="32"/>
          <w:lang w:eastAsia="zh-CN"/>
        </w:rPr>
        <w:t>根据呈贡区第四届人民代表大会关于龙岭社区升级改造兴锦嘉园小区垃圾分类回收处理系统，打造垃圾分类示范性小区的建议，</w:t>
      </w:r>
      <w:r>
        <w:rPr>
          <w:rFonts w:hint="eastAsia" w:ascii="仿宋_GB2312"/>
          <w:szCs w:val="32"/>
        </w:rPr>
        <w:t>负责将资金用于龙岭社区升级改造兴锦嘉园小区垃圾分类回收处理系统，打造垃圾分类示范性小区</w:t>
      </w:r>
      <w:r>
        <w:rPr>
          <w:rFonts w:hint="eastAsia" w:ascii="仿宋_GB2312"/>
          <w:szCs w:val="32"/>
          <w:lang w:eastAsia="zh-CN"/>
        </w:rPr>
        <w:t>。</w:t>
      </w:r>
    </w:p>
    <w:p>
      <w:pPr>
        <w:ind w:firstLine="594" w:firstLineChars="200"/>
        <w:rPr>
          <w:rFonts w:hint="eastAsia" w:ascii="仿宋_GB2312"/>
          <w:szCs w:val="32"/>
          <w:lang w:val="en-US" w:eastAsia="zh-CN"/>
        </w:rPr>
      </w:pPr>
      <w:r>
        <w:rPr>
          <w:rFonts w:hint="eastAsia" w:ascii="仿宋_GB2312"/>
          <w:szCs w:val="32"/>
          <w:lang w:val="en-US" w:eastAsia="zh-CN"/>
        </w:rPr>
        <w:t>10.2023年公共图书馆美术馆文化馆免费开放补助，</w:t>
      </w:r>
      <w:r>
        <w:rPr>
          <w:rFonts w:hint="eastAsia" w:ascii="仿宋_GB2312"/>
          <w:szCs w:val="32"/>
          <w:lang w:eastAsia="zh-CN"/>
        </w:rPr>
        <w:t>组织开展丰富多彩群众喜闻乐见的文体活动，增强群众获得感幸福感，</w:t>
      </w:r>
      <w:r>
        <w:rPr>
          <w:rFonts w:hint="default" w:ascii="Times New Roman" w:hAnsi="Times New Roman" w:eastAsia="仿宋_GB2312" w:cs="Times New Roman"/>
          <w:sz w:val="32"/>
          <w:szCs w:val="32"/>
        </w:rPr>
        <w:t>提升</w:t>
      </w:r>
      <w:r>
        <w:rPr>
          <w:rFonts w:hint="default" w:ascii="Times New Roman" w:hAnsi="Times New Roman" w:eastAsia="仿宋_GB2312" w:cs="Times New Roman"/>
          <w:sz w:val="32"/>
          <w:szCs w:val="32"/>
          <w:lang w:val="en-US" w:eastAsia="zh-CN"/>
        </w:rPr>
        <w:t>龙城街道全体职工</w:t>
      </w:r>
      <w:r>
        <w:rPr>
          <w:rFonts w:hint="eastAsia" w:ascii="Times New Roman" w:hAnsi="Times New Roman" w:eastAsia="仿宋_GB2312" w:cs="Times New Roman"/>
          <w:sz w:val="32"/>
          <w:szCs w:val="32"/>
          <w:lang w:val="en-US" w:eastAsia="zh-CN"/>
        </w:rPr>
        <w:t>群众</w:t>
      </w:r>
      <w:r>
        <w:rPr>
          <w:rFonts w:hint="default" w:ascii="Times New Roman" w:hAnsi="Times New Roman" w:eastAsia="仿宋_GB2312" w:cs="Times New Roman"/>
          <w:sz w:val="32"/>
          <w:szCs w:val="32"/>
        </w:rPr>
        <w:t>的凝聚力和向心力，以“铆足干劲谋发展</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齐心聚力抓落实”的精神风貌全面做好</w:t>
      </w:r>
      <w:r>
        <w:rPr>
          <w:rFonts w:hint="default" w:ascii="Times New Roman" w:hAnsi="Times New Roman" w:eastAsia="仿宋_GB2312" w:cs="Times New Roman"/>
          <w:sz w:val="32"/>
          <w:szCs w:val="32"/>
          <w:lang w:val="en-US" w:eastAsia="zh-CN"/>
        </w:rPr>
        <w:t>龙城</w:t>
      </w:r>
      <w:r>
        <w:rPr>
          <w:rFonts w:hint="default" w:ascii="Times New Roman" w:hAnsi="Times New Roman" w:eastAsia="仿宋_GB2312" w:cs="Times New Roman"/>
          <w:sz w:val="32"/>
          <w:szCs w:val="32"/>
        </w:rPr>
        <w:t>经济</w:t>
      </w:r>
      <w:r>
        <w:rPr>
          <w:rFonts w:hint="eastAsia" w:ascii="Times New Roman" w:hAnsi="Times New Roman" w:eastAsia="仿宋_GB2312" w:cs="Times New Roman"/>
          <w:sz w:val="32"/>
          <w:szCs w:val="32"/>
          <w:lang w:eastAsia="zh-CN"/>
        </w:rPr>
        <w:t>社会</w:t>
      </w:r>
      <w:r>
        <w:rPr>
          <w:rFonts w:hint="default" w:ascii="Times New Roman" w:hAnsi="Times New Roman" w:eastAsia="仿宋_GB2312" w:cs="Times New Roman"/>
          <w:sz w:val="32"/>
          <w:szCs w:val="32"/>
        </w:rPr>
        <w:t>发展工作</w:t>
      </w:r>
      <w:r>
        <w:rPr>
          <w:rFonts w:hint="eastAsia" w:ascii="仿宋_GB2312"/>
          <w:szCs w:val="32"/>
          <w:lang w:val="en-US" w:eastAsia="zh-CN"/>
        </w:rPr>
        <w:t>。</w:t>
      </w:r>
    </w:p>
    <w:p>
      <w:pPr>
        <w:numPr>
          <w:ilvl w:val="0"/>
          <w:numId w:val="0"/>
        </w:numPr>
        <w:ind w:firstLine="594" w:firstLineChars="200"/>
        <w:rPr>
          <w:rFonts w:hint="eastAsia" w:ascii="Times New Roman" w:cs="Times New Roman"/>
          <w:color w:val="000000"/>
          <w:sz w:val="32"/>
          <w:szCs w:val="32"/>
          <w:lang w:val="en-US" w:eastAsia="zh-CN"/>
        </w:rPr>
      </w:pPr>
      <w:r>
        <w:rPr>
          <w:rFonts w:hint="eastAsia" w:ascii="仿宋_GB2312"/>
          <w:szCs w:val="32"/>
          <w:lang w:val="en-US" w:eastAsia="zh-CN"/>
        </w:rPr>
        <w:t>11.呈贡区三轮摩托车（电动车）专项治理经费，</w:t>
      </w:r>
      <w:r>
        <w:rPr>
          <w:rFonts w:hint="eastAsia" w:ascii="Times New Roman" w:cs="Times New Roman"/>
          <w:color w:val="000000"/>
          <w:sz w:val="32"/>
          <w:szCs w:val="32"/>
          <w:lang w:val="en-US" w:eastAsia="zh-CN"/>
        </w:rPr>
        <w:t>街道自行制作“严禁载人”模版，在全面对三轮摩托车（电动车）建立“一车一档”的同时，对正三轮载货摩托车（电动车）需在货箱前板龙门架部位、左右栏板外侧上喷涂“严禁载人  交警举报电话0871-67479920”字样。正三轮载客摩托车需在驾驶室车门左右两侧喷涂“核载X 人 严禁超员 交警举报电话0871-67479920”字样。无驾驶室车辆喷涂在车身中部或后部左右两侧（喷涂示样详见附件2）。同时对车主或车辆实际使用人开展“面对面、点对点”交通安全教育警示提示，与车主或车辆实际使用人签定《交通安全提示及交通安全承诺书》（详见附件3）。另外对临界强制报废期的三轮摩托车，提醒驾驶人按期办理车辆报废注销手续。此项工作于2024年“春运”启动前完成。</w:t>
      </w:r>
    </w:p>
    <w:p>
      <w:pPr>
        <w:keepNext w:val="0"/>
        <w:keepLines w:val="0"/>
        <w:pageBreakBefore w:val="0"/>
        <w:kinsoku/>
        <w:wordWrap/>
        <w:overflowPunct/>
        <w:topLinePunct w:val="0"/>
        <w:autoSpaceDE/>
        <w:autoSpaceDN/>
        <w:bidi w:val="0"/>
        <w:adjustRightInd/>
        <w:snapToGrid/>
        <w:spacing w:after="0" w:line="560" w:lineRule="exact"/>
        <w:ind w:right="0" w:rightChars="0" w:firstLine="594" w:firstLineChars="200"/>
        <w:textAlignment w:val="auto"/>
        <w:rPr>
          <w:rFonts w:hint="eastAsia" w:ascii="仿宋_GB2312"/>
          <w:szCs w:val="32"/>
          <w:lang w:eastAsia="zh-CN"/>
        </w:rPr>
      </w:pPr>
      <w:r>
        <w:rPr>
          <w:rFonts w:hint="eastAsia" w:ascii="仿宋_GB2312"/>
          <w:szCs w:val="32"/>
          <w:lang w:val="en-US" w:eastAsia="zh-CN"/>
        </w:rPr>
        <w:t>12.</w:t>
      </w:r>
      <w:r>
        <w:rPr>
          <w:rFonts w:hint="eastAsia" w:ascii="Times New Roman" w:cs="Times New Roman"/>
          <w:color w:val="000000"/>
          <w:sz w:val="32"/>
          <w:szCs w:val="32"/>
          <w:lang w:val="en-US" w:eastAsia="zh-CN"/>
        </w:rPr>
        <w:t>2023年度离退休干部党组织工作经费及先进创建专项补助资金，</w:t>
      </w:r>
      <w:r>
        <w:rPr>
          <w:rFonts w:hint="eastAsia" w:ascii="仿宋_GB2312"/>
          <w:szCs w:val="32"/>
        </w:rPr>
        <w:t>主要用于</w:t>
      </w:r>
      <w:r>
        <w:rPr>
          <w:rFonts w:hint="eastAsia" w:ascii="仿宋_GB2312"/>
          <w:szCs w:val="32"/>
          <w:lang w:eastAsia="zh-CN"/>
        </w:rPr>
        <w:t>离退休党组织工作经费、党支部班子成员工作补贴。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szCs w:val="32"/>
          <w:lang w:val="en-US" w:eastAsia="zh-CN"/>
        </w:rPr>
        <w:t>13.综合养老服务中心建设补助经费，</w:t>
      </w:r>
      <w:r>
        <w:rPr>
          <w:rFonts w:hint="default" w:ascii="Times New Roman" w:hAnsi="Times New Roman" w:eastAsia="仿宋_GB2312" w:cs="Times New Roman"/>
          <w:color w:val="auto"/>
          <w:sz w:val="32"/>
          <w:szCs w:val="32"/>
          <w:lang w:val="en-US" w:eastAsia="zh-CN"/>
        </w:rPr>
        <w:t>为推动街道级综合养老服务中心建设工作，</w:t>
      </w:r>
      <w:r>
        <w:rPr>
          <w:rFonts w:hint="default" w:ascii="Times New Roman" w:hAnsi="Times New Roman" w:eastAsia="仿宋_GB2312" w:cs="Times New Roman"/>
          <w:color w:val="000000"/>
          <w:sz w:val="32"/>
          <w:szCs w:val="32"/>
        </w:rPr>
        <w:t>解决</w:t>
      </w:r>
      <w:r>
        <w:rPr>
          <w:rFonts w:hint="default" w:ascii="Times New Roman" w:hAnsi="Times New Roman" w:eastAsia="仿宋_GB2312" w:cs="Times New Roman"/>
          <w:color w:val="000000"/>
          <w:sz w:val="32"/>
          <w:szCs w:val="32"/>
          <w:lang w:eastAsia="zh-CN"/>
        </w:rPr>
        <w:t>龙城街道</w:t>
      </w:r>
      <w:r>
        <w:rPr>
          <w:rFonts w:hint="default" w:ascii="Times New Roman" w:hAnsi="Times New Roman" w:eastAsia="仿宋_GB2312" w:cs="Times New Roman"/>
          <w:color w:val="000000"/>
          <w:sz w:val="32"/>
          <w:szCs w:val="32"/>
        </w:rPr>
        <w:t>老年人日益增长的迫切养老服务需求，</w:t>
      </w:r>
      <w:r>
        <w:rPr>
          <w:rFonts w:hint="default" w:ascii="Times New Roman" w:hAnsi="Times New Roman" w:eastAsia="仿宋_GB2312" w:cs="Times New Roman"/>
          <w:sz w:val="32"/>
          <w:szCs w:val="32"/>
          <w:lang w:val="en-US" w:eastAsia="zh-CN"/>
        </w:rPr>
        <w:t>提高</w:t>
      </w:r>
      <w:r>
        <w:rPr>
          <w:rFonts w:hint="default" w:ascii="Times New Roman" w:hAnsi="Times New Roman" w:eastAsia="仿宋_GB2312" w:cs="Times New Roman"/>
          <w:sz w:val="32"/>
          <w:szCs w:val="32"/>
        </w:rPr>
        <w:t>养老服务质量，有效满足老年人多层次、多样化养老服务需求，</w:t>
      </w:r>
      <w:r>
        <w:rPr>
          <w:rFonts w:hint="default" w:ascii="Times New Roman" w:hAnsi="Times New Roman" w:eastAsia="仿宋_GB2312" w:cs="Times New Roman"/>
          <w:color w:val="000000"/>
          <w:sz w:val="32"/>
          <w:szCs w:val="32"/>
        </w:rPr>
        <w:t>促进社会和谐发展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pacing w:val="0"/>
          <w:sz w:val="32"/>
          <w:szCs w:val="32"/>
          <w:lang w:val="en-US" w:eastAsia="zh-CN"/>
        </w:rPr>
        <w:t>呈贡区推进养老服务发展的实施方案（试行）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kern w:val="0"/>
          <w:sz w:val="32"/>
          <w:szCs w:val="32"/>
          <w:lang w:val="en-US" w:eastAsia="zh-CN" w:bidi="ar"/>
        </w:rPr>
        <w:t>呈政办发〔2021〕65号</w:t>
      </w:r>
      <w:r>
        <w:rPr>
          <w:rFonts w:hint="default" w:ascii="Times New Roman" w:hAnsi="Times New Roman" w:eastAsia="仿宋_GB2312" w:cs="Times New Roman"/>
          <w:color w:val="000000"/>
          <w:sz w:val="32"/>
          <w:szCs w:val="32"/>
          <w:lang w:eastAsia="zh-CN"/>
        </w:rPr>
        <w:t>）文件，经龙城街道召开相关会议研究，决定在</w:t>
      </w:r>
      <w:r>
        <w:rPr>
          <w:rFonts w:hint="eastAsia" w:ascii="Times New Roman" w:hAnsi="Times New Roman" w:cs="Times New Roman"/>
          <w:color w:val="000000"/>
          <w:sz w:val="32"/>
          <w:szCs w:val="32"/>
          <w:lang w:eastAsia="zh-CN"/>
        </w:rPr>
        <w:t>龙城街道</w:t>
      </w:r>
      <w:r>
        <w:rPr>
          <w:rFonts w:hint="default" w:ascii="Times New Roman" w:hAnsi="Times New Roman" w:eastAsia="仿宋_GB2312" w:cs="Times New Roman"/>
          <w:color w:val="000000"/>
          <w:sz w:val="32"/>
          <w:szCs w:val="32"/>
          <w:lang w:eastAsia="zh-CN"/>
        </w:rPr>
        <w:t>龙翔社区</w:t>
      </w:r>
      <w:r>
        <w:rPr>
          <w:rFonts w:hint="default" w:ascii="Times New Roman" w:hAnsi="Times New Roman" w:eastAsia="仿宋_GB2312" w:cs="Times New Roman"/>
          <w:color w:val="auto"/>
          <w:spacing w:val="0"/>
          <w:sz w:val="32"/>
          <w:szCs w:val="32"/>
          <w:u w:val="none"/>
          <w:lang w:val="en-US" w:eastAsia="zh-CN"/>
        </w:rPr>
        <w:t>海滨时代风情广场10号楼</w:t>
      </w:r>
      <w:r>
        <w:rPr>
          <w:rFonts w:hint="default" w:ascii="Times New Roman" w:hAnsi="Times New Roman" w:eastAsia="仿宋_GB2312" w:cs="Times New Roman"/>
          <w:color w:val="000000"/>
          <w:sz w:val="32"/>
          <w:szCs w:val="32"/>
          <w:lang w:eastAsia="zh-CN"/>
        </w:rPr>
        <w:t>改扩建街道级</w:t>
      </w:r>
      <w:r>
        <w:rPr>
          <w:rFonts w:hint="default" w:ascii="Times New Roman" w:hAnsi="Times New Roman" w:eastAsia="仿宋_GB2312" w:cs="Times New Roman"/>
          <w:color w:val="auto"/>
          <w:sz w:val="32"/>
          <w:szCs w:val="32"/>
          <w:lang w:val="en-US" w:eastAsia="zh-CN"/>
        </w:rPr>
        <w:t>综合养老服务中心。</w:t>
      </w:r>
      <w:r>
        <w:rPr>
          <w:rFonts w:hint="eastAsia" w:ascii="仿宋_GB2312" w:hAnsi="仿宋_GB2312" w:eastAsia="仿宋_GB2312" w:cs="仿宋_GB2312"/>
          <w:color w:val="000000"/>
          <w:sz w:val="32"/>
          <w:szCs w:val="32"/>
          <w:lang w:val="en-US" w:eastAsia="zh-CN"/>
        </w:rPr>
        <w:t>综合养老服务中心建设室内外面积约997.53平方米。按照街道级综合养老服务中心服务功能，本次建设主要以修缮和装修为主，主要集中装修服务大厅、办公室、食堂、文体活动室、康复理疗室、日间照料室等多功能养老服务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4" w:firstLineChars="200"/>
        <w:textAlignment w:val="auto"/>
        <w:outlineLvl w:val="0"/>
        <w:rPr>
          <w:rFonts w:hint="eastAsia" w:ascii="仿宋_GB2312" w:hAnsi="仿宋_GB2312" w:eastAsia="仿宋_GB2312" w:cs="仿宋_GB2312"/>
          <w:i w:val="0"/>
          <w:iCs w:val="0"/>
          <w:caps w:val="0"/>
          <w:color w:val="auto"/>
          <w:spacing w:val="8"/>
          <w:sz w:val="32"/>
          <w:szCs w:val="32"/>
          <w:shd w:val="clear" w:color="auto" w:fill="FFFFFF"/>
          <w:lang w:val="en-US" w:eastAsia="zh-CN"/>
        </w:rPr>
      </w:pPr>
      <w:r>
        <w:rPr>
          <w:rFonts w:hint="eastAsia" w:ascii="仿宋_GB2312" w:hAnsi="仿宋_GB2312" w:cs="仿宋_GB2312"/>
          <w:color w:val="000000"/>
          <w:sz w:val="32"/>
          <w:szCs w:val="32"/>
          <w:lang w:val="en-US" w:eastAsia="zh-CN"/>
        </w:rPr>
        <w:t>14.2023年残疾人春雨助学补助资金，</w:t>
      </w:r>
      <w:r>
        <w:rPr>
          <w:rFonts w:hint="eastAsia" w:ascii="仿宋_GB2312" w:hAnsi="仿宋_GB2312" w:eastAsia="仿宋_GB2312" w:cs="仿宋_GB2312"/>
          <w:i w:val="0"/>
          <w:iCs w:val="0"/>
          <w:caps w:val="0"/>
          <w:color w:val="auto"/>
          <w:spacing w:val="8"/>
          <w:sz w:val="32"/>
          <w:szCs w:val="32"/>
          <w:shd w:val="clear" w:color="auto" w:fill="FFFFFF"/>
          <w:lang w:val="en-US" w:eastAsia="zh-CN"/>
        </w:rPr>
        <w:t>为保障我</w:t>
      </w:r>
      <w:r>
        <w:rPr>
          <w:rFonts w:hint="eastAsia" w:ascii="仿宋_GB2312" w:hAnsi="仿宋_GB2312" w:cs="仿宋_GB2312"/>
          <w:i w:val="0"/>
          <w:iCs w:val="0"/>
          <w:caps w:val="0"/>
          <w:color w:val="auto"/>
          <w:spacing w:val="8"/>
          <w:sz w:val="32"/>
          <w:szCs w:val="32"/>
          <w:shd w:val="clear" w:color="auto" w:fill="FFFFFF"/>
          <w:lang w:val="en-US" w:eastAsia="zh-CN"/>
        </w:rPr>
        <w:t>辖</w:t>
      </w:r>
      <w:r>
        <w:rPr>
          <w:rFonts w:hint="eastAsia" w:ascii="仿宋_GB2312" w:hAnsi="仿宋_GB2312" w:eastAsia="仿宋_GB2312" w:cs="仿宋_GB2312"/>
          <w:i w:val="0"/>
          <w:iCs w:val="0"/>
          <w:caps w:val="0"/>
          <w:color w:val="auto"/>
          <w:spacing w:val="8"/>
          <w:sz w:val="32"/>
          <w:szCs w:val="32"/>
          <w:shd w:val="clear" w:color="auto" w:fill="FFFFFF"/>
          <w:lang w:val="en-US" w:eastAsia="zh-CN"/>
        </w:rPr>
        <w:t>区残疾人及残疾人子女受教育的权利，促进残疾人文化水平的提高，确保困难残疾学生及困难残疾人子女能顺利完成学校教育,经审核</w:t>
      </w:r>
      <w:r>
        <w:rPr>
          <w:rFonts w:hint="eastAsia" w:ascii="仿宋_GB2312" w:hAnsi="仿宋_GB2312" w:cs="仿宋_GB2312"/>
          <w:i w:val="0"/>
          <w:iCs w:val="0"/>
          <w:caps w:val="0"/>
          <w:color w:val="auto"/>
          <w:spacing w:val="8"/>
          <w:sz w:val="32"/>
          <w:szCs w:val="32"/>
          <w:shd w:val="clear" w:color="auto" w:fill="FFFFFF"/>
          <w:lang w:val="en-US" w:eastAsia="zh-CN"/>
        </w:rPr>
        <w:t>龙城街道</w:t>
      </w:r>
      <w:r>
        <w:rPr>
          <w:rFonts w:hint="eastAsia" w:ascii="仿宋_GB2312" w:hAnsi="仿宋_GB2312" w:eastAsia="仿宋_GB2312" w:cs="仿宋_GB2312"/>
          <w:i w:val="0"/>
          <w:iCs w:val="0"/>
          <w:caps w:val="0"/>
          <w:color w:val="auto"/>
          <w:spacing w:val="8"/>
          <w:sz w:val="32"/>
          <w:szCs w:val="32"/>
          <w:shd w:val="clear" w:color="auto" w:fill="FFFFFF"/>
          <w:lang w:val="en-US" w:eastAsia="zh-CN"/>
        </w:rPr>
        <w:t>有</w:t>
      </w:r>
      <w:r>
        <w:rPr>
          <w:rFonts w:hint="eastAsia" w:ascii="仿宋_GB2312" w:hAnsi="仿宋_GB2312" w:cs="仿宋_GB2312"/>
          <w:i w:val="0"/>
          <w:iCs w:val="0"/>
          <w:caps w:val="0"/>
          <w:color w:val="auto"/>
          <w:spacing w:val="8"/>
          <w:sz w:val="32"/>
          <w:szCs w:val="32"/>
          <w:shd w:val="clear" w:color="auto" w:fill="FFFFFF"/>
          <w:lang w:val="en-US" w:eastAsia="zh-CN"/>
        </w:rPr>
        <w:t>38</w:t>
      </w:r>
      <w:r>
        <w:rPr>
          <w:rFonts w:hint="eastAsia" w:ascii="仿宋_GB2312" w:hAnsi="仿宋_GB2312" w:eastAsia="仿宋_GB2312" w:cs="仿宋_GB2312"/>
          <w:i w:val="0"/>
          <w:iCs w:val="0"/>
          <w:caps w:val="0"/>
          <w:color w:val="auto"/>
          <w:spacing w:val="8"/>
          <w:sz w:val="32"/>
          <w:szCs w:val="32"/>
          <w:shd w:val="clear" w:color="auto" w:fill="FFFFFF"/>
          <w:lang w:val="en-US" w:eastAsia="zh-CN"/>
        </w:rPr>
        <w:t>名残疾学生及残疾人子女符合补助条件，</w:t>
      </w:r>
      <w:r>
        <w:rPr>
          <w:rFonts w:hint="eastAsia" w:ascii="仿宋_GB2312" w:hAnsi="仿宋_GB2312" w:cs="仿宋_GB2312"/>
          <w:i w:val="0"/>
          <w:iCs w:val="0"/>
          <w:caps w:val="0"/>
          <w:color w:val="auto"/>
          <w:spacing w:val="8"/>
          <w:sz w:val="32"/>
          <w:szCs w:val="32"/>
          <w:shd w:val="clear" w:color="auto" w:fill="FFFFFF"/>
          <w:lang w:val="en-US" w:eastAsia="zh-CN"/>
        </w:rPr>
        <w:t>由</w:t>
      </w:r>
      <w:r>
        <w:rPr>
          <w:rFonts w:hint="eastAsia" w:ascii="仿宋_GB2312" w:hAnsi="仿宋_GB2312" w:eastAsia="仿宋_GB2312" w:cs="仿宋_GB2312"/>
          <w:i w:val="0"/>
          <w:iCs w:val="0"/>
          <w:caps w:val="0"/>
          <w:color w:val="auto"/>
          <w:spacing w:val="8"/>
          <w:sz w:val="32"/>
          <w:szCs w:val="32"/>
          <w:shd w:val="clear" w:color="auto" w:fill="FFFFFF"/>
          <w:lang w:val="en-US" w:eastAsia="zh-CN"/>
        </w:rPr>
        <w:t>区残联核拨</w:t>
      </w:r>
      <w:r>
        <w:rPr>
          <w:rFonts w:hint="eastAsia" w:ascii="仿宋_GB2312" w:hAnsi="仿宋_GB2312" w:cs="仿宋_GB2312"/>
          <w:i w:val="0"/>
          <w:iCs w:val="0"/>
          <w:caps w:val="0"/>
          <w:color w:val="auto"/>
          <w:spacing w:val="8"/>
          <w:sz w:val="32"/>
          <w:szCs w:val="32"/>
          <w:shd w:val="clear" w:color="auto" w:fill="FFFFFF"/>
          <w:lang w:val="en-US" w:eastAsia="zh-CN"/>
        </w:rPr>
        <w:t>龙城</w:t>
      </w:r>
      <w:r>
        <w:rPr>
          <w:rFonts w:hint="eastAsia" w:ascii="仿宋_GB2312" w:hAnsi="仿宋_GB2312" w:eastAsia="仿宋_GB2312" w:cs="仿宋_GB2312"/>
          <w:i w:val="0"/>
          <w:iCs w:val="0"/>
          <w:caps w:val="0"/>
          <w:color w:val="auto"/>
          <w:spacing w:val="8"/>
          <w:sz w:val="32"/>
          <w:szCs w:val="32"/>
          <w:shd w:val="clear" w:color="auto" w:fill="FFFFFF"/>
          <w:lang w:val="en-US" w:eastAsia="zh-CN"/>
        </w:rPr>
        <w:t>街道2023年残疾学生及残疾人子女助学资金1</w:t>
      </w:r>
      <w:r>
        <w:rPr>
          <w:rFonts w:hint="eastAsia" w:ascii="仿宋_GB2312" w:hAnsi="仿宋_GB2312" w:cs="仿宋_GB2312"/>
          <w:i w:val="0"/>
          <w:iCs w:val="0"/>
          <w:caps w:val="0"/>
          <w:color w:val="auto"/>
          <w:spacing w:val="8"/>
          <w:sz w:val="32"/>
          <w:szCs w:val="32"/>
          <w:shd w:val="clear" w:color="auto" w:fill="FFFFFF"/>
          <w:lang w:val="en-US" w:eastAsia="zh-CN"/>
        </w:rPr>
        <w:t>1400</w:t>
      </w:r>
      <w:r>
        <w:rPr>
          <w:rFonts w:hint="eastAsia" w:ascii="仿宋_GB2312" w:hAnsi="仿宋_GB2312" w:eastAsia="仿宋_GB2312" w:cs="仿宋_GB2312"/>
          <w:i w:val="0"/>
          <w:iCs w:val="0"/>
          <w:caps w:val="0"/>
          <w:color w:val="auto"/>
          <w:spacing w:val="8"/>
          <w:sz w:val="32"/>
          <w:szCs w:val="32"/>
          <w:shd w:val="clear" w:color="auto" w:fill="FFFFFF"/>
          <w:lang w:val="en-US" w:eastAsia="zh-CN"/>
        </w:rPr>
        <w:t>元</w:t>
      </w:r>
      <w:r>
        <w:rPr>
          <w:rFonts w:hint="eastAsia" w:ascii="仿宋_GB2312" w:hAnsi="仿宋_GB2312" w:cs="仿宋_GB2312"/>
          <w:i w:val="0"/>
          <w:iCs w:val="0"/>
          <w:caps w:val="0"/>
          <w:color w:val="auto"/>
          <w:spacing w:val="8"/>
          <w:sz w:val="32"/>
          <w:szCs w:val="32"/>
          <w:shd w:val="clear" w:color="auto" w:fill="FFFFFF"/>
          <w:lang w:val="en-US" w:eastAsia="zh-CN"/>
        </w:rPr>
        <w:t>，用于辖区内残疾人子女</w:t>
      </w:r>
      <w:r>
        <w:rPr>
          <w:rFonts w:hint="eastAsia" w:ascii="仿宋_GB2312" w:hAnsi="仿宋_GB2312" w:eastAsia="仿宋_GB2312" w:cs="仿宋_GB2312"/>
          <w:sz w:val="32"/>
          <w:lang w:eastAsia="zh-CN"/>
        </w:rPr>
        <w:t>助学</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i w:val="0"/>
          <w:iCs w:val="0"/>
          <w:caps w:val="0"/>
          <w:color w:val="auto"/>
          <w:spacing w:val="8"/>
          <w:sz w:val="32"/>
          <w:szCs w:val="32"/>
          <w:shd w:val="clear" w:color="auto" w:fill="FFFFFF"/>
          <w:lang w:val="en-US"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26" w:firstLineChars="200"/>
        <w:jc w:val="both"/>
        <w:textAlignment w:val="auto"/>
        <w:outlineLvl w:val="9"/>
        <w:rPr>
          <w:rFonts w:hint="eastAsia" w:ascii="仿宋_GB2312"/>
          <w:b w:val="0"/>
          <w:bCs w:val="0"/>
          <w:color w:val="auto"/>
          <w:szCs w:val="32"/>
        </w:rPr>
      </w:pPr>
      <w:r>
        <w:rPr>
          <w:rFonts w:hint="eastAsia" w:ascii="仿宋_GB2312" w:hAnsi="仿宋_GB2312" w:cs="仿宋_GB2312"/>
          <w:i w:val="0"/>
          <w:iCs w:val="0"/>
          <w:caps w:val="0"/>
          <w:color w:val="auto"/>
          <w:spacing w:val="8"/>
          <w:sz w:val="32"/>
          <w:szCs w:val="32"/>
          <w:shd w:val="clear" w:color="auto" w:fill="FFFFFF"/>
          <w:lang w:val="en-US" w:eastAsia="zh-CN"/>
        </w:rPr>
        <w:t>15.进京劝返及专项稳控工作经费，</w:t>
      </w:r>
      <w:r>
        <w:rPr>
          <w:rFonts w:hint="default" w:ascii="Times New Roman" w:hAnsi="Times New Roman" w:eastAsia="仿宋_GB2312" w:cs="Times New Roman"/>
          <w:b w:val="0"/>
          <w:bCs w:val="0"/>
          <w:color w:val="auto"/>
          <w:sz w:val="32"/>
          <w:szCs w:val="32"/>
          <w:lang w:eastAsia="zh-CN"/>
        </w:rPr>
        <w:t>第一时间由区级领导带领工作人员进京开展劝返工作</w:t>
      </w:r>
      <w:r>
        <w:rPr>
          <w:rFonts w:hint="eastAsia" w:ascii="Times New Roman" w:hAnsi="Times New Roman" w:cs="Times New Roman"/>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力争早日劝返带离北京</w:t>
      </w:r>
      <w:r>
        <w:rPr>
          <w:rFonts w:hint="eastAsia" w:ascii="仿宋_GB2312" w:hAnsi="仿宋_GB2312" w:cs="仿宋_GB2312"/>
          <w:b w:val="0"/>
          <w:bCs w:val="0"/>
          <w:color w:val="auto"/>
          <w:sz w:val="32"/>
          <w:szCs w:val="32"/>
          <w:lang w:val="en-US" w:eastAsia="zh-CN"/>
        </w:rPr>
        <w:t>，并做好回昆后的稳控，严防再次聚集进京上访。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6" w:firstLineChars="200"/>
        <w:textAlignment w:val="auto"/>
        <w:outlineLvl w:val="0"/>
        <w:rPr>
          <w:rFonts w:hint="default"/>
          <w:lang w:val="en-US" w:eastAsia="zh-CN"/>
        </w:rPr>
      </w:pPr>
      <w:r>
        <w:rPr>
          <w:rFonts w:hint="eastAsia" w:ascii="仿宋_GB2312" w:hAnsi="仿宋_GB2312" w:cs="仿宋_GB2312"/>
          <w:i w:val="0"/>
          <w:iCs w:val="0"/>
          <w:caps w:val="0"/>
          <w:color w:val="auto"/>
          <w:spacing w:val="8"/>
          <w:sz w:val="32"/>
          <w:szCs w:val="32"/>
          <w:shd w:val="clear" w:color="auto" w:fill="FFFFFF"/>
          <w:lang w:val="en-US" w:eastAsia="zh-CN"/>
        </w:rPr>
        <w:t>16.职工食堂补助经费，保障街道及9个搭伙单位职工就餐需求。</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上述项目中乡镇财政共服务能力建设项目资金来源于上年结转，进京维稳工作经费为</w:t>
      </w:r>
      <w:r>
        <w:rPr>
          <w:rFonts w:hint="eastAsia" w:ascii="仿宋_GB2312" w:hAnsi="仿宋_GB2312" w:eastAsia="仿宋_GB2312" w:cs="仿宋_GB2312"/>
          <w:b w:val="0"/>
          <w:bCs/>
          <w:sz w:val="32"/>
          <w:szCs w:val="15"/>
          <w:lang w:val="en-US" w:eastAsia="zh-CN"/>
        </w:rPr>
        <w:t>街道向呈贡区人民政府申请</w:t>
      </w:r>
      <w:r>
        <w:rPr>
          <w:rFonts w:hint="eastAsia" w:ascii="仿宋_GB2312" w:hAnsi="仿宋_GB2312" w:cs="仿宋_GB2312"/>
          <w:b w:val="0"/>
          <w:bCs/>
          <w:sz w:val="32"/>
          <w:szCs w:val="15"/>
          <w:lang w:val="en-US" w:eastAsia="zh-CN"/>
        </w:rPr>
        <w:t>，</w:t>
      </w:r>
      <w:r>
        <w:rPr>
          <w:rFonts w:hint="eastAsia" w:ascii="仿宋_GB2312" w:hAnsi="仿宋_GB2312" w:cs="仿宋_GB2312"/>
          <w:szCs w:val="32"/>
          <w:lang w:eastAsia="zh-CN"/>
        </w:rPr>
        <w:t>其余项目均为部委办局年初预算项目，经报请区政府同意将预算指标调整至街道。</w:t>
      </w:r>
    </w:p>
    <w:p>
      <w:pPr>
        <w:topLinePunct/>
        <w:ind w:firstLine="594" w:firstLineChars="200"/>
        <w:rPr>
          <w:rFonts w:hint="eastAsia" w:ascii="仿宋_GB2312"/>
          <w:szCs w:val="32"/>
        </w:rPr>
      </w:pPr>
      <w:r>
        <w:rPr>
          <w:rFonts w:hint="default" w:ascii="Times New Roman" w:hAnsi="Times New Roman" w:eastAsia="仿宋_GB2312" w:cs="Times New Roman"/>
          <w:b w:val="0"/>
          <w:kern w:val="2"/>
          <w:sz w:val="32"/>
          <w:szCs w:val="32"/>
          <w:lang w:val="en-US" w:eastAsia="zh-CN" w:bidi="ar-SA"/>
        </w:rPr>
        <w:t>项目资金的使用</w:t>
      </w:r>
      <w:r>
        <w:rPr>
          <w:rFonts w:hint="eastAsia" w:ascii="仿宋_GB2312"/>
          <w:szCs w:val="32"/>
        </w:rPr>
        <w:t>严格按相关项目资金支出进度要求，结合年初制定的工作计划和各部门</w:t>
      </w:r>
      <w:r>
        <w:rPr>
          <w:rFonts w:hint="eastAsia" w:ascii="仿宋_GB2312"/>
          <w:szCs w:val="32"/>
          <w:lang w:eastAsia="zh-CN"/>
        </w:rPr>
        <w:t>、社区</w:t>
      </w:r>
      <w:r>
        <w:rPr>
          <w:rFonts w:hint="eastAsia" w:ascii="仿宋_GB2312"/>
          <w:szCs w:val="32"/>
        </w:rPr>
        <w:t>签定的目标责任书，合理、合法、合规地使用项目资金。</w:t>
      </w:r>
    </w:p>
    <w:p>
      <w:pPr>
        <w:topLinePunct/>
        <w:ind w:firstLine="594" w:firstLineChars="200"/>
        <w:rPr>
          <w:rFonts w:hint="eastAsia" w:ascii="仿宋_GB2312"/>
          <w:szCs w:val="32"/>
        </w:rPr>
      </w:pPr>
      <w:r>
        <w:rPr>
          <w:rFonts w:hint="eastAsia" w:ascii="仿宋_GB2312" w:hAnsi="仿宋_GB2312"/>
          <w:szCs w:val="32"/>
        </w:rPr>
        <w:t>项目组织、项目管理严格按照街道财务管理制度，5000元以上资金支出事前</w:t>
      </w:r>
      <w:r>
        <w:rPr>
          <w:rFonts w:hint="eastAsia" w:ascii="仿宋_GB2312" w:hAnsi="仿宋_GB2312"/>
          <w:szCs w:val="32"/>
          <w:lang w:eastAsia="zh-CN"/>
        </w:rPr>
        <w:t>报请</w:t>
      </w:r>
      <w:r>
        <w:rPr>
          <w:rFonts w:hint="eastAsia" w:ascii="仿宋_GB2312" w:hAnsi="仿宋_GB2312"/>
          <w:szCs w:val="32"/>
        </w:rPr>
        <w:t>行政办公会，10万元以上资金支出事前</w:t>
      </w:r>
      <w:r>
        <w:rPr>
          <w:rFonts w:hint="eastAsia" w:ascii="仿宋_GB2312" w:hAnsi="仿宋_GB2312"/>
          <w:szCs w:val="32"/>
          <w:lang w:eastAsia="zh-CN"/>
        </w:rPr>
        <w:t>报请</w:t>
      </w:r>
      <w:r>
        <w:rPr>
          <w:rFonts w:hint="eastAsia" w:ascii="仿宋_GB2312" w:hAnsi="仿宋_GB2312"/>
          <w:szCs w:val="32"/>
        </w:rPr>
        <w:t>党工委会，由项目支出的部门汇报使用资金的事由、金额、用途及产生的效果等，由会议集体审议通过后</w:t>
      </w:r>
      <w:r>
        <w:rPr>
          <w:rFonts w:hint="eastAsia" w:ascii="仿宋_GB2312" w:hAnsi="仿宋_GB2312"/>
          <w:szCs w:val="32"/>
          <w:lang w:eastAsia="zh-CN"/>
        </w:rPr>
        <w:t>方可</w:t>
      </w:r>
      <w:r>
        <w:rPr>
          <w:rFonts w:hint="eastAsia" w:ascii="仿宋_GB2312" w:hAnsi="仿宋_GB2312"/>
          <w:szCs w:val="32"/>
        </w:rPr>
        <w:t>支付。</w:t>
      </w:r>
    </w:p>
    <w:p>
      <w:pPr>
        <w:ind w:firstLine="594" w:firstLineChars="200"/>
        <w:outlineLvl w:val="0"/>
        <w:rPr>
          <w:rFonts w:hint="eastAsia" w:ascii="仿宋_GB2312" w:hAnsi="微软雅黑" w:cs="宋体"/>
          <w:color w:val="000000"/>
          <w:kern w:val="0"/>
          <w:szCs w:val="32"/>
        </w:rPr>
      </w:pPr>
      <w:r>
        <w:rPr>
          <w:rFonts w:hint="eastAsia" w:ascii="仿宋_GB2312"/>
          <w:szCs w:val="32"/>
        </w:rPr>
        <w:t>项目在预算范围内开展，无超出预算金额和范围的支出。严格按照</w:t>
      </w:r>
      <w:r>
        <w:rPr>
          <w:rFonts w:hint="eastAsia" w:cs="仿宋_GB2312"/>
          <w:color w:val="000000"/>
          <w:szCs w:val="32"/>
        </w:rPr>
        <w:t>《龙城街道</w:t>
      </w:r>
      <w:r>
        <w:rPr>
          <w:rFonts w:hint="eastAsia" w:cs="仿宋_GB2312"/>
          <w:szCs w:val="32"/>
        </w:rPr>
        <w:t>“三重一大”事项集体决策制度</w:t>
      </w:r>
      <w:r>
        <w:rPr>
          <w:rFonts w:hint="eastAsia" w:cs="仿宋_GB2312"/>
          <w:color w:val="000000"/>
          <w:szCs w:val="32"/>
        </w:rPr>
        <w:t>》、</w:t>
      </w:r>
      <w:r>
        <w:rPr>
          <w:rFonts w:hint="eastAsia" w:ascii="仿宋_GB2312"/>
          <w:szCs w:val="32"/>
        </w:rPr>
        <w:t>《龙城街道党工委会议议事规则》、《龙城街道行政办公会议事规则》、</w:t>
      </w:r>
      <w:r>
        <w:rPr>
          <w:rFonts w:hint="eastAsia" w:ascii="仿宋_GB2312" w:hAnsi="微软雅黑" w:cs="宋体"/>
          <w:color w:val="000000"/>
          <w:kern w:val="0"/>
          <w:szCs w:val="32"/>
        </w:rPr>
        <w:t>《龙城街道办事处财务管理制度》等内部管理制度，控制项目成本。</w:t>
      </w:r>
    </w:p>
    <w:p>
      <w:pPr>
        <w:ind w:firstLine="594" w:firstLineChars="200"/>
        <w:outlineLvl w:val="0"/>
        <w:rPr>
          <w:rFonts w:hint="eastAsia"/>
        </w:rPr>
      </w:pPr>
      <w:r>
        <w:rPr>
          <w:rFonts w:hint="eastAsia" w:ascii="仿宋_GB2312"/>
          <w:szCs w:val="32"/>
        </w:rPr>
        <w:t>项目经费使用遵循紧贴群众需求、统筹规划、公开透明、择优扶持的原则，严格程序、规范操作、专款专用、专项核算,确保资金投入能切实服务改革、服务发展、服务群众、服务民生。</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numPr>
          <w:ilvl w:val="0"/>
          <w:numId w:val="1"/>
        </w:numPr>
        <w:kinsoku/>
        <w:wordWrap/>
        <w:overflowPunct/>
        <w:topLinePunct/>
        <w:autoSpaceDE/>
        <w:autoSpaceDN/>
        <w:bidi w:val="0"/>
        <w:adjustRightInd/>
        <w:snapToGrid/>
        <w:spacing w:line="600" w:lineRule="exact"/>
        <w:ind w:left="0" w:leftChars="0" w:right="0" w:firstLine="594" w:firstLineChars="200"/>
        <w:jc w:val="both"/>
        <w:textAlignment w:val="auto"/>
        <w:outlineLvl w:val="9"/>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卫生城市43万元，多措并举全力开展国家卫生城市复审迎检工作，成</w:t>
      </w:r>
      <w:r>
        <w:rPr>
          <w:rFonts w:hint="default" w:ascii="Times New Roman" w:hAnsi="Times New Roman" w:eastAsia="仿宋_GB2312" w:cs="Times New Roman"/>
          <w:color w:val="auto"/>
          <w:kern w:val="2"/>
          <w:sz w:val="32"/>
          <w:szCs w:val="32"/>
          <w:lang w:val="en-US" w:eastAsia="zh-CN" w:bidi="ar-SA"/>
        </w:rPr>
        <w:t>立龙城街道常态化爱国卫生运动工作专班</w:t>
      </w:r>
      <w:r>
        <w:rPr>
          <w:rFonts w:hint="eastAsia" w:ascii="Times New Roman" w:hAnsi="Times New Roman" w:cs="Times New Roman"/>
          <w:color w:val="auto"/>
          <w:kern w:val="2"/>
          <w:sz w:val="32"/>
          <w:szCs w:val="32"/>
          <w:lang w:val="en-US" w:eastAsia="zh-CN" w:bidi="ar-SA"/>
        </w:rPr>
        <w:t>，多部门联动整治重点点位，</w:t>
      </w:r>
      <w:r>
        <w:rPr>
          <w:rFonts w:hint="default" w:ascii="Times New Roman" w:hAnsi="Times New Roman" w:eastAsia="仿宋_GB2312" w:cs="Times New Roman"/>
          <w:color w:val="auto"/>
          <w:kern w:val="2"/>
          <w:sz w:val="32"/>
          <w:szCs w:val="32"/>
          <w:lang w:val="en-US" w:eastAsia="zh-CN" w:bidi="ar-SA"/>
        </w:rPr>
        <w:t>集中开展脏乱差整治工作。持续巩固提升全国文明城市创建成果，做好辖区14个重点示范点位日常巡查及问题整改工作</w:t>
      </w:r>
      <w:r>
        <w:rPr>
          <w:rFonts w:hint="eastAsia" w:ascii="Times New Roman" w:hAnsi="Times New Roman" w:cs="Times New Roman"/>
          <w:color w:val="auto"/>
          <w:kern w:val="2"/>
          <w:sz w:val="32"/>
          <w:szCs w:val="32"/>
          <w:lang w:val="en-US" w:eastAsia="zh-CN" w:bidi="ar-SA"/>
        </w:rPr>
        <w:t>。</w:t>
      </w:r>
    </w:p>
    <w:p>
      <w:pPr>
        <w:ind w:firstLine="594" w:firstLineChars="200"/>
        <w:outlineLvl w:val="0"/>
        <w:rPr>
          <w:rFonts w:hint="default"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2.进京维稳83.28万元，</w:t>
      </w:r>
      <w:r>
        <w:rPr>
          <w:rFonts w:hint="eastAsia" w:ascii="仿宋_GB2312" w:hAnsi="仿宋_GB2312" w:eastAsia="仿宋_GB2312" w:cs="仿宋_GB2312"/>
          <w:b w:val="0"/>
          <w:bCs w:val="0"/>
          <w:sz w:val="32"/>
          <w:szCs w:val="32"/>
          <w:lang w:eastAsia="zh-CN" w:bidi="ar-SA"/>
        </w:rPr>
        <w:t>按照“一项目一对策”的思路，积极化解稳控</w:t>
      </w:r>
      <w:r>
        <w:rPr>
          <w:rFonts w:hint="eastAsia" w:ascii="仿宋_GB2312" w:hAnsi="仿宋_GB2312" w:eastAsia="仿宋_GB2312" w:cs="仿宋_GB2312"/>
          <w:b w:val="0"/>
          <w:bCs w:val="0"/>
          <w:sz w:val="32"/>
          <w:szCs w:val="32"/>
          <w:lang w:val="en-US" w:eastAsia="zh-CN" w:bidi="ar-SA"/>
        </w:rPr>
        <w:t>置信银河广场项目</w:t>
      </w:r>
      <w:r>
        <w:rPr>
          <w:rFonts w:hint="eastAsia" w:ascii="仿宋_GB2312" w:hAnsi="仿宋_GB2312" w:cs="仿宋_GB2312"/>
          <w:b w:val="0"/>
          <w:bCs w:val="0"/>
          <w:sz w:val="32"/>
          <w:szCs w:val="32"/>
          <w:lang w:val="en-US" w:eastAsia="zh-CN" w:bidi="ar-SA"/>
        </w:rPr>
        <w:t>、违章建筑、房地产领域、金融领域、交通领域等</w:t>
      </w:r>
      <w:r>
        <w:rPr>
          <w:rFonts w:hint="eastAsia" w:ascii="仿宋_GB2312" w:hAnsi="仿宋_GB2312" w:eastAsia="仿宋_GB2312" w:cs="仿宋_GB2312"/>
          <w:b w:val="0"/>
          <w:bCs w:val="0"/>
          <w:sz w:val="32"/>
          <w:szCs w:val="32"/>
          <w:lang w:val="en-US" w:eastAsia="zh-CN" w:bidi="ar-SA"/>
        </w:rPr>
        <w:t>涉稳隐患，维护呈贡区</w:t>
      </w:r>
      <w:r>
        <w:rPr>
          <w:rFonts w:hint="eastAsia" w:ascii="仿宋_GB2312" w:hAnsi="仿宋_GB2312" w:cs="仿宋_GB2312"/>
          <w:b w:val="0"/>
          <w:bCs w:val="0"/>
          <w:sz w:val="32"/>
          <w:szCs w:val="32"/>
          <w:lang w:val="en-US" w:eastAsia="zh-CN" w:bidi="ar-SA"/>
        </w:rPr>
        <w:t>社会面</w:t>
      </w:r>
      <w:r>
        <w:rPr>
          <w:rFonts w:hint="eastAsia" w:ascii="仿宋_GB2312" w:hAnsi="仿宋_GB2312" w:eastAsia="仿宋_GB2312" w:cs="仿宋_GB2312"/>
          <w:b w:val="0"/>
          <w:bCs w:val="0"/>
          <w:sz w:val="32"/>
          <w:szCs w:val="32"/>
          <w:lang w:val="en-US" w:eastAsia="zh-CN" w:bidi="ar-SA"/>
        </w:rPr>
        <w:t>正常秩序，</w:t>
      </w:r>
      <w:r>
        <w:rPr>
          <w:rFonts w:hint="eastAsia" w:ascii="仿宋_GB2312" w:hAnsi="仿宋_GB2312" w:cs="仿宋_GB2312"/>
          <w:b w:val="0"/>
          <w:bCs w:val="0"/>
          <w:sz w:val="32"/>
          <w:szCs w:val="32"/>
          <w:lang w:val="en-US" w:eastAsia="zh-CN" w:bidi="ar-SA"/>
        </w:rPr>
        <w:t>根据不同隐患问题</w:t>
      </w:r>
      <w:r>
        <w:rPr>
          <w:rFonts w:hint="eastAsia" w:ascii="仿宋_GB2312" w:hAnsi="仿宋_GB2312" w:eastAsia="仿宋_GB2312" w:cs="仿宋_GB2312"/>
          <w:b w:val="0"/>
          <w:bCs w:val="0"/>
          <w:sz w:val="32"/>
          <w:szCs w:val="32"/>
          <w:lang w:val="en-US" w:eastAsia="zh-CN" w:bidi="ar-SA"/>
        </w:rPr>
        <w:t>成立</w:t>
      </w:r>
      <w:r>
        <w:rPr>
          <w:rFonts w:hint="eastAsia" w:ascii="仿宋_GB2312" w:hAnsi="仿宋_GB2312" w:cs="仿宋_GB2312"/>
          <w:b w:val="0"/>
          <w:bCs w:val="0"/>
          <w:sz w:val="32"/>
          <w:szCs w:val="32"/>
          <w:lang w:val="en-US" w:eastAsia="zh-CN" w:bidi="ar-SA"/>
        </w:rPr>
        <w:t>各类专班，</w:t>
      </w:r>
      <w:r>
        <w:rPr>
          <w:rFonts w:hint="eastAsia" w:ascii="仿宋_GB2312" w:hAnsi="仿宋_GB2312" w:eastAsia="仿宋_GB2312" w:cs="仿宋_GB2312"/>
          <w:b w:val="0"/>
          <w:bCs w:val="0"/>
          <w:sz w:val="32"/>
          <w:szCs w:val="32"/>
          <w:lang w:val="en-US" w:eastAsia="zh-CN" w:bidi="ar-SA"/>
        </w:rPr>
        <w:t>由</w:t>
      </w:r>
      <w:r>
        <w:rPr>
          <w:rFonts w:hint="eastAsia" w:ascii="仿宋_GB2312" w:hAnsi="仿宋_GB2312" w:eastAsia="仿宋_GB2312" w:cs="仿宋_GB2312"/>
          <w:b w:val="0"/>
          <w:i w:val="0"/>
          <w:caps w:val="0"/>
          <w:color w:val="auto"/>
          <w:spacing w:val="0"/>
          <w:w w:val="100"/>
          <w:sz w:val="32"/>
          <w:szCs w:val="32"/>
          <w:lang w:eastAsia="zh-CN"/>
        </w:rPr>
        <w:t>区委政法委</w:t>
      </w:r>
      <w:r>
        <w:rPr>
          <w:rFonts w:hint="eastAsia" w:ascii="仿宋_GB2312" w:hAnsi="仿宋_GB2312" w:eastAsia="仿宋_GB2312" w:cs="仿宋_GB2312"/>
          <w:b w:val="0"/>
          <w:i w:val="0"/>
          <w:caps w:val="0"/>
          <w:color w:val="auto"/>
          <w:spacing w:val="0"/>
          <w:w w:val="100"/>
          <w:sz w:val="32"/>
          <w:szCs w:val="32"/>
          <w:lang w:val="en-US" w:eastAsia="zh-CN"/>
        </w:rPr>
        <w:t>、区人民法院、</w:t>
      </w:r>
      <w:r>
        <w:rPr>
          <w:rFonts w:hint="eastAsia" w:ascii="仿宋_GB2312" w:hAnsi="仿宋_GB2312" w:eastAsia="仿宋_GB2312" w:cs="仿宋_GB2312"/>
          <w:b w:val="0"/>
          <w:i w:val="0"/>
          <w:caps w:val="0"/>
          <w:color w:val="auto"/>
          <w:spacing w:val="0"/>
          <w:w w:val="100"/>
          <w:sz w:val="32"/>
          <w:szCs w:val="32"/>
          <w:lang w:eastAsia="zh-CN"/>
        </w:rPr>
        <w:t>市公安局呈贡分局、</w:t>
      </w:r>
      <w:r>
        <w:rPr>
          <w:rFonts w:hint="eastAsia" w:ascii="仿宋_GB2312" w:hAnsi="仿宋_GB2312" w:eastAsia="仿宋_GB2312" w:cs="仿宋_GB2312"/>
          <w:b w:val="0"/>
          <w:i w:val="0"/>
          <w:caps w:val="0"/>
          <w:color w:val="auto"/>
          <w:spacing w:val="0"/>
          <w:w w:val="100"/>
          <w:sz w:val="32"/>
          <w:szCs w:val="32"/>
        </w:rPr>
        <w:t>区信访局</w:t>
      </w:r>
      <w:r>
        <w:rPr>
          <w:rFonts w:hint="eastAsia" w:ascii="仿宋_GB2312" w:hAnsi="仿宋_GB2312" w:eastAsia="仿宋_GB2312" w:cs="仿宋_GB2312"/>
          <w:b w:val="0"/>
          <w:i w:val="0"/>
          <w:caps w:val="0"/>
          <w:color w:val="auto"/>
          <w:spacing w:val="0"/>
          <w:w w:val="100"/>
          <w:sz w:val="32"/>
          <w:szCs w:val="32"/>
          <w:lang w:val="en-US" w:eastAsia="zh-CN"/>
        </w:rPr>
        <w:t>、</w:t>
      </w:r>
      <w:r>
        <w:rPr>
          <w:rFonts w:hint="eastAsia" w:ascii="仿宋_GB2312" w:hAnsi="仿宋_GB2312" w:eastAsia="仿宋_GB2312" w:cs="仿宋_GB2312"/>
          <w:b w:val="0"/>
          <w:i w:val="0"/>
          <w:caps w:val="0"/>
          <w:color w:val="auto"/>
          <w:spacing w:val="0"/>
          <w:w w:val="100"/>
          <w:sz w:val="32"/>
          <w:szCs w:val="32"/>
        </w:rPr>
        <w:t>区司法局、区自然资源局、</w:t>
      </w:r>
      <w:r>
        <w:rPr>
          <w:rFonts w:hint="eastAsia" w:ascii="仿宋_GB2312" w:hAnsi="仿宋_GB2312" w:eastAsia="仿宋_GB2312" w:cs="仿宋_GB2312"/>
          <w:b w:val="0"/>
          <w:i w:val="0"/>
          <w:caps w:val="0"/>
          <w:color w:val="auto"/>
          <w:spacing w:val="0"/>
          <w:w w:val="100"/>
          <w:sz w:val="32"/>
          <w:szCs w:val="32"/>
          <w:lang w:val="en-US" w:eastAsia="zh-CN"/>
        </w:rPr>
        <w:t>区</w:t>
      </w:r>
      <w:r>
        <w:rPr>
          <w:rFonts w:hint="eastAsia" w:ascii="仿宋_GB2312" w:hAnsi="仿宋_GB2312" w:eastAsia="仿宋_GB2312" w:cs="仿宋_GB2312"/>
          <w:b w:val="0"/>
          <w:i w:val="0"/>
          <w:caps w:val="0"/>
          <w:color w:val="auto"/>
          <w:spacing w:val="0"/>
          <w:w w:val="100"/>
          <w:sz w:val="32"/>
          <w:szCs w:val="32"/>
        </w:rPr>
        <w:t>住房城乡建设局、</w:t>
      </w:r>
      <w:r>
        <w:rPr>
          <w:rFonts w:hint="eastAsia" w:ascii="仿宋_GB2312" w:hAnsi="仿宋_GB2312" w:eastAsia="仿宋_GB2312" w:cs="仿宋_GB2312"/>
          <w:b w:val="0"/>
          <w:bCs w:val="0"/>
          <w:i w:val="0"/>
          <w:caps w:val="0"/>
          <w:color w:val="auto"/>
          <w:spacing w:val="0"/>
          <w:w w:val="100"/>
          <w:sz w:val="32"/>
          <w:szCs w:val="32"/>
          <w:lang w:eastAsia="zh-CN"/>
        </w:rPr>
        <w:t>区商务和投资促进局、</w:t>
      </w:r>
      <w:r>
        <w:rPr>
          <w:rFonts w:hint="eastAsia" w:ascii="仿宋_GB2312" w:hAnsi="仿宋_GB2312" w:eastAsia="仿宋_GB2312" w:cs="仿宋_GB2312"/>
          <w:b w:val="0"/>
          <w:i w:val="0"/>
          <w:caps w:val="0"/>
          <w:color w:val="auto"/>
          <w:spacing w:val="0"/>
          <w:w w:val="100"/>
          <w:sz w:val="32"/>
          <w:szCs w:val="32"/>
          <w:lang w:eastAsia="zh-CN"/>
        </w:rPr>
        <w:t>区税务局、</w:t>
      </w:r>
      <w:r>
        <w:rPr>
          <w:rStyle w:val="13"/>
          <w:rFonts w:hint="eastAsia" w:ascii="仿宋_GB2312" w:hAnsi="仿宋_GB2312" w:eastAsia="仿宋_GB2312" w:cs="仿宋_GB2312"/>
          <w:b w:val="0"/>
          <w:i w:val="0"/>
          <w:caps w:val="0"/>
          <w:color w:val="auto"/>
          <w:spacing w:val="0"/>
          <w:w w:val="100"/>
          <w:kern w:val="0"/>
          <w:sz w:val="32"/>
          <w:szCs w:val="32"/>
          <w:lang w:val="en-US" w:eastAsia="zh-CN"/>
        </w:rPr>
        <w:t>龙城街道办事处</w:t>
      </w:r>
      <w:r>
        <w:rPr>
          <w:rFonts w:hint="eastAsia" w:ascii="仿宋_GB2312" w:hAnsi="仿宋_GB2312" w:eastAsia="仿宋_GB2312" w:cs="仿宋_GB2312"/>
          <w:b w:val="0"/>
          <w:bCs w:val="0"/>
          <w:sz w:val="32"/>
          <w:szCs w:val="32"/>
          <w:lang w:val="en-US" w:eastAsia="zh-CN" w:bidi="ar-SA"/>
        </w:rPr>
        <w:t>、社区组成的工作专班，</w:t>
      </w:r>
      <w:r>
        <w:rPr>
          <w:rFonts w:hint="eastAsia" w:ascii="仿宋_GB2312" w:hAnsi="仿宋_GB2312" w:cs="仿宋_GB2312"/>
          <w:b w:val="0"/>
          <w:bCs w:val="0"/>
          <w:sz w:val="32"/>
          <w:szCs w:val="32"/>
          <w:lang w:val="en-US" w:eastAsia="zh-CN" w:bidi="ar-SA"/>
        </w:rPr>
        <w:t>并由区级领导进行包保，任专班组长</w:t>
      </w:r>
      <w:r>
        <w:rPr>
          <w:rFonts w:hint="eastAsia" w:ascii="仿宋_GB2312" w:hAnsi="仿宋_GB2312" w:eastAsia="仿宋_GB2312" w:cs="仿宋_GB2312"/>
          <w:b w:val="0"/>
          <w:i w:val="0"/>
          <w:caps w:val="0"/>
          <w:color w:val="auto"/>
          <w:spacing w:val="0"/>
          <w:w w:val="100"/>
          <w:sz w:val="32"/>
          <w:szCs w:val="32"/>
          <w:lang w:val="en-US" w:eastAsia="zh-CN"/>
        </w:rPr>
        <w:t>。</w:t>
      </w:r>
      <w:r>
        <w:rPr>
          <w:rFonts w:hint="eastAsia" w:ascii="仿宋_GB2312" w:hAnsi="仿宋_GB2312" w:eastAsia="仿宋_GB2312" w:cs="仿宋_GB2312"/>
          <w:color w:val="auto"/>
          <w:sz w:val="32"/>
          <w:szCs w:val="32"/>
          <w:shd w:val="clear" w:color="auto" w:fill="auto"/>
          <w:lang w:bidi="ar-SA"/>
        </w:rPr>
        <w:t>各成员</w:t>
      </w:r>
      <w:r>
        <w:rPr>
          <w:rFonts w:hint="eastAsia" w:ascii="仿宋_GB2312" w:hAnsi="仿宋_GB2312" w:eastAsia="仿宋_GB2312" w:cs="仿宋_GB2312"/>
          <w:color w:val="auto"/>
          <w:sz w:val="32"/>
          <w:szCs w:val="32"/>
          <w:shd w:val="clear" w:color="auto" w:fill="auto"/>
          <w:lang w:eastAsia="zh-CN" w:bidi="ar-SA"/>
        </w:rPr>
        <w:t>单位根据部门工作职责</w:t>
      </w:r>
      <w:r>
        <w:rPr>
          <w:rFonts w:hint="eastAsia" w:ascii="仿宋_GB2312" w:hAnsi="仿宋_GB2312" w:eastAsia="仿宋_GB2312" w:cs="仿宋_GB2312"/>
          <w:color w:val="auto"/>
          <w:sz w:val="32"/>
          <w:szCs w:val="32"/>
          <w:shd w:val="clear" w:color="auto" w:fill="auto"/>
          <w:lang w:bidi="ar-SA"/>
        </w:rPr>
        <w:t>，</w:t>
      </w:r>
      <w:r>
        <w:rPr>
          <w:rFonts w:hint="eastAsia" w:ascii="仿宋_GB2312" w:hAnsi="仿宋_GB2312" w:eastAsia="仿宋_GB2312" w:cs="仿宋_GB2312"/>
          <w:color w:val="auto"/>
          <w:sz w:val="32"/>
          <w:szCs w:val="32"/>
          <w:shd w:val="clear" w:color="auto" w:fill="auto"/>
          <w:lang w:val="en-US" w:eastAsia="zh-CN" w:bidi="ar-SA"/>
        </w:rPr>
        <w:t>推进</w:t>
      </w:r>
      <w:r>
        <w:rPr>
          <w:rFonts w:hint="eastAsia" w:ascii="仿宋_GB2312" w:hAnsi="仿宋_GB2312" w:cs="仿宋_GB2312"/>
          <w:color w:val="auto"/>
          <w:sz w:val="32"/>
          <w:szCs w:val="32"/>
          <w:shd w:val="clear" w:color="auto" w:fill="auto"/>
          <w:lang w:eastAsia="zh-CN" w:bidi="ar-SA"/>
        </w:rPr>
        <w:t>各类风险隐患</w:t>
      </w:r>
      <w:r>
        <w:rPr>
          <w:rFonts w:hint="eastAsia" w:ascii="仿宋_GB2312" w:hAnsi="仿宋_GB2312" w:eastAsia="仿宋_GB2312" w:cs="仿宋_GB2312"/>
          <w:color w:val="auto"/>
          <w:sz w:val="32"/>
          <w:szCs w:val="32"/>
          <w:shd w:val="clear" w:color="auto" w:fill="auto"/>
          <w:lang w:val="en-US" w:eastAsia="zh-CN" w:bidi="ar-SA"/>
        </w:rPr>
        <w:t>化解</w:t>
      </w:r>
      <w:r>
        <w:rPr>
          <w:rFonts w:hint="eastAsia" w:ascii="仿宋_GB2312" w:hAnsi="仿宋_GB2312" w:eastAsia="仿宋_GB2312" w:cs="仿宋_GB2312"/>
          <w:color w:val="auto"/>
          <w:sz w:val="32"/>
          <w:szCs w:val="32"/>
          <w:lang w:eastAsia="zh-CN" w:bidi="ar-SA"/>
        </w:rPr>
        <w:t>工作。</w:t>
      </w:r>
    </w:p>
    <w:p>
      <w:pPr>
        <w:keepNext w:val="0"/>
        <w:keepLines w:val="0"/>
        <w:pageBreakBefore w:val="0"/>
        <w:widowControl w:val="0"/>
        <w:numPr>
          <w:ilvl w:val="0"/>
          <w:numId w:val="0"/>
        </w:numPr>
        <w:kinsoku/>
        <w:wordWrap/>
        <w:overflowPunct/>
        <w:topLinePunct/>
        <w:autoSpaceDE/>
        <w:autoSpaceDN/>
        <w:bidi w:val="0"/>
        <w:adjustRightInd/>
        <w:snapToGrid/>
        <w:spacing w:line="600" w:lineRule="exact"/>
        <w:ind w:right="0" w:rightChars="0" w:firstLine="594" w:firstLineChars="200"/>
        <w:jc w:val="both"/>
        <w:textAlignment w:val="auto"/>
        <w:outlineLvl w:val="9"/>
        <w:rPr>
          <w:rFonts w:hint="default"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3.职工食堂经费82.85万元，主要用于保障街道及9个搭伙单位就餐需求。</w:t>
      </w:r>
    </w:p>
    <w:p>
      <w:pPr>
        <w:keepNext w:val="0"/>
        <w:keepLines w:val="0"/>
        <w:pageBreakBefore w:val="0"/>
        <w:widowControl w:val="0"/>
        <w:numPr>
          <w:ilvl w:val="0"/>
          <w:numId w:val="0"/>
        </w:numPr>
        <w:kinsoku/>
        <w:wordWrap/>
        <w:overflowPunct/>
        <w:topLinePunct/>
        <w:autoSpaceDE/>
        <w:autoSpaceDN/>
        <w:bidi w:val="0"/>
        <w:adjustRightInd/>
        <w:snapToGrid/>
        <w:spacing w:line="600" w:lineRule="exact"/>
        <w:ind w:right="0" w:rightChars="0" w:firstLine="594" w:firstLineChars="200"/>
        <w:jc w:val="both"/>
        <w:textAlignment w:val="auto"/>
        <w:outlineLvl w:val="9"/>
        <w:rPr>
          <w:rFonts w:hint="default" w:ascii="Times New Roman" w:hAnsi="Times New Roman" w:cs="Times New Roman"/>
          <w:color w:val="auto"/>
          <w:szCs w:val="32"/>
          <w:highlight w:val="none"/>
          <w:lang w:val="en-US" w:eastAsia="zh-CN"/>
        </w:rPr>
      </w:pPr>
      <w:r>
        <w:rPr>
          <w:rFonts w:hint="eastAsia" w:ascii="Times New Roman" w:hAnsi="Times New Roman" w:cs="Times New Roman"/>
          <w:color w:val="auto"/>
          <w:szCs w:val="32"/>
          <w:highlight w:val="none"/>
          <w:lang w:val="en-US" w:eastAsia="zh-CN"/>
        </w:rPr>
        <w:t>4.</w:t>
      </w:r>
      <w:r>
        <w:rPr>
          <w:rFonts w:hint="default" w:ascii="Times New Roman" w:hAnsi="Times New Roman" w:cs="Times New Roman"/>
          <w:color w:val="auto"/>
          <w:szCs w:val="32"/>
          <w:highlight w:val="none"/>
          <w:lang w:val="en-US" w:eastAsia="zh-CN"/>
        </w:rPr>
        <w:t>乡镇财政公共服务能力提升建设专项资金</w:t>
      </w:r>
      <w:r>
        <w:rPr>
          <w:rFonts w:hint="eastAsia" w:ascii="Times New Roman" w:hAnsi="Times New Roman" w:cs="Times New Roman"/>
          <w:color w:val="auto"/>
          <w:szCs w:val="32"/>
          <w:highlight w:val="none"/>
          <w:lang w:val="en-US" w:eastAsia="zh-CN"/>
        </w:rPr>
        <w:t>32.51万元</w:t>
      </w:r>
      <w:r>
        <w:rPr>
          <w:rFonts w:hint="default" w:ascii="Times New Roman" w:hAnsi="Times New Roman" w:cs="Times New Roman"/>
          <w:color w:val="auto"/>
          <w:szCs w:val="32"/>
          <w:highlight w:val="none"/>
          <w:lang w:val="en-US" w:eastAsia="zh-CN"/>
        </w:rPr>
        <w:t>。</w:t>
      </w:r>
      <w:r>
        <w:rPr>
          <w:rFonts w:hint="eastAsia" w:ascii="Times New Roman" w:hAnsi="Times New Roman" w:cs="Times New Roman"/>
          <w:color w:val="auto"/>
          <w:szCs w:val="32"/>
          <w:highlight w:val="none"/>
          <w:lang w:val="en-US" w:eastAsia="zh-CN"/>
        </w:rPr>
        <w:t>主要用于开展财务收支审计、办公设备购置、办公楼外立面安全隐患工程整治等；</w:t>
      </w:r>
    </w:p>
    <w:p>
      <w:pPr>
        <w:ind w:firstLine="594" w:firstLineChars="200"/>
        <w:outlineLvl w:val="0"/>
        <w:rPr>
          <w:rFonts w:hint="eastAsia" w:ascii="仿宋_GB2312" w:hAnsi="仿宋_GB2312" w:cs="仿宋_GB2312"/>
          <w:sz w:val="32"/>
          <w:szCs w:val="32"/>
          <w:lang w:eastAsia="zh-CN"/>
        </w:rPr>
      </w:pPr>
      <w:r>
        <w:rPr>
          <w:rFonts w:hint="eastAsia" w:ascii="Times New Roman" w:hAnsi="Times New Roman" w:cs="Times New Roman"/>
          <w:szCs w:val="32"/>
          <w:lang w:val="en-US" w:eastAsia="zh-CN"/>
        </w:rPr>
        <w:t>5</w:t>
      </w:r>
      <w:r>
        <w:rPr>
          <w:rFonts w:hint="default" w:ascii="Times New Roman" w:hAnsi="Times New Roman" w:cs="Times New Roman"/>
          <w:szCs w:val="32"/>
          <w:lang w:val="en-US" w:eastAsia="zh-CN"/>
        </w:rPr>
        <w:t>.基层党建管理经费</w:t>
      </w:r>
      <w:r>
        <w:rPr>
          <w:rFonts w:hint="eastAsia" w:ascii="Times New Roman" w:hAnsi="Times New Roman" w:cs="Times New Roman"/>
          <w:szCs w:val="32"/>
          <w:lang w:val="en-US" w:eastAsia="zh-CN"/>
        </w:rPr>
        <w:t>46.29万元，</w:t>
      </w:r>
      <w:r>
        <w:rPr>
          <w:rFonts w:hint="eastAsia" w:ascii="仿宋_GB2312" w:hAnsi="仿宋_GB2312" w:cs="仿宋_GB2312"/>
          <w:szCs w:val="32"/>
        </w:rPr>
        <w:t>其中：</w:t>
      </w:r>
      <w:r>
        <w:rPr>
          <w:rFonts w:hint="eastAsia" w:ascii="仿宋_GB2312" w:hAnsi="仿宋_GB2312" w:cs="仿宋_GB2312"/>
          <w:szCs w:val="32"/>
          <w:lang w:eastAsia="zh-CN"/>
        </w:rPr>
        <w:t>基层党建示范创建经费</w:t>
      </w:r>
      <w:r>
        <w:rPr>
          <w:rFonts w:hint="eastAsia" w:ascii="仿宋_GB2312" w:hAnsi="仿宋_GB2312" w:cs="仿宋_GB2312"/>
          <w:szCs w:val="32"/>
          <w:lang w:val="en-US" w:eastAsia="zh-CN"/>
        </w:rPr>
        <w:t>33万元</w:t>
      </w:r>
      <w:r>
        <w:rPr>
          <w:rFonts w:hint="eastAsia" w:ascii="仿宋_GB2312" w:hAnsi="仿宋_GB2312" w:cs="仿宋_GB2312"/>
          <w:szCs w:val="32"/>
          <w:lang w:eastAsia="zh-CN"/>
        </w:rPr>
        <w:t>，</w:t>
      </w:r>
      <w:r>
        <w:rPr>
          <w:rFonts w:hint="eastAsia" w:ascii="仿宋_GB2312"/>
          <w:szCs w:val="32"/>
        </w:rPr>
        <w:t>主要用于</w:t>
      </w:r>
      <w:r>
        <w:rPr>
          <w:rFonts w:hint="eastAsia" w:ascii="仿宋_GB2312"/>
          <w:szCs w:val="32"/>
          <w:lang w:eastAsia="zh-CN"/>
        </w:rPr>
        <w:t>龙城社区党员教育片拍摄、</w:t>
      </w:r>
      <w:r>
        <w:rPr>
          <w:rFonts w:hint="eastAsia" w:ascii="仿宋_GB2312" w:hAnsi="仿宋_GB2312" w:eastAsia="仿宋_GB2312" w:cs="仿宋_GB2312"/>
          <w:sz w:val="32"/>
          <w:szCs w:val="32"/>
          <w:lang w:val="en-US" w:eastAsia="zh-CN"/>
        </w:rPr>
        <w:t>龙岭社区物业党建联建党建示范点创建补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文昌社区旧城焕新老旧小区治理党建示范点创建补助</w:t>
      </w:r>
      <w:r>
        <w:rPr>
          <w:rFonts w:hint="eastAsia" w:ascii="仿宋_GB2312"/>
          <w:szCs w:val="32"/>
        </w:rPr>
        <w:t>等</w:t>
      </w:r>
      <w:r>
        <w:rPr>
          <w:rFonts w:hint="eastAsia" w:ascii="仿宋_GB2312"/>
          <w:szCs w:val="32"/>
          <w:lang w:eastAsia="zh-CN"/>
        </w:rPr>
        <w:t>，通过基层党建示范点建</w:t>
      </w:r>
      <w:r>
        <w:rPr>
          <w:rFonts w:hint="eastAsia" w:ascii="仿宋_GB2312" w:hAnsi="仿宋_GB2312" w:eastAsia="仿宋_GB2312" w:cs="仿宋_GB2312"/>
          <w:sz w:val="32"/>
          <w:szCs w:val="32"/>
          <w:lang w:val="en-US" w:eastAsia="zh-CN"/>
        </w:rPr>
        <w:t>设，推动基层社会治理提升实效，优化群众服务内容。文昌社区党建文化公园建设费用补助7万元</w:t>
      </w:r>
      <w:r>
        <w:rPr>
          <w:rFonts w:hint="eastAsia" w:ascii="仿宋_GB2312" w:hAnsi="仿宋_GB2312" w:cs="仿宋_GB2312"/>
          <w:szCs w:val="32"/>
          <w:lang w:val="en-US" w:eastAsia="zh-CN"/>
        </w:rPr>
        <w:t>，</w:t>
      </w:r>
      <w:r>
        <w:rPr>
          <w:rFonts w:hint="eastAsia" w:ascii="仿宋_GB2312" w:hAnsi="仿宋_GB2312" w:cs="仿宋_GB2312"/>
          <w:sz w:val="32"/>
          <w:szCs w:val="32"/>
          <w:lang w:val="en-US" w:eastAsia="zh-CN"/>
        </w:rPr>
        <w:t>主要用于</w:t>
      </w:r>
      <w:r>
        <w:rPr>
          <w:rFonts w:hint="eastAsia" w:ascii="仿宋_GB2312" w:hAnsi="仿宋_GB2312" w:eastAsia="仿宋_GB2312" w:cs="仿宋_GB2312"/>
          <w:sz w:val="32"/>
          <w:szCs w:val="32"/>
          <w:lang w:val="en-US" w:eastAsia="zh-CN"/>
        </w:rPr>
        <w:t>文昌社区党建文化公园建设</w:t>
      </w:r>
      <w:r>
        <w:rPr>
          <w:rFonts w:hint="eastAsia" w:ascii="仿宋_GB2312" w:hAnsi="仿宋_GB2312" w:cs="仿宋_GB2312"/>
          <w:sz w:val="32"/>
          <w:szCs w:val="32"/>
          <w:lang w:val="en-US" w:eastAsia="zh-CN"/>
        </w:rPr>
        <w:t>，通过党建文化活动阵地建设，丰富党群服务内容，更有利于资源整合，党的声音的传播</w:t>
      </w:r>
      <w:r>
        <w:rPr>
          <w:rFonts w:hint="eastAsia" w:ascii="仿宋_GB2312" w:hAnsi="仿宋_GB2312" w:eastAsia="仿宋_GB2312" w:cs="仿宋_GB2312"/>
          <w:sz w:val="32"/>
          <w:szCs w:val="32"/>
          <w:lang w:val="en-US" w:eastAsia="zh-CN"/>
        </w:rPr>
        <w:t>。</w:t>
      </w:r>
      <w:r>
        <w:rPr>
          <w:rFonts w:hint="eastAsia" w:ascii="仿宋_GB2312" w:hAnsi="仿宋_GB2312" w:cs="仿宋_GB2312"/>
          <w:szCs w:val="32"/>
          <w:lang w:val="en-US" w:eastAsia="zh-CN"/>
        </w:rPr>
        <w:t>党代表工作室建设经费12880元，</w:t>
      </w:r>
      <w:r>
        <w:rPr>
          <w:rFonts w:hint="eastAsia" w:ascii="仿宋_GB2312" w:hAnsi="仿宋_GB2312" w:eastAsia="仿宋_GB2312" w:cs="仿宋_GB2312"/>
          <w:sz w:val="32"/>
          <w:szCs w:val="32"/>
          <w:lang w:eastAsia="zh-CN"/>
        </w:rPr>
        <w:t>购买一套讲解器设备进一步建设完善街道党代表工作室工作设备，</w:t>
      </w:r>
      <w:r>
        <w:rPr>
          <w:rFonts w:hint="eastAsia" w:ascii="仿宋_GB2312" w:hAnsi="仿宋_GB2312" w:cs="仿宋_GB2312"/>
          <w:sz w:val="32"/>
          <w:szCs w:val="32"/>
          <w:lang w:eastAsia="zh-CN"/>
        </w:rPr>
        <w:t>便于</w:t>
      </w:r>
      <w:r>
        <w:rPr>
          <w:rFonts w:hint="eastAsia" w:ascii="仿宋_GB2312" w:hAnsi="仿宋_GB2312" w:eastAsia="仿宋_GB2312" w:cs="仿宋_GB2312"/>
          <w:sz w:val="32"/>
          <w:szCs w:val="32"/>
          <w:lang w:eastAsia="zh-CN"/>
        </w:rPr>
        <w:t>党代表工作室开展活动</w:t>
      </w:r>
      <w:r>
        <w:rPr>
          <w:rFonts w:hint="eastAsia" w:ascii="仿宋_GB2312" w:hAnsi="仿宋_GB2312" w:cs="仿宋_GB2312"/>
          <w:sz w:val="32"/>
          <w:szCs w:val="32"/>
          <w:lang w:eastAsia="zh-CN"/>
        </w:rPr>
        <w:t>。</w:t>
      </w:r>
    </w:p>
    <w:p>
      <w:pPr>
        <w:numPr>
          <w:ilvl w:val="0"/>
          <w:numId w:val="0"/>
        </w:numPr>
        <w:ind w:firstLine="594" w:firstLineChars="200"/>
        <w:jc w:val="both"/>
        <w:rPr>
          <w:rFonts w:hint="eastAsia"/>
        </w:rPr>
      </w:pPr>
      <w:r>
        <w:rPr>
          <w:rFonts w:hint="eastAsia" w:ascii="仿宋_GB2312" w:hAnsi="仿宋_GB2312" w:cs="仿宋_GB2312"/>
          <w:sz w:val="32"/>
          <w:szCs w:val="32"/>
          <w:lang w:val="en-US" w:eastAsia="zh-CN"/>
        </w:rPr>
        <w:t>6.国有企业退休人员社会化管理财政补助资金27.75万元，</w:t>
      </w:r>
      <w:r>
        <w:rPr>
          <w:rFonts w:hint="eastAsia" w:ascii="仿宋_GB2312" w:hAnsi="仿宋_GB2312" w:eastAsia="仿宋_GB2312" w:cs="仿宋_GB2312"/>
          <w:sz w:val="32"/>
          <w:szCs w:val="32"/>
        </w:rPr>
        <w:t>文昌社区委托云南琴鑫企业管理有限公司对《文昌社区国有企业退休人员社会化管理服务项目》进行了实地调研，编制《项目可行性研究报告》，论证项目建设的必要性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该项目建成后，可以服务</w:t>
      </w:r>
      <w:r>
        <w:rPr>
          <w:rFonts w:hint="eastAsia" w:ascii="仿宋_GB2312" w:hAnsi="仿宋_GB2312" w:eastAsia="仿宋_GB2312" w:cs="仿宋_GB2312"/>
          <w:sz w:val="32"/>
          <w:szCs w:val="32"/>
        </w:rPr>
        <w:t>云南建投第十一建设有限公司和云南省有色地质勘察院等国有企业退休人员约500余人，</w:t>
      </w:r>
      <w:r>
        <w:rPr>
          <w:rFonts w:hint="eastAsia" w:ascii="仿宋_GB2312" w:hAnsi="仿宋_GB2312" w:eastAsia="仿宋_GB2312" w:cs="仿宋_GB2312"/>
          <w:sz w:val="32"/>
          <w:szCs w:val="32"/>
          <w:lang w:val="en-US" w:eastAsia="zh-CN"/>
        </w:rPr>
        <w:t>并辐射十四冶小区及三台路片区居民约1200户3100余人。</w:t>
      </w:r>
      <w:r>
        <w:rPr>
          <w:rFonts w:hint="eastAsia" w:ascii="仿宋_GB2312" w:hAnsi="仿宋_GB2312" w:cs="仿宋_GB2312"/>
          <w:sz w:val="32"/>
          <w:szCs w:val="32"/>
          <w:lang w:val="en-US" w:eastAsia="zh-CN"/>
        </w:rPr>
        <w:t>街道经集体研究，认定</w:t>
      </w:r>
      <w:r>
        <w:rPr>
          <w:rFonts w:hint="eastAsia" w:ascii="仿宋_GB2312" w:hAnsi="仿宋_GB2312" w:eastAsia="仿宋_GB2312" w:cs="仿宋_GB2312"/>
          <w:sz w:val="32"/>
          <w:szCs w:val="32"/>
          <w:lang w:val="en-US" w:eastAsia="zh-CN"/>
        </w:rPr>
        <w:t>《文昌社区国有企业退休人员社会化管理服务项目》--“期颐之家”管理服务项目较为成熟，按照《昆明市国有企业退休人员社会化管理服务实施办法》相关内容（整合辖区资源，拓宽活动场所渠道，充分利用企业现有活动场所和辖区内文化、体育经营场所、家属区的企业用房及相应设备设施，建立文体活动基地和社区养老服务中心，为国有企业退休人员提供健身、娱乐、餐饮等养老服务场所）</w:t>
      </w:r>
      <w:r>
        <w:rPr>
          <w:rFonts w:hint="eastAsia" w:ascii="仿宋_GB2312" w:hAnsi="仿宋_GB2312" w:cs="仿宋_GB2312"/>
          <w:sz w:val="32"/>
          <w:szCs w:val="32"/>
          <w:lang w:val="en-US" w:eastAsia="zh-CN"/>
        </w:rPr>
        <w:t>，补助</w:t>
      </w:r>
      <w:r>
        <w:rPr>
          <w:rFonts w:hint="eastAsia" w:ascii="仿宋_GB2312" w:hAnsi="仿宋_GB2312" w:eastAsia="仿宋_GB2312" w:cs="仿宋_GB2312"/>
          <w:sz w:val="32"/>
          <w:szCs w:val="32"/>
          <w:lang w:val="en-US" w:eastAsia="zh-CN"/>
        </w:rPr>
        <w:t>文昌社区26.15万元。</w:t>
      </w:r>
      <w:r>
        <w:rPr>
          <w:rFonts w:hint="eastAsia" w:ascii="仿宋_GB2312" w:hAnsi="仿宋_GB2312" w:cs="仿宋_GB2312"/>
          <w:sz w:val="32"/>
          <w:szCs w:val="32"/>
          <w:lang w:val="en-US" w:eastAsia="zh-CN"/>
        </w:rPr>
        <w:t>2023年</w:t>
      </w:r>
      <w:r>
        <w:rPr>
          <w:rFonts w:hint="eastAsia" w:ascii="仿宋_GB2312" w:hAnsi="仿宋_GB2312" w:eastAsia="仿宋_GB2312" w:cs="仿宋_GB2312"/>
          <w:b w:val="0"/>
          <w:bCs w:val="0"/>
          <w:snapToGrid w:val="0"/>
          <w:color w:val="000000"/>
          <w:sz w:val="32"/>
          <w:szCs w:val="32"/>
          <w:lang w:val="en-US" w:eastAsia="zh-CN"/>
        </w:rPr>
        <w:t>8月份，</w:t>
      </w:r>
      <w:r>
        <w:rPr>
          <w:rFonts w:hint="eastAsia" w:ascii="仿宋_GB2312" w:hAnsi="仿宋_GB2312" w:eastAsia="仿宋_GB2312" w:cs="仿宋_GB2312"/>
          <w:sz w:val="32"/>
          <w:szCs w:val="32"/>
          <w:lang w:val="en-US" w:eastAsia="zh-CN"/>
        </w:rPr>
        <w:t>按照“四议两公开程序”，</w:t>
      </w:r>
      <w:r>
        <w:rPr>
          <w:rFonts w:hint="eastAsia" w:ascii="仿宋_GB2312" w:hAnsi="仿宋_GB2312" w:cs="仿宋_GB2312"/>
          <w:sz w:val="32"/>
          <w:szCs w:val="32"/>
          <w:lang w:val="en-US" w:eastAsia="zh-CN"/>
        </w:rPr>
        <w:t>文昌</w:t>
      </w:r>
      <w:r>
        <w:rPr>
          <w:rFonts w:hint="eastAsia" w:ascii="仿宋_GB2312" w:hAnsi="仿宋_GB2312" w:eastAsia="仿宋_GB2312" w:cs="仿宋_GB2312"/>
          <w:b w:val="0"/>
          <w:bCs w:val="0"/>
          <w:snapToGrid w:val="0"/>
          <w:color w:val="000000"/>
          <w:sz w:val="32"/>
          <w:szCs w:val="32"/>
          <w:lang w:val="en-US" w:eastAsia="zh-CN"/>
        </w:rPr>
        <w:t>社区召开第二次居民代表会，表决通过了《文昌社区国有企业退休人员社会化管理服务项目实施方案》，并且由招标代理公司参照招投标相关规定选取施工、造价、监理、设计等单位共同推进项目；12月份，社区召开第三次居民代表会，表决通过</w:t>
      </w:r>
      <w:r>
        <w:rPr>
          <w:rFonts w:hint="eastAsia" w:ascii="仿宋_GB2312" w:eastAsia="仿宋_GB2312"/>
          <w:b w:val="0"/>
          <w:bCs w:val="0"/>
          <w:sz w:val="32"/>
          <w:szCs w:val="32"/>
          <w:u w:val="none"/>
          <w:lang w:val="en-US" w:eastAsia="zh-CN"/>
        </w:rPr>
        <w:t>《文昌社区国有企业退休人员社会化管理服务项目工程总承包合同》中规定的支付时间及方式，支付工程项目资金给施工方、以及</w:t>
      </w:r>
      <w:r>
        <w:rPr>
          <w:rFonts w:hint="eastAsia" w:ascii="仿宋_GB2312" w:hAnsi="仿宋_GB2312" w:eastAsia="仿宋_GB2312" w:cs="仿宋_GB2312"/>
          <w:b w:val="0"/>
          <w:bCs w:val="0"/>
          <w:sz w:val="32"/>
          <w:szCs w:val="32"/>
          <w:lang w:val="en-US" w:eastAsia="zh-CN"/>
        </w:rPr>
        <w:t>以询价比选的方式引入第三方做后期管理营运。</w:t>
      </w:r>
    </w:p>
    <w:p>
      <w:pPr>
        <w:ind w:firstLine="594" w:firstLineChars="200"/>
        <w:outlineLvl w:val="0"/>
        <w:rPr>
          <w:rFonts w:hint="default" w:ascii="仿宋_GB2312" w:eastAsia="仿宋_GB2312"/>
          <w:szCs w:val="32"/>
          <w:lang w:val="en-US" w:eastAsia="zh-CN"/>
        </w:rPr>
      </w:pPr>
      <w:r>
        <w:rPr>
          <w:rFonts w:hint="eastAsia" w:ascii="仿宋_GB2312" w:hAnsi="仿宋_GB2312" w:cs="仿宋_GB2312"/>
          <w:sz w:val="32"/>
          <w:szCs w:val="32"/>
          <w:lang w:val="en-US" w:eastAsia="zh-CN"/>
        </w:rPr>
        <w:t>剩余1.6万元为补助</w:t>
      </w:r>
      <w:r>
        <w:rPr>
          <w:rFonts w:hint="eastAsia" w:ascii="仿宋_GB2312" w:hAnsi="仿宋_GB2312" w:eastAsia="仿宋_GB2312" w:cs="仿宋_GB2312"/>
          <w:sz w:val="32"/>
          <w:szCs w:val="32"/>
          <w:lang w:val="en-US" w:eastAsia="zh-CN"/>
        </w:rPr>
        <w:t>众和社区退休职工文化活动园地</w:t>
      </w:r>
      <w:r>
        <w:rPr>
          <w:rFonts w:hint="eastAsia" w:ascii="仿宋_GB2312" w:hAnsi="仿宋_GB2312" w:cs="仿宋_GB2312"/>
          <w:sz w:val="32"/>
          <w:szCs w:val="32"/>
          <w:lang w:val="en-US" w:eastAsia="zh-CN"/>
        </w:rPr>
        <w:t>建设。</w:t>
      </w:r>
    </w:p>
    <w:p>
      <w:pPr>
        <w:ind w:firstLine="594" w:firstLineChars="200"/>
        <w:outlineLvl w:val="0"/>
        <w:rPr>
          <w:rFonts w:hint="eastAsia" w:ascii="仿宋_GB2312" w:hAnsi="仿宋_GB2312" w:eastAsia="仿宋_GB2312" w:cs="仿宋_GB2312"/>
          <w:sz w:val="32"/>
          <w:szCs w:val="32"/>
          <w:lang w:val="en-US" w:eastAsia="zh-CN"/>
        </w:rPr>
      </w:pPr>
      <w:r>
        <w:rPr>
          <w:rFonts w:hint="eastAsia" w:ascii="仿宋_GB2312"/>
          <w:szCs w:val="32"/>
          <w:lang w:val="en-US" w:eastAsia="zh-CN"/>
        </w:rPr>
        <w:t>7.呈贡区第五次全国经济普查经费23.32万元，</w:t>
      </w:r>
      <w:r>
        <w:rPr>
          <w:rFonts w:hint="eastAsia" w:ascii="仿宋_GB2312" w:hAnsi="Times New Roman" w:cs="Times New Roman"/>
          <w:szCs w:val="32"/>
          <w:lang w:val="en-US" w:eastAsia="zh-CN"/>
        </w:rPr>
        <w:t>根据呈政发〔2023〕10号《昆明市呈贡区人民政府关于做好第五次全国经济普查工作的通知》要求，龙城街道派出普查指导员、普查员共计</w:t>
      </w:r>
      <w:r>
        <w:rPr>
          <w:rFonts w:hint="default" w:ascii="仿宋_GB2312" w:hAnsi="Times New Roman" w:cs="Times New Roman"/>
          <w:szCs w:val="32"/>
          <w:lang w:val="en" w:eastAsia="zh-CN"/>
        </w:rPr>
        <w:t>100</w:t>
      </w:r>
      <w:r>
        <w:rPr>
          <w:rFonts w:hint="eastAsia" w:ascii="仿宋_GB2312" w:hAnsi="Times New Roman" w:cs="Times New Roman"/>
          <w:szCs w:val="32"/>
          <w:lang w:val="en-US" w:eastAsia="zh-CN"/>
        </w:rPr>
        <w:t>位，清查企业、个体户共计</w:t>
      </w:r>
      <w:r>
        <w:rPr>
          <w:rFonts w:hint="default" w:ascii="仿宋_GB2312" w:hAnsi="Times New Roman" w:cs="Times New Roman"/>
          <w:szCs w:val="32"/>
          <w:lang w:val="en" w:eastAsia="zh-CN"/>
        </w:rPr>
        <w:t>137</w:t>
      </w:r>
      <w:r>
        <w:rPr>
          <w:rFonts w:hint="eastAsia" w:ascii="仿宋_GB2312" w:hAnsi="Times New Roman" w:cs="Times New Roman"/>
          <w:szCs w:val="32"/>
          <w:lang w:val="en-US" w:eastAsia="zh-CN"/>
        </w:rPr>
        <w:t>76户。普查经费用于发放</w:t>
      </w:r>
      <w:r>
        <w:rPr>
          <w:rFonts w:hint="eastAsia" w:ascii="仿宋_GB2312" w:hAnsi="Times New Roman" w:eastAsia="仿宋_GB2312" w:cs="Times New Roman"/>
          <w:kern w:val="2"/>
          <w:sz w:val="32"/>
          <w:szCs w:val="32"/>
          <w:highlight w:val="none"/>
          <w:lang w:val="en-US" w:eastAsia="zh-CN" w:bidi="ar-SA"/>
        </w:rPr>
        <w:t>普查指导员、普查</w:t>
      </w:r>
      <w:r>
        <w:rPr>
          <w:rFonts w:hint="eastAsia" w:ascii="仿宋_GB2312" w:hAnsi="仿宋_GB2312" w:eastAsia="仿宋_GB2312" w:cs="仿宋_GB2312"/>
          <w:sz w:val="32"/>
          <w:szCs w:val="32"/>
          <w:lang w:val="en-US" w:eastAsia="zh-CN"/>
        </w:rPr>
        <w:t>员劳务费、邮电费。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9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8.智慧安防小区网络费和服务经费</w:t>
      </w:r>
      <w:r>
        <w:rPr>
          <w:rFonts w:hint="eastAsia" w:ascii="仿宋_GB2312" w:hAnsi="仿宋_GB2312" w:cs="仿宋_GB2312"/>
          <w:sz w:val="32"/>
          <w:szCs w:val="32"/>
          <w:lang w:val="en-US" w:eastAsia="zh-CN"/>
        </w:rPr>
        <w:t>15万元，</w:t>
      </w:r>
      <w:r>
        <w:rPr>
          <w:rFonts w:hint="eastAsia" w:ascii="仿宋_GB2312" w:hAnsi="仿宋_GB2312" w:eastAsia="仿宋_GB2312" w:cs="仿宋_GB2312"/>
          <w:i w:val="0"/>
          <w:caps w:val="0"/>
          <w:color w:val="000000"/>
          <w:spacing w:val="0"/>
          <w:sz w:val="32"/>
          <w:szCs w:val="32"/>
          <w:shd w:val="clear" w:color="auto" w:fill="FFFFFF"/>
        </w:rPr>
        <w:t>保证</w:t>
      </w:r>
      <w:r>
        <w:rPr>
          <w:rFonts w:hint="eastAsia" w:ascii="仿宋_GB2312" w:hAnsi="仿宋_GB2312" w:eastAsia="仿宋_GB2312" w:cs="仿宋_GB2312"/>
          <w:i w:val="0"/>
          <w:caps w:val="0"/>
          <w:color w:val="000000"/>
          <w:spacing w:val="0"/>
          <w:sz w:val="32"/>
          <w:szCs w:val="32"/>
          <w:shd w:val="clear" w:color="auto" w:fill="FFFFFF"/>
          <w:lang w:val="en-US" w:eastAsia="zh-CN"/>
        </w:rPr>
        <w:t>智慧</w:t>
      </w:r>
      <w:r>
        <w:rPr>
          <w:rFonts w:hint="eastAsia" w:ascii="仿宋_GB2312" w:hAnsi="仿宋_GB2312" w:eastAsia="仿宋_GB2312" w:cs="仿宋_GB2312"/>
          <w:i w:val="0"/>
          <w:caps w:val="0"/>
          <w:color w:val="000000"/>
          <w:spacing w:val="0"/>
          <w:sz w:val="32"/>
          <w:szCs w:val="32"/>
          <w:shd w:val="clear" w:color="auto" w:fill="FFFFFF"/>
        </w:rPr>
        <w:t>安防设施不间断运行，并有效记录监控信息</w:t>
      </w:r>
      <w:r>
        <w:rPr>
          <w:rFonts w:hint="eastAsia" w:ascii="仿宋_GB2312" w:hAnsi="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sz w:val="32"/>
          <w:szCs w:val="32"/>
        </w:rPr>
        <w:t>以平安综治的视角，从智能硬件入手，通过人工智能对数据资源进行采集整合分析应用，逐步实现无纸化服务管理，各类资源标准化集成共享，人脸识别认证，指纹识别认证及时对社会智能感知分析研判，精准处置，提高小区的安全管理效率，有效解决物业和业主之间管理与服务的矛盾，全面提升小区出行服务和安全防范能力，切实提高市民的安全感，获得感和幸福感</w:t>
      </w:r>
      <w:r>
        <w:rPr>
          <w:rFonts w:hint="eastAsia" w:ascii="仿宋_GB2312" w:hAnsi="仿宋_GB2312" w:eastAsia="仿宋_GB2312" w:cs="仿宋_GB2312"/>
          <w:sz w:val="32"/>
          <w:szCs w:val="32"/>
          <w:lang w:eastAsia="zh-CN"/>
        </w:rPr>
        <w:t>。</w:t>
      </w:r>
    </w:p>
    <w:p>
      <w:pPr>
        <w:ind w:firstLine="594" w:firstLineChars="200"/>
        <w:outlineLvl w:val="0"/>
        <w:rPr>
          <w:rFonts w:hint="default" w:ascii="Times New Roman" w:hAnsi="Times New Roman" w:cs="Times New Roman"/>
          <w:szCs w:val="32"/>
          <w:lang w:val="en-US" w:eastAsia="zh-CN"/>
        </w:rPr>
      </w:pPr>
      <w:r>
        <w:rPr>
          <w:rFonts w:hint="eastAsia" w:ascii="仿宋_GB2312" w:hAnsi="仿宋_GB2312" w:cs="仿宋_GB2312"/>
          <w:sz w:val="32"/>
          <w:szCs w:val="32"/>
          <w:lang w:val="en-US" w:eastAsia="zh-CN"/>
        </w:rPr>
        <w:t>9.入滇沟渠保洁及绿化管理经费全面深化河长制工作经费11万元，</w:t>
      </w:r>
      <w:r>
        <w:rPr>
          <w:rFonts w:hint="eastAsia" w:ascii="仿宋_GB2312"/>
          <w:szCs w:val="32"/>
          <w:highlight w:val="none"/>
          <w:lang w:eastAsia="zh-CN"/>
        </w:rPr>
        <w:t>按照《呈贡区全面深化河（湖）长制工作实施方案》（呈办通</w:t>
      </w:r>
      <w:r>
        <w:rPr>
          <w:rFonts w:hint="eastAsia" w:ascii="仿宋_GB2312"/>
          <w:szCs w:val="32"/>
        </w:rPr>
        <w:t>〔</w:t>
      </w:r>
      <w:r>
        <w:rPr>
          <w:rFonts w:hint="eastAsia" w:ascii="仿宋_GB2312"/>
          <w:szCs w:val="32"/>
          <w:highlight w:val="none"/>
          <w:lang w:val="en-US" w:eastAsia="zh-CN"/>
        </w:rPr>
        <w:t>2017</w:t>
      </w:r>
      <w:r>
        <w:rPr>
          <w:rFonts w:hint="eastAsia" w:ascii="仿宋_GB2312"/>
          <w:szCs w:val="32"/>
        </w:rPr>
        <w:t>〕</w:t>
      </w:r>
      <w:r>
        <w:rPr>
          <w:rFonts w:hint="eastAsia" w:ascii="仿宋_GB2312"/>
          <w:szCs w:val="32"/>
          <w:highlight w:val="none"/>
          <w:lang w:val="en-US" w:eastAsia="zh-CN"/>
        </w:rPr>
        <w:t>37号）要求</w:t>
      </w:r>
      <w:r>
        <w:rPr>
          <w:rFonts w:hint="eastAsia" w:ascii="仿宋_GB2312"/>
          <w:szCs w:val="32"/>
          <w:highlight w:val="none"/>
          <w:lang w:eastAsia="zh-CN"/>
        </w:rPr>
        <w:t>做好龙城街道</w:t>
      </w:r>
      <w:r>
        <w:rPr>
          <w:rFonts w:hint="eastAsia" w:ascii="仿宋_GB2312"/>
          <w:szCs w:val="32"/>
          <w:highlight w:val="none"/>
          <w:lang w:val="en-US" w:eastAsia="zh-CN"/>
        </w:rPr>
        <w:t>辖区内入滇河道、入滇沟渠的日常保洁及绿化管护工作。</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kinsoku/>
        <w:wordWrap/>
        <w:overflowPunct/>
        <w:autoSpaceDE/>
        <w:autoSpaceDN/>
        <w:bidi w:val="0"/>
        <w:adjustRightInd/>
        <w:snapToGrid/>
        <w:spacing w:line="600" w:lineRule="exact"/>
        <w:ind w:firstLine="594" w:firstLineChars="200"/>
        <w:textAlignment w:val="auto"/>
        <w:outlineLvl w:val="0"/>
        <w:rPr>
          <w:rFonts w:hint="default" w:ascii="Times New Roman" w:hAnsi="Times New Roman" w:cs="Times New Roman"/>
          <w:sz w:val="32"/>
          <w:szCs w:val="32"/>
        </w:rPr>
      </w:pPr>
      <w:r>
        <w:rPr>
          <w:rFonts w:hint="default" w:ascii="Times New Roman" w:hAnsi="Times New Roman" w:cs="Times New Roman"/>
          <w:sz w:val="32"/>
          <w:szCs w:val="32"/>
        </w:rPr>
        <w:t>1.项目经济性分析</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rPr>
        <w:t>年</w:t>
      </w:r>
      <w:r>
        <w:rPr>
          <w:rFonts w:hint="default" w:ascii="Times New Roman" w:hAnsi="Times New Roman" w:cs="Times New Roman"/>
          <w:sz w:val="32"/>
          <w:szCs w:val="32"/>
          <w:lang w:eastAsia="zh-CN"/>
        </w:rPr>
        <w:t>面对严峻的经济形势，</w:t>
      </w:r>
      <w:r>
        <w:rPr>
          <w:rFonts w:hint="eastAsia" w:ascii="Times New Roman" w:hAnsi="Times New Roman" w:cs="Times New Roman"/>
          <w:sz w:val="32"/>
          <w:szCs w:val="32"/>
          <w:lang w:eastAsia="zh-CN"/>
        </w:rPr>
        <w:t>龙城街道</w:t>
      </w:r>
      <w:r>
        <w:rPr>
          <w:rFonts w:hint="default" w:ascii="Times New Roman" w:hAnsi="Times New Roman" w:cs="Times New Roman"/>
          <w:sz w:val="32"/>
          <w:szCs w:val="32"/>
          <w:lang w:eastAsia="zh-CN"/>
        </w:rPr>
        <w:t>厉行节俭，牢固树立“过紧日子”思想，进一步压缩财政支出，减少不必要的支出，将有限的财政资金用于各类刚需项目支出，坚决杜绝资金的留滞和浪费。</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rPr>
          <w:rFonts w:hint="default"/>
          <w:lang w:eastAsia="zh-CN"/>
        </w:rPr>
      </w:pPr>
      <w:r>
        <w:rPr>
          <w:rFonts w:hint="eastAsia" w:ascii="仿宋_GB2312"/>
          <w:szCs w:val="32"/>
          <w:lang w:eastAsia="zh-CN"/>
        </w:rPr>
        <w:t>第五次全国经济普查是一项重大国情国力调查，将首次统筹开展投入产出调查，全面调查我国第二产业和第三产业发展规模、布局和效益，摸清各类单位基本情况，掌握国民经济行业间经济联系，客观反映推动高质量发展、构建新发展格局、建设现代化经济体系、区域协调发展、生态文明建设、高水平对外开放、公共服务体系建设等方面的新进展。通过普查，进一步夯实统计基础，推进统计现代化改革，为加强和改善宏观经济治理、科学制定中长期发展规划、全面建设社会主义现代化国家，</w:t>
      </w:r>
      <w:r>
        <w:rPr>
          <w:rFonts w:hint="eastAsia" w:ascii="仿宋_GB2312"/>
          <w:szCs w:val="32"/>
          <w:lang w:val="en" w:eastAsia="zh-CN"/>
        </w:rPr>
        <w:t>提供科学准确的统计信息支持。</w:t>
      </w:r>
    </w:p>
    <w:p>
      <w:pPr>
        <w:keepNext w:val="0"/>
        <w:keepLines w:val="0"/>
        <w:pageBreakBefore w:val="0"/>
        <w:widowControl w:val="0"/>
        <w:numPr>
          <w:ilvl w:val="0"/>
          <w:numId w:val="0"/>
        </w:numPr>
        <w:kinsoku/>
        <w:wordWrap/>
        <w:overflowPunct/>
        <w:topLinePunct w:val="0"/>
        <w:autoSpaceDE/>
        <w:autoSpaceDN/>
        <w:bidi w:val="0"/>
        <w:adjustRightInd/>
        <w:snapToGrid/>
        <w:ind w:firstLine="594" w:firstLineChars="200"/>
        <w:textAlignment w:val="auto"/>
        <w:rPr>
          <w:rFonts w:hint="eastAsia"/>
          <w:lang w:eastAsia="zh-CN"/>
        </w:rPr>
      </w:pPr>
      <w:r>
        <w:rPr>
          <w:rFonts w:hint="eastAsia" w:ascii="仿宋_GB2312" w:hAnsi="仿宋_GB2312" w:eastAsia="仿宋_GB2312" w:cs="仿宋_GB2312"/>
          <w:sz w:val="32"/>
          <w:szCs w:val="32"/>
          <w:lang w:val="en-US" w:eastAsia="zh-CN"/>
        </w:rPr>
        <w:t>文昌社区国有企业退休人员社会化管理项目引入云南大云中科普有限责任公司运营管理，将有力促进社区国有企业退休老年人服务工作，</w:t>
      </w:r>
      <w:r>
        <w:rPr>
          <w:rFonts w:hint="eastAsia" w:ascii="仿宋_GB2312" w:hAnsi="仿宋_GB2312" w:eastAsia="仿宋_GB2312" w:cs="仿宋_GB2312"/>
          <w:b w:val="0"/>
          <w:bCs w:val="0"/>
          <w:sz w:val="32"/>
          <w:szCs w:val="32"/>
          <w:lang w:val="en-US" w:eastAsia="zh-CN"/>
        </w:rPr>
        <w:t>定期组织中医药健康养生活动，使老人享受周到细致、规范化、专业化的服务。</w:t>
      </w:r>
      <w:r>
        <w:rPr>
          <w:rFonts w:hint="eastAsia" w:ascii="仿宋_GB2312" w:hAnsi="仿宋_GB2312" w:eastAsia="仿宋_GB2312" w:cs="仿宋_GB2312"/>
          <w:sz w:val="32"/>
          <w:szCs w:val="32"/>
          <w:lang w:val="en-US" w:eastAsia="zh-CN"/>
        </w:rPr>
        <w:t>通过项目平台，汇集各方资源、力量，为老人提供送餐服务、医疗保障、邻里互助、沟通交流、精神慰藉、心里咨询等基本养老服务。</w:t>
      </w:r>
    </w:p>
    <w:p>
      <w:pPr>
        <w:keepNext w:val="0"/>
        <w:keepLines w:val="0"/>
        <w:pageBreakBefore w:val="0"/>
        <w:kinsoku/>
        <w:wordWrap/>
        <w:overflowPunct/>
        <w:autoSpaceDE/>
        <w:autoSpaceDN/>
        <w:bidi w:val="0"/>
        <w:adjustRightInd/>
        <w:snapToGrid/>
        <w:spacing w:line="600" w:lineRule="exact"/>
        <w:ind w:firstLine="594" w:firstLineChars="200"/>
        <w:textAlignment w:val="auto"/>
        <w:outlineLvl w:val="0"/>
        <w:rPr>
          <w:rFonts w:hint="default" w:ascii="Times New Roman" w:hAnsi="Times New Roman" w:cs="Times New Roman"/>
          <w:sz w:val="32"/>
          <w:szCs w:val="32"/>
        </w:rPr>
      </w:pPr>
      <w:r>
        <w:rPr>
          <w:rFonts w:hint="default" w:ascii="Times New Roman" w:hAnsi="Times New Roman" w:cs="Times New Roman"/>
          <w:sz w:val="32"/>
          <w:szCs w:val="32"/>
        </w:rPr>
        <w:t>2.项目的效率性分析</w:t>
      </w:r>
    </w:p>
    <w:p>
      <w:pPr>
        <w:keepNext w:val="0"/>
        <w:keepLines w:val="0"/>
        <w:pageBreakBefore w:val="0"/>
        <w:kinsoku/>
        <w:wordWrap/>
        <w:overflowPunct/>
        <w:autoSpaceDE/>
        <w:autoSpaceDN/>
        <w:bidi w:val="0"/>
        <w:adjustRightInd/>
        <w:snapToGrid/>
        <w:spacing w:line="600" w:lineRule="exact"/>
        <w:ind w:firstLine="594" w:firstLineChars="200"/>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年，</w:t>
      </w:r>
      <w:r>
        <w:rPr>
          <w:rFonts w:hint="eastAsia" w:ascii="Times New Roman" w:hAnsi="Times New Roman" w:cs="Times New Roman"/>
          <w:sz w:val="32"/>
          <w:szCs w:val="32"/>
          <w:lang w:val="en-US" w:eastAsia="zh-CN"/>
        </w:rPr>
        <w:t>街道各部门根据职能职责，对牵头或配合开展的项目扎实推进，按计划有序开展各项工作</w:t>
      </w:r>
      <w:r>
        <w:rPr>
          <w:rFonts w:hint="default" w:ascii="Times New Roman" w:hAnsi="Times New Roman" w:cs="Times New Roman"/>
          <w:sz w:val="32"/>
          <w:szCs w:val="32"/>
          <w:lang w:val="en-US" w:eastAsia="zh-CN"/>
        </w:rPr>
        <w:t>。</w:t>
      </w:r>
    </w:p>
    <w:p>
      <w:pPr>
        <w:keepNext w:val="0"/>
        <w:keepLines w:val="0"/>
        <w:pageBreakBefore w:val="0"/>
        <w:kinsoku/>
        <w:wordWrap/>
        <w:overflowPunct/>
        <w:autoSpaceDE/>
        <w:autoSpaceDN/>
        <w:bidi w:val="0"/>
        <w:adjustRightInd/>
        <w:snapToGrid/>
        <w:spacing w:line="600" w:lineRule="exact"/>
        <w:ind w:firstLine="594" w:firstLineChars="200"/>
        <w:textAlignment w:val="auto"/>
        <w:outlineLvl w:val="0"/>
        <w:rPr>
          <w:rFonts w:hint="default" w:ascii="Times New Roman" w:hAnsi="Times New Roman" w:cs="Times New Roman"/>
          <w:sz w:val="32"/>
          <w:szCs w:val="32"/>
        </w:rPr>
      </w:pPr>
      <w:r>
        <w:rPr>
          <w:rFonts w:hint="default" w:ascii="Times New Roman" w:hAnsi="Times New Roman" w:cs="Times New Roman"/>
          <w:sz w:val="32"/>
          <w:szCs w:val="32"/>
        </w:rPr>
        <w:t>3.项目的效益性分析</w:t>
      </w:r>
    </w:p>
    <w:p>
      <w:pPr>
        <w:keepNext w:val="0"/>
        <w:keepLines w:val="0"/>
        <w:pageBreakBefore w:val="0"/>
        <w:kinsoku/>
        <w:wordWrap/>
        <w:overflowPunct/>
        <w:autoSpaceDE/>
        <w:autoSpaceDN/>
        <w:bidi w:val="0"/>
        <w:adjustRightInd/>
        <w:snapToGrid/>
        <w:spacing w:line="600" w:lineRule="exact"/>
        <w:ind w:firstLine="594" w:firstLineChars="200"/>
        <w:textAlignment w:val="auto"/>
        <w:rPr>
          <w:rFonts w:hint="default" w:ascii="Times New Roman" w:hAnsi="Times New Roman" w:cs="Times New Roman"/>
          <w:sz w:val="32"/>
          <w:szCs w:val="32"/>
        </w:rPr>
      </w:pPr>
      <w:r>
        <w:rPr>
          <w:rFonts w:hint="eastAsia" w:ascii="仿宋_GB2312"/>
          <w:szCs w:val="32"/>
        </w:rPr>
        <w:t>保障街道</w:t>
      </w:r>
      <w:r>
        <w:rPr>
          <w:rFonts w:hint="eastAsia" w:ascii="仿宋_GB2312"/>
          <w:szCs w:val="32"/>
          <w:lang w:eastAsia="zh-CN"/>
        </w:rPr>
        <w:t>、</w:t>
      </w:r>
      <w:r>
        <w:rPr>
          <w:rFonts w:hint="eastAsia" w:ascii="仿宋_GB2312"/>
          <w:szCs w:val="32"/>
        </w:rPr>
        <w:t>社区</w:t>
      </w:r>
      <w:r>
        <w:rPr>
          <w:rFonts w:hint="eastAsia" w:ascii="仿宋_GB2312"/>
          <w:szCs w:val="32"/>
          <w:lang w:eastAsia="zh-CN"/>
        </w:rPr>
        <w:t>各项</w:t>
      </w:r>
      <w:r>
        <w:rPr>
          <w:rFonts w:hint="eastAsia" w:ascii="仿宋_GB2312"/>
          <w:szCs w:val="32"/>
        </w:rPr>
        <w:t>工作经费充足，开创重视基层、关心基层、支持基层、夯实基层的良好局面，推进改进服务作风、提升服务能力、完善服务保障。</w:t>
      </w:r>
    </w:p>
    <w:p>
      <w:pPr>
        <w:keepNext w:val="0"/>
        <w:keepLines w:val="0"/>
        <w:pageBreakBefore w:val="0"/>
        <w:kinsoku/>
        <w:wordWrap/>
        <w:overflowPunct/>
        <w:topLinePunct/>
        <w:autoSpaceDE/>
        <w:autoSpaceDN/>
        <w:bidi w:val="0"/>
        <w:adjustRightInd/>
        <w:snapToGrid/>
        <w:spacing w:line="600" w:lineRule="exact"/>
        <w:ind w:firstLine="594" w:firstLineChars="200"/>
        <w:jc w:val="both"/>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4.项目可持续性分析</w:t>
      </w:r>
    </w:p>
    <w:p>
      <w:pPr>
        <w:keepNext w:val="0"/>
        <w:keepLines w:val="0"/>
        <w:pageBreakBefore w:val="0"/>
        <w:kinsoku/>
        <w:wordWrap/>
        <w:overflowPunct/>
        <w:topLinePunct/>
        <w:autoSpaceDE/>
        <w:autoSpaceDN/>
        <w:bidi w:val="0"/>
        <w:adjustRightInd/>
        <w:snapToGrid/>
        <w:spacing w:line="600" w:lineRule="exact"/>
        <w:ind w:firstLine="594" w:firstLineChars="200"/>
        <w:jc w:val="both"/>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202</w:t>
      </w:r>
      <w:r>
        <w:rPr>
          <w:rFonts w:hint="eastAsia" w:ascii="Times New Roman" w:hAnsi="Times New Roman" w:cs="Times New Roman"/>
          <w:szCs w:val="32"/>
          <w:lang w:val="en-US" w:eastAsia="zh-CN"/>
        </w:rPr>
        <w:t>3</w:t>
      </w:r>
      <w:r>
        <w:rPr>
          <w:rFonts w:hint="default" w:ascii="Times New Roman" w:hAnsi="Times New Roman" w:cs="Times New Roman"/>
          <w:szCs w:val="32"/>
          <w:lang w:val="en-US" w:eastAsia="zh-CN"/>
        </w:rPr>
        <w:t>年，</w:t>
      </w:r>
      <w:r>
        <w:rPr>
          <w:rFonts w:hint="eastAsia" w:ascii="Times New Roman" w:hAnsi="Times New Roman" w:cs="Times New Roman"/>
          <w:szCs w:val="32"/>
          <w:lang w:val="en-US" w:eastAsia="zh-CN"/>
        </w:rPr>
        <w:t>街道上述</w:t>
      </w:r>
      <w:r>
        <w:rPr>
          <w:rFonts w:hint="default" w:ascii="Times New Roman" w:hAnsi="Times New Roman" w:cs="Times New Roman"/>
          <w:szCs w:val="32"/>
          <w:lang w:val="en-US" w:eastAsia="zh-CN"/>
        </w:rPr>
        <w:t>项目支出</w:t>
      </w:r>
      <w:r>
        <w:rPr>
          <w:rFonts w:hint="eastAsia" w:ascii="Times New Roman" w:hAnsi="Times New Roman" w:cs="Times New Roman"/>
          <w:szCs w:val="32"/>
          <w:lang w:val="en-US" w:eastAsia="zh-CN"/>
        </w:rPr>
        <w:t>基本</w:t>
      </w:r>
      <w:r>
        <w:rPr>
          <w:rFonts w:hint="default" w:ascii="Times New Roman" w:hAnsi="Times New Roman" w:cs="Times New Roman"/>
          <w:szCs w:val="32"/>
          <w:lang w:val="en-US" w:eastAsia="zh-CN"/>
        </w:rPr>
        <w:t>都是刚性支出，且大部分都是</w:t>
      </w:r>
      <w:r>
        <w:rPr>
          <w:rFonts w:hint="eastAsia" w:ascii="Times New Roman" w:hAnsi="Times New Roman" w:cs="Times New Roman"/>
          <w:szCs w:val="32"/>
          <w:lang w:val="en-US" w:eastAsia="zh-CN"/>
        </w:rPr>
        <w:t>部委办局调整预算指标至街道的</w:t>
      </w:r>
      <w:r>
        <w:rPr>
          <w:rFonts w:hint="default" w:ascii="Times New Roman" w:hAnsi="Times New Roman" w:cs="Times New Roman"/>
          <w:szCs w:val="32"/>
          <w:lang w:val="en-US" w:eastAsia="zh-CN"/>
        </w:rPr>
        <w:t>连续性项目支出，例如</w:t>
      </w:r>
      <w:r>
        <w:rPr>
          <w:rFonts w:hint="eastAsia" w:ascii="Times New Roman" w:hAnsi="Times New Roman" w:cs="Times New Roman"/>
          <w:szCs w:val="32"/>
          <w:lang w:val="en-US" w:eastAsia="zh-CN"/>
        </w:rPr>
        <w:t>入滇沟渠整治</w:t>
      </w: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卫生城市、国有企业退休人员社会化管理、</w:t>
      </w:r>
      <w:r>
        <w:rPr>
          <w:rFonts w:hint="default" w:ascii="Times New Roman" w:hAnsi="Times New Roman" w:cs="Times New Roman"/>
          <w:szCs w:val="32"/>
          <w:lang w:val="en-US" w:eastAsia="zh-CN"/>
        </w:rPr>
        <w:t>机关运行保障等事项。这些项目的顺利开展，确保了相关工作的延续性，项目可持续性得到保障。</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ascii="仿宋_GB2312"/>
          <w:szCs w:val="32"/>
        </w:rPr>
      </w:pPr>
      <w:r>
        <w:rPr>
          <w:rFonts w:hint="eastAsia" w:ascii="Times New Roman" w:hAnsi="Times New Roman" w:cs="Times New Roman"/>
          <w:sz w:val="32"/>
          <w:szCs w:val="32"/>
          <w:lang w:eastAsia="zh-CN"/>
        </w:rPr>
        <w:t>上述大部分</w:t>
      </w:r>
      <w:r>
        <w:rPr>
          <w:rFonts w:hint="default" w:ascii="Times New Roman" w:hAnsi="Times New Roman" w:cs="Times New Roman"/>
          <w:sz w:val="32"/>
          <w:szCs w:val="32"/>
        </w:rPr>
        <w:t>项目</w:t>
      </w:r>
      <w:r>
        <w:rPr>
          <w:rFonts w:hint="eastAsia" w:ascii="Times New Roman" w:hAnsi="Times New Roman" w:cs="Times New Roman"/>
          <w:sz w:val="32"/>
          <w:szCs w:val="32"/>
          <w:lang w:eastAsia="zh-CN"/>
        </w:rPr>
        <w:t>均为部委办局年初预算的项目，年中或年末报请区政府将预算指标调整至街道，由街道进行项目入库、资金申请、拨付、管理、绩效评价。到年底仍有部分单位在申请将指标调整至街道，工作没有提前谋划布局，影响工作开展</w:t>
      </w:r>
      <w:r>
        <w:rPr>
          <w:rFonts w:hint="default" w:ascii="Times New Roman" w:hAnsi="Times New Roman" w:cs="Times New Roman"/>
          <w:sz w:val="32"/>
          <w:szCs w:val="32"/>
          <w:lang w:eastAsia="zh-CN"/>
        </w:rPr>
        <w:t>。</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pStyle w:val="3"/>
        <w:rPr>
          <w:rFonts w:hint="eastAsia"/>
        </w:rPr>
      </w:pPr>
    </w:p>
    <w:p>
      <w:pPr>
        <w:keepNext w:val="0"/>
        <w:keepLines w:val="0"/>
        <w:pageBreakBefore w:val="0"/>
        <w:kinsoku/>
        <w:wordWrap/>
        <w:overflowPunct/>
        <w:topLinePunct/>
        <w:autoSpaceDE/>
        <w:autoSpaceDN/>
        <w:bidi w:val="0"/>
        <w:adjustRightInd/>
        <w:snapToGrid/>
        <w:spacing w:line="600" w:lineRule="exact"/>
        <w:ind w:left="6237" w:leftChars="1100" w:hanging="2970" w:hangingChars="1000"/>
        <w:jc w:val="both"/>
        <w:textAlignment w:val="auto"/>
        <w:rPr>
          <w:rFonts w:hint="eastAsia" w:ascii="Times New Roman" w:hAnsi="Times New Roman" w:cs="Times New Roman"/>
          <w:szCs w:val="32"/>
          <w:lang w:val="en-US" w:eastAsia="zh-CN"/>
        </w:rPr>
      </w:pPr>
      <w:r>
        <w:rPr>
          <w:rFonts w:hint="default" w:ascii="Times New Roman" w:hAnsi="Times New Roman" w:cs="Times New Roman"/>
          <w:szCs w:val="32"/>
          <w:lang w:val="en-US" w:eastAsia="zh-CN"/>
        </w:rPr>
        <w:t>昆明市呈贡区</w:t>
      </w:r>
      <w:r>
        <w:rPr>
          <w:rFonts w:hint="eastAsia" w:ascii="Times New Roman" w:hAnsi="Times New Roman" w:cs="Times New Roman"/>
          <w:szCs w:val="32"/>
          <w:lang w:val="en-US" w:eastAsia="zh-CN"/>
        </w:rPr>
        <w:t>人民政府龙城街道办事处</w:t>
      </w:r>
    </w:p>
    <w:p>
      <w:pPr>
        <w:keepNext w:val="0"/>
        <w:keepLines w:val="0"/>
        <w:pageBreakBefore w:val="0"/>
        <w:kinsoku/>
        <w:wordWrap/>
        <w:overflowPunct/>
        <w:topLinePunct/>
        <w:autoSpaceDE/>
        <w:autoSpaceDN/>
        <w:bidi w:val="0"/>
        <w:adjustRightInd/>
        <w:snapToGrid/>
        <w:spacing w:line="600" w:lineRule="exact"/>
        <w:jc w:val="right"/>
        <w:textAlignment w:val="auto"/>
        <w:rPr>
          <w:rFonts w:hint="default"/>
          <w:lang w:val="en-US" w:eastAsia="zh-CN"/>
        </w:rPr>
      </w:pPr>
      <w:r>
        <w:rPr>
          <w:rFonts w:hint="eastAsia" w:ascii="Times New Roman" w:hAnsi="Times New Roman" w:eastAsia="仿宋_GB2312" w:cs="Times New Roman"/>
          <w:b w:val="0"/>
          <w:kern w:val="2"/>
          <w:sz w:val="32"/>
          <w:szCs w:val="32"/>
          <w:lang w:val="en-US" w:eastAsia="zh-CN" w:bidi="ar-SA"/>
        </w:rPr>
        <w:t>2024年2月</w:t>
      </w:r>
      <w:r>
        <w:rPr>
          <w:rFonts w:hint="eastAsia" w:ascii="Times New Roman" w:hAnsi="Times New Roman" w:cs="Times New Roman"/>
          <w:b w:val="0"/>
          <w:kern w:val="2"/>
          <w:sz w:val="32"/>
          <w:szCs w:val="32"/>
          <w:lang w:val="en-US" w:eastAsia="zh-CN" w:bidi="ar-SA"/>
        </w:rPr>
        <w:t>23</w:t>
      </w:r>
      <w:r>
        <w:rPr>
          <w:rFonts w:hint="eastAsia" w:ascii="Times New Roman" w:hAnsi="Times New Roman" w:eastAsia="仿宋_GB2312" w:cs="Times New Roman"/>
          <w:b w:val="0"/>
          <w:kern w:val="2"/>
          <w:sz w:val="32"/>
          <w:szCs w:val="32"/>
          <w:lang w:val="en-US" w:eastAsia="zh-CN" w:bidi="ar-SA"/>
        </w:rPr>
        <w:t>日</w:t>
      </w:r>
    </w:p>
    <w:p>
      <w:pPr>
        <w:pStyle w:val="3"/>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EBA29"/>
    <w:multiLevelType w:val="singleLevel"/>
    <w:tmpl w:val="01BEBA2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zNkMzc3N2Q0MzE1MmQ2MGQ4NWU0MGM2NWU4NTMifQ=="/>
  </w:docVars>
  <w:rsids>
    <w:rsidRoot w:val="00000000"/>
    <w:rsid w:val="00D91EDB"/>
    <w:rsid w:val="021E056F"/>
    <w:rsid w:val="039B5B6E"/>
    <w:rsid w:val="05AE36CA"/>
    <w:rsid w:val="0D2E0E27"/>
    <w:rsid w:val="12CC3709"/>
    <w:rsid w:val="13671632"/>
    <w:rsid w:val="14FB4B8B"/>
    <w:rsid w:val="17486C73"/>
    <w:rsid w:val="18637F1C"/>
    <w:rsid w:val="1B7528F0"/>
    <w:rsid w:val="1CD16FA2"/>
    <w:rsid w:val="1F1B63A0"/>
    <w:rsid w:val="278236B2"/>
    <w:rsid w:val="2E2C64CC"/>
    <w:rsid w:val="2F055F61"/>
    <w:rsid w:val="32BA750F"/>
    <w:rsid w:val="378A5996"/>
    <w:rsid w:val="3DC35E04"/>
    <w:rsid w:val="3DF62488"/>
    <w:rsid w:val="3FAC2F42"/>
    <w:rsid w:val="43E503D2"/>
    <w:rsid w:val="441D7380"/>
    <w:rsid w:val="44F16C09"/>
    <w:rsid w:val="4599070A"/>
    <w:rsid w:val="46440B86"/>
    <w:rsid w:val="47503F55"/>
    <w:rsid w:val="48833A80"/>
    <w:rsid w:val="48FF3281"/>
    <w:rsid w:val="491E50E8"/>
    <w:rsid w:val="4A4D0FD6"/>
    <w:rsid w:val="4AED08D6"/>
    <w:rsid w:val="4BD840E3"/>
    <w:rsid w:val="538650A2"/>
    <w:rsid w:val="59963ACC"/>
    <w:rsid w:val="5A3C6978"/>
    <w:rsid w:val="5C776EDC"/>
    <w:rsid w:val="5E4073B6"/>
    <w:rsid w:val="66952ECC"/>
    <w:rsid w:val="66ED7691"/>
    <w:rsid w:val="67600811"/>
    <w:rsid w:val="688558EE"/>
    <w:rsid w:val="6FCF3AAC"/>
    <w:rsid w:val="71CC00E9"/>
    <w:rsid w:val="73AD57CC"/>
    <w:rsid w:val="77ED0DBA"/>
    <w:rsid w:val="786A1747"/>
    <w:rsid w:val="79F7750E"/>
    <w:rsid w:val="7B637129"/>
    <w:rsid w:val="7B8646A2"/>
    <w:rsid w:val="7ECF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after="100" w:afterAutospacing="1"/>
    </w:pPr>
    <w:rPr>
      <w:rFonts w:ascii="Arial" w:hAnsi="Arial" w:cs="Arial"/>
      <w:sz w:val="24"/>
      <w:szCs w:val="24"/>
    </w:rPr>
  </w:style>
  <w:style w:type="paragraph" w:styleId="4">
    <w:name w:val="Normal Indent"/>
    <w:basedOn w:val="1"/>
    <w:next w:val="1"/>
    <w:autoRedefine/>
    <w:unhideWhenUsed/>
    <w:qFormat/>
    <w:uiPriority w:val="0"/>
    <w:pPr>
      <w:ind w:firstLine="420" w:firstLineChars="200"/>
    </w:pPr>
  </w:style>
  <w:style w:type="paragraph" w:styleId="5">
    <w:name w:val="Body Text"/>
    <w:basedOn w:val="1"/>
    <w:next w:val="6"/>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toc 5"/>
    <w:basedOn w:val="1"/>
    <w:next w:val="1"/>
    <w:autoRedefine/>
    <w:qFormat/>
    <w:uiPriority w:val="39"/>
    <w:pPr>
      <w:tabs>
        <w:tab w:val="right" w:leader="dot" w:pos="8296"/>
      </w:tabs>
      <w:ind w:left="1050" w:leftChars="500"/>
    </w:pPr>
  </w:style>
  <w:style w:type="paragraph" w:styleId="7">
    <w:name w:val="Title"/>
    <w:basedOn w:val="1"/>
    <w:autoRedefine/>
    <w:qFormat/>
    <w:uiPriority w:val="0"/>
    <w:pPr>
      <w:spacing w:before="240" w:after="60"/>
      <w:jc w:val="center"/>
      <w:outlineLvl w:val="0"/>
    </w:pPr>
    <w:rPr>
      <w:rFonts w:ascii="Arial" w:hAnsi="Arial" w:eastAsia="宋体" w:cs="Arial"/>
      <w:b/>
      <w:bCs/>
    </w:rPr>
  </w:style>
  <w:style w:type="paragraph" w:customStyle="1" w:styleId="10">
    <w:name w:val="实施方案正文"/>
    <w:basedOn w:val="11"/>
    <w:autoRedefine/>
    <w:qFormat/>
    <w:uiPriority w:val="0"/>
    <w:pPr>
      <w:ind w:firstLine="566" w:firstLineChars="202"/>
    </w:pPr>
    <w:rPr>
      <w:szCs w:val="28"/>
    </w:rPr>
  </w:style>
  <w:style w:type="paragraph" w:customStyle="1" w:styleId="11">
    <w:name w:val="正文 New"/>
    <w:next w:val="10"/>
    <w:autoRedefine/>
    <w:qFormat/>
    <w:uiPriority w:val="0"/>
    <w:pPr>
      <w:widowControl w:val="0"/>
      <w:spacing w:line="360" w:lineRule="auto"/>
      <w:jc w:val="both"/>
    </w:pPr>
    <w:rPr>
      <w:rFonts w:ascii="Calibri" w:hAnsi="Calibri" w:eastAsia="仿宋_GB2312" w:cs="Times New Roman"/>
      <w:kern w:val="2"/>
      <w:sz w:val="32"/>
      <w:szCs w:val="24"/>
      <w:lang w:val="en-US" w:eastAsia="zh-CN" w:bidi="ar-SA"/>
    </w:rPr>
  </w:style>
  <w:style w:type="paragraph" w:customStyle="1" w:styleId="12">
    <w:name w:val="无间隔1"/>
    <w:next w:val="1"/>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13">
    <w:name w:val="NormalCharacter"/>
    <w:autoRedefine/>
    <w:qFormat/>
    <w:uiPriority w:val="0"/>
    <w:rPr>
      <w:rFonts w:eastAsia="仿宋_GB2312"/>
      <w:kern w:val="2"/>
      <w:sz w:val="32"/>
      <w:lang w:val="en-US" w:eastAsia="zh-CN" w:bidi="ar-SA"/>
    </w:rPr>
  </w:style>
  <w:style w:type="paragraph" w:customStyle="1" w:styleId="14">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千江有水千江月</cp:lastModifiedBy>
  <dcterms:modified xsi:type="dcterms:W3CDTF">2024-03-04T08:20:11Z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AA90B5FD9EFE4410A8278BDDB0A72FCC_12</vt:lpwstr>
  </property>
</Properties>
</file>