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rPr>
        <w:t>呈贡区</w:t>
      </w:r>
      <w:r>
        <w:rPr>
          <w:rFonts w:hint="eastAsia" w:ascii="方正小标宋简体" w:hAnsi="方正小标宋简体" w:eastAsia="方正小标宋简体" w:cs="方正小标宋简体"/>
          <w:sz w:val="36"/>
          <w:szCs w:val="36"/>
          <w:highlight w:val="none"/>
          <w:lang w:val="en-US" w:eastAsia="zh-CN"/>
        </w:rPr>
        <w:t>乌龙街道社区卫生服务中心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pPr>
        <w:keepNext w:val="0"/>
        <w:keepLines w:val="0"/>
        <w:pageBreakBefore w:val="0"/>
        <w:widowControl w:val="0"/>
        <w:kinsoku/>
        <w:wordWrap/>
        <w:overflowPunct/>
        <w:autoSpaceDE/>
        <w:autoSpaceDN/>
        <w:bidi w:val="0"/>
        <w:adjustRightInd/>
        <w:snapToGrid/>
        <w:spacing w:line="560" w:lineRule="exact"/>
        <w:ind w:firstLine="612" w:firstLineChars="200"/>
        <w:jc w:val="both"/>
        <w:textAlignment w:val="auto"/>
        <w:rPr>
          <w:rFonts w:ascii="仿宋_GB2312"/>
          <w:b/>
          <w:szCs w:val="32"/>
          <w:highlight w:val="none"/>
        </w:rPr>
      </w:pPr>
    </w:p>
    <w:p>
      <w:pPr>
        <w:ind w:firstLine="612" w:firstLineChars="200"/>
        <w:rPr>
          <w:rFonts w:hint="eastAsia" w:ascii="仿宋_GB2312"/>
          <w:b/>
          <w:szCs w:val="32"/>
          <w:highlight w:val="none"/>
        </w:rPr>
      </w:pPr>
      <w:r>
        <w:rPr>
          <w:rFonts w:hint="eastAsia" w:ascii="仿宋_GB2312"/>
          <w:b/>
          <w:szCs w:val="32"/>
          <w:highlight w:val="none"/>
        </w:rPr>
        <w:t>一、基本情况</w:t>
      </w:r>
    </w:p>
    <w:p>
      <w:pPr>
        <w:topLinePunct/>
        <w:ind w:firstLine="612" w:firstLineChars="200"/>
        <w:rPr>
          <w:rFonts w:hint="eastAsia" w:ascii="仿宋_GB2312"/>
          <w:szCs w:val="32"/>
          <w:highlight w:val="none"/>
        </w:rPr>
      </w:pPr>
      <w:r>
        <w:rPr>
          <w:rFonts w:hint="eastAsia" w:ascii="仿宋_GB2312"/>
          <w:szCs w:val="32"/>
          <w:highlight w:val="none"/>
        </w:rPr>
        <w:t>（一）项目概况。</w:t>
      </w:r>
    </w:p>
    <w:p>
      <w:pPr>
        <w:topLinePunct/>
        <w:ind w:firstLine="612" w:firstLineChars="200"/>
        <w:rPr>
          <w:rFonts w:hint="eastAsia" w:ascii="仿宋_GB2312"/>
          <w:szCs w:val="32"/>
        </w:rPr>
      </w:pPr>
      <w:r>
        <w:rPr>
          <w:rFonts w:hint="eastAsia" w:ascii="仿宋_GB2312"/>
          <w:szCs w:val="32"/>
          <w:lang w:val="en-US" w:eastAsia="zh-CN"/>
        </w:rPr>
        <w:t>该单位2023年</w:t>
      </w:r>
      <w:r>
        <w:rPr>
          <w:rFonts w:hint="eastAsia" w:ascii="仿宋_GB2312"/>
          <w:szCs w:val="32"/>
          <w:lang w:eastAsia="zh-CN"/>
        </w:rPr>
        <w:t>度项目支出</w:t>
      </w:r>
      <w:r>
        <w:rPr>
          <w:rFonts w:hint="eastAsia" w:ascii="仿宋_GB2312"/>
          <w:szCs w:val="32"/>
          <w:lang w:val="en-US" w:eastAsia="zh-CN"/>
        </w:rPr>
        <w:t>具体包含10个项目：</w:t>
      </w:r>
    </w:p>
    <w:p>
      <w:pPr>
        <w:pStyle w:val="9"/>
        <w:keepNext w:val="0"/>
        <w:keepLines w:val="0"/>
        <w:pageBreakBefore w:val="0"/>
        <w:numPr>
          <w:ilvl w:val="0"/>
          <w:numId w:val="0"/>
        </w:numPr>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基本公共卫生服务项目补助资金（含中央、省级、区级）</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为进一步推进呈贡区国家基本公共卫生服务项目的深入开展，不断规范项目行为，切实加强项目的组织实施，提高国家基本公共卫生服务项目的均等化水平，根据《国家基本公共卫生服务规范（第三版）》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《云南省卫生厅 云南省财政厅关于印发云南省加强基本公共卫生服务项目管理指导意见（试行）的通知》（云卫发〔2013〕26号）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《关于印发云南省基本公共卫生服务基层高血压防治管理工作实施方案（试行）的通知》（云卫基层发〔2018〕6号）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《昆明市卫健委</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昆明市财政局关于做好20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年基本公共卫生服务项目工作的通知》（昆卫〔2020〕</w:t>
      </w:r>
      <w:r>
        <w:rPr>
          <w:rFonts w:hint="default" w:ascii="Times New Roman" w:hAnsi="Times New Roman" w:eastAsia="仿宋_GB2312" w:cs="Times New Roman"/>
          <w:color w:val="auto"/>
          <w:sz w:val="32"/>
          <w:szCs w:val="32"/>
          <w:lang w:val="en-US" w:eastAsia="zh-CN"/>
        </w:rPr>
        <w:t>44</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sz w:val="32"/>
          <w:szCs w:val="32"/>
        </w:rPr>
        <w:t>等文件要求，严格执行国家基本公共卫生服务项目，即居民健康档案、健康教育、预防接种、儿童健康管理、孕产妇健康管理、老年人健康管理、高血压和2型糖尿病等慢性病患者健康管理、严重精神障碍患者管理、传染病及突发公共卫生事件报告和处理、结核病患者健康管理、中医药健康管理、卫生监督协管共12项基本公共卫生服务项目</w:t>
      </w:r>
      <w:r>
        <w:rPr>
          <w:rFonts w:hint="default" w:ascii="Times New Roman" w:hAnsi="Times New Roman" w:eastAsia="仿宋_GB2312" w:cs="Times New Roman"/>
          <w:sz w:val="32"/>
          <w:szCs w:val="32"/>
          <w:lang w:eastAsia="zh-CN"/>
        </w:rPr>
        <w:t>和家庭医生签约服务工作</w:t>
      </w:r>
      <w:r>
        <w:rPr>
          <w:rFonts w:hint="default" w:ascii="Times New Roman" w:hAnsi="Times New Roman" w:eastAsia="仿宋_GB2312" w:cs="Times New Roman"/>
          <w:sz w:val="32"/>
          <w:szCs w:val="32"/>
        </w:rPr>
        <w:t>。</w:t>
      </w:r>
    </w:p>
    <w:p>
      <w:pPr>
        <w:keepNext w:val="0"/>
        <w:keepLines w:val="0"/>
        <w:pageBreakBefore w:val="0"/>
        <w:kinsoku/>
        <w:wordWrap/>
        <w:overflowPunct/>
        <w:autoSpaceDE/>
        <w:autoSpaceDN/>
        <w:bidi w:val="0"/>
        <w:adjustRightInd/>
        <w:snapToGrid/>
        <w:spacing w:line="560" w:lineRule="exact"/>
        <w:ind w:left="0" w:firstLine="612"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截止</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季度），全区累计建立居民健康档案</w:t>
      </w:r>
      <w:r>
        <w:rPr>
          <w:rFonts w:hint="default" w:ascii="Times New Roman" w:hAnsi="Times New Roman" w:eastAsia="仿宋_GB2312" w:cs="Times New Roman"/>
          <w:sz w:val="32"/>
          <w:szCs w:val="32"/>
          <w:lang w:val="en-US" w:eastAsia="zh-CN"/>
        </w:rPr>
        <w:t>30780</w:t>
      </w:r>
      <w:r>
        <w:rPr>
          <w:rFonts w:hint="default" w:ascii="Times New Roman" w:hAnsi="Times New Roman" w:eastAsia="仿宋_GB2312" w:cs="Times New Roman"/>
          <w:sz w:val="32"/>
          <w:szCs w:val="32"/>
        </w:rPr>
        <w:t>人份，对辖区</w:t>
      </w:r>
      <w:r>
        <w:rPr>
          <w:rFonts w:hint="default" w:ascii="Times New Roman" w:hAnsi="Times New Roman" w:eastAsia="仿宋_GB2312" w:cs="Times New Roman"/>
          <w:sz w:val="32"/>
          <w:szCs w:val="32"/>
          <w:lang w:val="en-US" w:eastAsia="zh-CN"/>
        </w:rPr>
        <w:t>3743</w:t>
      </w:r>
      <w:r>
        <w:rPr>
          <w:rFonts w:hint="default" w:ascii="Times New Roman" w:hAnsi="Times New Roman" w:eastAsia="仿宋_GB2312" w:cs="Times New Roman"/>
          <w:sz w:val="32"/>
          <w:szCs w:val="32"/>
        </w:rPr>
        <w:t>名65岁以上老年人、</w:t>
      </w:r>
      <w:r>
        <w:rPr>
          <w:rFonts w:hint="default" w:ascii="Times New Roman" w:hAnsi="Times New Roman" w:eastAsia="仿宋_GB2312" w:cs="Times New Roman"/>
          <w:sz w:val="32"/>
          <w:szCs w:val="32"/>
          <w:lang w:val="en-US" w:eastAsia="zh-CN"/>
        </w:rPr>
        <w:t>1912</w:t>
      </w:r>
      <w:r>
        <w:rPr>
          <w:rFonts w:hint="default" w:ascii="Times New Roman" w:hAnsi="Times New Roman" w:eastAsia="仿宋_GB2312" w:cs="Times New Roman"/>
          <w:sz w:val="32"/>
          <w:szCs w:val="32"/>
        </w:rPr>
        <w:t>名高血压患者、</w:t>
      </w:r>
      <w:r>
        <w:rPr>
          <w:rFonts w:hint="default" w:ascii="Times New Roman" w:hAnsi="Times New Roman" w:eastAsia="仿宋_GB2312" w:cs="Times New Roman"/>
          <w:sz w:val="32"/>
          <w:szCs w:val="32"/>
          <w:lang w:val="en-US" w:eastAsia="zh-CN"/>
        </w:rPr>
        <w:t>770</w:t>
      </w:r>
      <w:r>
        <w:rPr>
          <w:rFonts w:hint="default" w:ascii="Times New Roman" w:hAnsi="Times New Roman" w:eastAsia="仿宋_GB2312" w:cs="Times New Roman"/>
          <w:sz w:val="32"/>
          <w:szCs w:val="32"/>
        </w:rPr>
        <w:t>名糖尿病患者及</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例重性精神病患者进行专案管理，辖区适龄儿童计划免疫规划疫苗接种率95%、0-6岁儿童健康管理率9</w:t>
      </w:r>
      <w:r>
        <w:rPr>
          <w:rFonts w:hint="default" w:ascii="Times New Roman" w:hAnsi="Times New Roman" w:eastAsia="仿宋_GB2312" w:cs="Times New Roman"/>
          <w:sz w:val="32"/>
          <w:szCs w:val="32"/>
          <w:lang w:val="en-US" w:eastAsia="zh-CN"/>
        </w:rPr>
        <w:t>6.96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新生儿访视率100.00%、</w:t>
      </w:r>
      <w:r>
        <w:rPr>
          <w:rFonts w:hint="default" w:ascii="Times New Roman" w:hAnsi="Times New Roman" w:eastAsia="仿宋_GB2312" w:cs="Times New Roman"/>
          <w:sz w:val="32"/>
          <w:szCs w:val="32"/>
        </w:rPr>
        <w:t>孕产妇系统管理率</w:t>
      </w:r>
      <w:r>
        <w:rPr>
          <w:rFonts w:hint="default" w:ascii="Times New Roman" w:hAnsi="Times New Roman" w:eastAsia="仿宋_GB2312" w:cs="Times New Roman"/>
          <w:sz w:val="32"/>
          <w:szCs w:val="32"/>
          <w:lang w:val="en-US" w:eastAsia="zh-CN"/>
        </w:rPr>
        <w:t>93.77</w:t>
      </w:r>
      <w:r>
        <w:rPr>
          <w:rFonts w:hint="default" w:ascii="Times New Roman" w:hAnsi="Times New Roman" w:eastAsia="仿宋_GB2312" w:cs="Times New Roman"/>
          <w:sz w:val="32"/>
          <w:szCs w:val="32"/>
        </w:rPr>
        <w:t>%。</w:t>
      </w:r>
    </w:p>
    <w:p>
      <w:pPr>
        <w:pStyle w:val="9"/>
        <w:keepNext w:val="0"/>
        <w:keepLines w:val="0"/>
        <w:pageBreakBefore w:val="0"/>
        <w:numPr>
          <w:ilvl w:val="0"/>
          <w:numId w:val="0"/>
        </w:numPr>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基本药物制度补助资金（含中央、省级）</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用于执行国家基本药物制度，保障群众安全用药，规范医疗门诊。规范使用补助资金。引导科学就医和安全合理用药。在实施基本药物制度后，我中心坚持“保基本、强基层、建机制”的医改基本原则，了解我中心基本药物补助资金的使用情况和取得的效果，总结实施国家基本药物制度项目管理经验，发现项目实施中存在的问题，进一步加强和规范项目资金管理，在保证国家基本药物制度规范实施的前提下节约成本，有效推进医药卫生体系改革。通过使用基药补助资金规范使用，节约医疗成本，降低患者看病成本，推进医疗业务有序开展。</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2023年区级财政预算新冠肺炎疫情防控经费</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highlight w:val="none"/>
          <w:lang w:val="en-US" w:eastAsia="zh-CN"/>
        </w:rPr>
        <w:t>用于</w:t>
      </w:r>
      <w:r>
        <w:rPr>
          <w:rFonts w:hint="default" w:ascii="Times New Roman" w:hAnsi="Times New Roman" w:eastAsia="仿宋_GB2312" w:cs="Times New Roman"/>
          <w:sz w:val="32"/>
          <w:szCs w:val="32"/>
          <w:lang w:eastAsia="zh-CN"/>
        </w:rPr>
        <w:t>完成疫情防控工作任务，补足疫情防控经费资金缺口。</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lang w:eastAsia="zh-CN"/>
        </w:rPr>
        <w:t>2022年区级部分新冠肺炎疫情防控工作经费</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highlight w:val="none"/>
          <w:lang w:val="en-US" w:eastAsia="zh-CN"/>
        </w:rPr>
        <w:t>用于</w:t>
      </w:r>
      <w:r>
        <w:rPr>
          <w:rFonts w:hint="default" w:ascii="Times New Roman" w:hAnsi="Times New Roman" w:eastAsia="仿宋_GB2312" w:cs="Times New Roman"/>
          <w:color w:val="000000"/>
          <w:sz w:val="32"/>
          <w:szCs w:val="32"/>
          <w:highlight w:val="none"/>
          <w:lang w:eastAsia="zh-CN"/>
        </w:rPr>
        <w:t>圆满完成呈贡区疫情防控工作任务，确保外防输出，内防反弹</w:t>
      </w:r>
      <w:r>
        <w:rPr>
          <w:rFonts w:hint="default" w:ascii="Times New Roman" w:hAnsi="Times New Roman" w:eastAsia="仿宋_GB2312" w:cs="Times New Roman"/>
          <w:sz w:val="32"/>
          <w:szCs w:val="32"/>
          <w:lang w:eastAsia="zh-CN"/>
        </w:rPr>
        <w:t>。补足疫情防控经费资金缺口。</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lang w:eastAsia="zh-CN"/>
        </w:rPr>
        <w:t>新冠肺炎疫苗省级财政补助资金</w:t>
      </w:r>
      <w:r>
        <w:rPr>
          <w:rFonts w:hint="eastAsia" w:ascii="Times New Roman" w:hAnsi="Times New Roman" w:cs="Times New Roman"/>
          <w:sz w:val="32"/>
          <w:szCs w:val="32"/>
          <w:lang w:eastAsia="zh-CN"/>
        </w:rPr>
        <w:t>：</w:t>
      </w:r>
      <w:r>
        <w:rPr>
          <w:rFonts w:hint="default" w:ascii="Times New Roman" w:hAnsi="Times New Roman" w:eastAsia="仿宋_GB2312" w:cs="Times New Roman"/>
          <w:color w:val="000000"/>
          <w:sz w:val="32"/>
          <w:szCs w:val="32"/>
          <w:highlight w:val="none"/>
          <w:lang w:val="en-US" w:eastAsia="zh-CN"/>
        </w:rPr>
        <w:t>用于疫苗接种产生的相关经费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6、</w:t>
      </w:r>
      <w:r>
        <w:rPr>
          <w:rFonts w:hint="default" w:ascii="Times New Roman" w:hAnsi="Times New Roman" w:eastAsia="仿宋_GB2312" w:cs="Times New Roman"/>
          <w:sz w:val="32"/>
          <w:szCs w:val="32"/>
          <w:lang w:eastAsia="zh-CN"/>
        </w:rPr>
        <w:t>重大活动医疗保障经费</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color w:val="000000"/>
          <w:sz w:val="32"/>
          <w:szCs w:val="32"/>
          <w:highlight w:val="none"/>
          <w:lang w:val="en-US" w:eastAsia="zh-CN"/>
        </w:rPr>
        <w:t>用于</w:t>
      </w:r>
      <w:r>
        <w:rPr>
          <w:rFonts w:hint="default" w:ascii="Times New Roman" w:hAnsi="Times New Roman" w:eastAsia="仿宋_GB2312" w:cs="Times New Roman"/>
          <w:sz w:val="32"/>
          <w:szCs w:val="32"/>
        </w:rPr>
        <w:t>预防突发公共卫生事件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保</w:t>
      </w:r>
      <w:r>
        <w:rPr>
          <w:rFonts w:hint="eastAsia" w:ascii="Times New Roman" w:hAnsi="Times New Roman" w:cs="Times New Roman"/>
          <w:sz w:val="32"/>
          <w:szCs w:val="32"/>
          <w:lang w:val="en-US" w:eastAsia="zh-CN"/>
        </w:rPr>
        <w:t>障</w:t>
      </w:r>
      <w:r>
        <w:rPr>
          <w:rFonts w:hint="default" w:ascii="Times New Roman" w:hAnsi="Times New Roman" w:eastAsia="仿宋_GB2312" w:cs="Times New Roman"/>
          <w:sz w:val="32"/>
          <w:szCs w:val="32"/>
        </w:rPr>
        <w:t>区级各项活动（重要会议；重大赛事； 文体活动；展会、博览会、艺术节；节假日；老年人、残疾人、青少年各项活动；各类考试等）顺利进行,配备救护车及医护人员和 医疗药品器械等物资，做好医疗保障工作。</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cs="Times New Roman"/>
          <w:sz w:val="32"/>
          <w:szCs w:val="32"/>
          <w:lang w:val="en-US" w:eastAsia="zh-CN"/>
        </w:rPr>
        <w:t>7、</w:t>
      </w:r>
      <w:r>
        <w:rPr>
          <w:rFonts w:hint="default" w:ascii="Times New Roman" w:hAnsi="Times New Roman" w:eastAsia="仿宋_GB2312" w:cs="Times New Roman"/>
          <w:sz w:val="32"/>
          <w:szCs w:val="32"/>
          <w:lang w:eastAsia="zh-CN"/>
        </w:rPr>
        <w:t>新冠病毒感染过渡期医务人员临时性工作补助资金（</w:t>
      </w:r>
      <w:r>
        <w:rPr>
          <w:rFonts w:hint="default" w:ascii="Times New Roman" w:hAnsi="Times New Roman" w:eastAsia="仿宋_GB2312" w:cs="Times New Roman"/>
          <w:color w:val="auto"/>
          <w:sz w:val="32"/>
          <w:szCs w:val="32"/>
          <w:lang w:val="en-US" w:eastAsia="zh-CN"/>
        </w:rPr>
        <w:t>含中央、省级、区级）</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000000"/>
          <w:sz w:val="32"/>
          <w:szCs w:val="32"/>
          <w:lang w:val="en-US" w:eastAsia="zh-CN"/>
        </w:rPr>
        <w:t>用于发放新冠病毒感染过渡期医务人员临时性工作补助</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8、</w:t>
      </w:r>
      <w:r>
        <w:rPr>
          <w:rFonts w:hint="default" w:ascii="Times New Roman" w:hAnsi="Times New Roman" w:eastAsia="仿宋_GB2312" w:cs="Times New Roman"/>
          <w:sz w:val="32"/>
          <w:szCs w:val="32"/>
          <w:lang w:eastAsia="zh-CN"/>
        </w:rPr>
        <w:t>从业人员健康体检补助资金</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用于</w:t>
      </w:r>
      <w:r>
        <w:rPr>
          <w:rFonts w:hint="default" w:ascii="Times New Roman" w:hAnsi="Times New Roman" w:eastAsia="仿宋_GB2312" w:cs="Times New Roman"/>
          <w:sz w:val="32"/>
          <w:szCs w:val="32"/>
          <w:highlight w:val="none"/>
          <w:lang w:val="en-US" w:eastAsia="zh-CN"/>
        </w:rPr>
        <w:t>和从业</w:t>
      </w:r>
      <w:r>
        <w:rPr>
          <w:rFonts w:hint="default" w:ascii="Times New Roman" w:hAnsi="Times New Roman" w:eastAsia="仿宋_GB2312" w:cs="Times New Roman"/>
          <w:sz w:val="32"/>
          <w:szCs w:val="32"/>
          <w:lang w:eastAsia="zh-CN"/>
        </w:rPr>
        <w:t>人员健康体检</w:t>
      </w:r>
      <w:r>
        <w:rPr>
          <w:rFonts w:hint="default" w:ascii="Times New Roman" w:hAnsi="Times New Roman" w:eastAsia="仿宋_GB2312" w:cs="Times New Roman"/>
          <w:sz w:val="32"/>
          <w:szCs w:val="32"/>
          <w:lang w:val="en-US" w:eastAsia="zh-CN"/>
        </w:rPr>
        <w:t>相关的劳务费、办公费、试剂费及其他相关费用。</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eastAsia="zh-CN"/>
        </w:rPr>
        <w:t>2023年严重精神障碍患者监护人“以奖代补”经费</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sz w:val="32"/>
          <w:szCs w:val="32"/>
          <w:highlight w:val="none"/>
          <w:lang w:eastAsia="zh-CN"/>
        </w:rPr>
        <w:t>促进严重精神障碍患者监护人切实履行监护责任</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积极配合治疗并开展康复训练，妥善看护好居家患者，确保不因疏于救治管理而发生危害社会案（事）件发生。</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eastAsia" w:ascii="仿宋_GB2312" w:hAnsi="仿宋_GB2312" w:cs="仿宋_GB2312"/>
          <w:sz w:val="32"/>
          <w:szCs w:val="32"/>
          <w:highlight w:val="none"/>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0、</w:t>
      </w:r>
      <w:r>
        <w:rPr>
          <w:rFonts w:hint="default" w:ascii="Times New Roman" w:hAnsi="Times New Roman" w:eastAsia="仿宋_GB2312" w:cs="Times New Roman"/>
          <w:sz w:val="32"/>
          <w:szCs w:val="32"/>
          <w:lang w:val="en-US" w:eastAsia="zh-CN"/>
        </w:rPr>
        <w:t>2023年建档立卡贫困人口（已脱贫）家庭医生签约服务个人缴费区级补助资金</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用于建档立卡贫困人口（已脱贫）家庭医生签约经费兑现</w:t>
      </w:r>
    </w:p>
    <w:p>
      <w:pPr>
        <w:numPr>
          <w:ilvl w:val="0"/>
          <w:numId w:val="1"/>
        </w:numPr>
        <w:ind w:firstLine="612" w:firstLineChars="200"/>
        <w:rPr>
          <w:rFonts w:hint="eastAsia" w:ascii="仿宋_GB2312"/>
          <w:szCs w:val="32"/>
          <w:highlight w:val="none"/>
        </w:rPr>
      </w:pPr>
      <w:r>
        <w:rPr>
          <w:rFonts w:hint="eastAsia" w:ascii="仿宋_GB2312"/>
          <w:szCs w:val="32"/>
          <w:highlight w:val="none"/>
        </w:rPr>
        <w:t>项目绩效目标。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项目绩效总目标。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（1）按照上级各业务部门下达的各项指标要求，按时按质按量完成14项国家基本公共卫生服务项目。开展母婴保健技术服务。</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（2）按规范开展基本医疗服务工作，保证医疗安全、提升医疗质量、加强消毒隔离及公共卫生管理；严格执行国家基本药物制度；做好辖区现场应急救援保障。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（3）按规范开展计划生育服务工作。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eastAsia" w:ascii="仿宋_GB2312"/>
          <w:szCs w:val="32"/>
          <w:highlight w:val="none"/>
        </w:rPr>
      </w:pPr>
      <w:r>
        <w:rPr>
          <w:rFonts w:hint="default" w:ascii="Times New Roman" w:hAnsi="Times New Roman" w:eastAsia="仿宋_GB2312" w:cs="Times New Roman"/>
          <w:sz w:val="32"/>
          <w:szCs w:val="32"/>
          <w:highlight w:val="none"/>
        </w:rPr>
        <w:t>（4）在保证安全生产的基础上，力争各项经济业务指标有所增长。</w:t>
      </w:r>
    </w:p>
    <w:p>
      <w:pPr>
        <w:numPr>
          <w:ilvl w:val="0"/>
          <w:numId w:val="2"/>
        </w:numPr>
        <w:ind w:firstLine="612" w:firstLineChars="200"/>
        <w:rPr>
          <w:rFonts w:hint="eastAsia" w:ascii="仿宋_GB2312"/>
          <w:szCs w:val="32"/>
          <w:lang w:val="en-US" w:eastAsia="zh-CN"/>
        </w:rPr>
      </w:pPr>
      <w:r>
        <w:rPr>
          <w:rFonts w:hint="eastAsia" w:ascii="仿宋_GB2312"/>
          <w:szCs w:val="32"/>
          <w:highlight w:val="none"/>
        </w:rPr>
        <w:t>项目绩效阶段性目标。</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eastAsia="zh-CN"/>
        </w:rPr>
      </w:pPr>
      <w:r>
        <w:rPr>
          <w:rFonts w:hint="default" w:ascii="Arial" w:hAnsi="Arial" w:eastAsia="仿宋_GB2312" w:cs="Arial"/>
          <w:sz w:val="32"/>
          <w:szCs w:val="32"/>
          <w:lang w:eastAsia="zh-CN"/>
        </w:rPr>
        <w:t>从业人员健康体检补助资金</w:t>
      </w:r>
      <w:r>
        <w:rPr>
          <w:rFonts w:hint="eastAsia" w:ascii="Arial" w:hAnsi="Arial" w:cs="Arial"/>
          <w:sz w:val="32"/>
          <w:szCs w:val="32"/>
          <w:lang w:eastAsia="zh-CN"/>
        </w:rPr>
        <w:t>项目，</w:t>
      </w:r>
      <w:r>
        <w:rPr>
          <w:rFonts w:hint="default" w:ascii="Arial" w:hAnsi="Arial" w:eastAsia="仿宋_GB2312" w:cs="Arial"/>
          <w:sz w:val="32"/>
          <w:szCs w:val="32"/>
          <w:lang w:eastAsia="zh-CN"/>
        </w:rPr>
        <w:t>完成</w:t>
      </w:r>
      <w:r>
        <w:rPr>
          <w:rFonts w:hint="default" w:ascii="仿宋" w:hAnsi="仿宋" w:eastAsia="仿宋" w:cs="仿宋"/>
          <w:b w:val="0"/>
          <w:bCs w:val="0"/>
          <w:sz w:val="32"/>
          <w:szCs w:val="32"/>
          <w:lang w:val="en-US" w:eastAsia="zh-CN"/>
        </w:rPr>
        <w:t>202</w:t>
      </w:r>
      <w:r>
        <w:rPr>
          <w:rFonts w:hint="eastAsia" w:ascii="仿宋" w:hAnsi="仿宋" w:eastAsia="仿宋" w:cs="仿宋"/>
          <w:b w:val="0"/>
          <w:bCs w:val="0"/>
          <w:sz w:val="32"/>
          <w:szCs w:val="32"/>
          <w:lang w:val="en-US" w:eastAsia="zh-CN"/>
        </w:rPr>
        <w:t>3</w:t>
      </w:r>
      <w:r>
        <w:rPr>
          <w:rFonts w:hint="default" w:ascii="Arial" w:hAnsi="Arial" w:eastAsia="仿宋_GB2312" w:cs="Arial"/>
          <w:sz w:val="32"/>
          <w:szCs w:val="32"/>
          <w:lang w:eastAsia="zh-CN"/>
        </w:rPr>
        <w:t>年呈贡区的从业人员</w:t>
      </w:r>
      <w:r>
        <w:rPr>
          <w:rFonts w:hint="eastAsia" w:ascii="Arial" w:hAnsi="Arial" w:cs="Arial"/>
          <w:sz w:val="32"/>
          <w:szCs w:val="32"/>
          <w:lang w:eastAsia="zh-CN"/>
        </w:rPr>
        <w:t>预防性</w:t>
      </w:r>
      <w:r>
        <w:rPr>
          <w:rFonts w:hint="default" w:ascii="Arial" w:hAnsi="Arial" w:eastAsia="仿宋_GB2312" w:cs="Arial"/>
          <w:sz w:val="32"/>
          <w:szCs w:val="32"/>
          <w:lang w:eastAsia="zh-CN"/>
        </w:rPr>
        <w:t>健康体检工作</w:t>
      </w:r>
      <w:r>
        <w:rPr>
          <w:rFonts w:hint="eastAsia" w:ascii="Arial" w:hAnsi="Arial" w:cs="Arial"/>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eastAsia="zh-CN"/>
        </w:rPr>
      </w:pPr>
      <w:r>
        <w:rPr>
          <w:rFonts w:hint="default" w:ascii="Arial" w:hAnsi="Arial" w:eastAsia="仿宋_GB2312" w:cs="Arial"/>
          <w:sz w:val="32"/>
          <w:szCs w:val="32"/>
          <w:lang w:eastAsia="zh-CN"/>
        </w:rPr>
        <w:t>基本药物制度结算补助资金</w:t>
      </w:r>
      <w:r>
        <w:rPr>
          <w:rFonts w:hint="eastAsia" w:ascii="Arial" w:hAnsi="Arial" w:cs="Arial"/>
          <w:sz w:val="32"/>
          <w:szCs w:val="32"/>
          <w:lang w:eastAsia="zh-CN"/>
        </w:rPr>
        <w:t>项目，</w:t>
      </w:r>
      <w:r>
        <w:rPr>
          <w:rFonts w:hint="default" w:ascii="Arial" w:hAnsi="Arial" w:eastAsia="仿宋_GB2312" w:cs="Arial"/>
          <w:sz w:val="32"/>
          <w:szCs w:val="32"/>
          <w:lang w:eastAsia="zh-CN"/>
        </w:rPr>
        <w:t>保证所有政府</w:t>
      </w:r>
      <w:r>
        <w:rPr>
          <w:rFonts w:hint="eastAsia" w:ascii="Arial" w:hAnsi="Arial" w:cs="Arial"/>
          <w:sz w:val="32"/>
          <w:szCs w:val="32"/>
          <w:lang w:eastAsia="zh-CN"/>
        </w:rPr>
        <w:t>举</w:t>
      </w:r>
      <w:r>
        <w:rPr>
          <w:rFonts w:hint="default" w:ascii="Arial" w:hAnsi="Arial" w:eastAsia="仿宋_GB2312" w:cs="Arial"/>
          <w:sz w:val="32"/>
          <w:szCs w:val="32"/>
          <w:lang w:eastAsia="zh-CN"/>
        </w:rPr>
        <w:t>办基层医疗卫生机构实施国家基本药物制度，推进综合改革顺利进行。对实施国家基本药物制度的村卫生室给予补助，支持国家基本药物制度在村卫生室顺利实施。</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eastAsia="zh-CN"/>
        </w:rPr>
      </w:pPr>
      <w:r>
        <w:rPr>
          <w:rFonts w:hint="default" w:ascii="Arial" w:hAnsi="Arial" w:eastAsia="仿宋_GB2312" w:cs="Arial"/>
          <w:sz w:val="32"/>
          <w:szCs w:val="32"/>
          <w:lang w:val="en-US" w:eastAsia="zh-CN"/>
        </w:rPr>
        <w:t>国家基本公共卫生服务项目补助资金</w:t>
      </w:r>
      <w:r>
        <w:rPr>
          <w:rFonts w:hint="eastAsia" w:ascii="Arial" w:hAnsi="Arial" w:cs="Arial"/>
          <w:sz w:val="32"/>
          <w:szCs w:val="32"/>
          <w:lang w:val="en-US" w:eastAsia="zh-CN"/>
        </w:rPr>
        <w:t>项目，</w:t>
      </w:r>
      <w:r>
        <w:rPr>
          <w:rFonts w:hint="default" w:ascii="Arial" w:hAnsi="Arial" w:eastAsia="仿宋_GB2312" w:cs="Arial"/>
          <w:sz w:val="32"/>
          <w:szCs w:val="32"/>
          <w:lang w:eastAsia="zh-CN"/>
        </w:rPr>
        <w:t>免费向城乡居民提供基本公共卫生服务，促进基本公共卫生服务均等化。按照《国家基本公共卫生服务规范（第三版）》为城乡居民建立健康档案，开展健康教育、预防接种等服务，将</w:t>
      </w:r>
      <w:r>
        <w:rPr>
          <w:rFonts w:hint="default" w:ascii="仿宋" w:hAnsi="仿宋" w:eastAsia="仿宋" w:cs="仿宋"/>
          <w:b w:val="0"/>
          <w:bCs w:val="0"/>
          <w:sz w:val="32"/>
          <w:szCs w:val="32"/>
          <w:lang w:val="en-US" w:eastAsia="zh-CN"/>
        </w:rPr>
        <w:t>0-6岁儿童、65</w:t>
      </w:r>
      <w:r>
        <w:rPr>
          <w:rFonts w:hint="default" w:ascii="Arial" w:hAnsi="Arial" w:eastAsia="仿宋_GB2312" w:cs="Arial"/>
          <w:sz w:val="32"/>
          <w:szCs w:val="32"/>
          <w:lang w:eastAsia="zh-CN"/>
        </w:rPr>
        <w:t>岁以上老年人、孕产妇、原发性高血压和</w:t>
      </w:r>
      <w:r>
        <w:rPr>
          <w:rFonts w:hint="default" w:ascii="仿宋" w:hAnsi="仿宋" w:eastAsia="仿宋" w:cs="仿宋"/>
          <w:b w:val="0"/>
          <w:bCs w:val="0"/>
          <w:sz w:val="32"/>
          <w:szCs w:val="32"/>
          <w:lang w:val="en-US" w:eastAsia="zh-CN"/>
        </w:rPr>
        <w:t>2</w:t>
      </w:r>
      <w:r>
        <w:rPr>
          <w:rFonts w:hint="default" w:ascii="Arial" w:hAnsi="Arial" w:eastAsia="仿宋_GB2312" w:cs="Arial"/>
          <w:sz w:val="32"/>
          <w:szCs w:val="32"/>
          <w:lang w:eastAsia="zh-CN"/>
        </w:rPr>
        <w:t>型糖尿病患者、严重精神障碍患者、肺结核患者列为重点人群，提供针对性的健康管理服务。</w:t>
      </w:r>
    </w:p>
    <w:p>
      <w:pPr>
        <w:topLinePunct/>
        <w:ind w:firstLine="612" w:firstLineChars="200"/>
        <w:rPr>
          <w:rFonts w:hint="eastAsia" w:ascii="仿宋_GB2312"/>
          <w:szCs w:val="32"/>
          <w:lang w:val="en-US" w:eastAsia="zh-CN"/>
        </w:rPr>
      </w:pPr>
      <w:r>
        <w:rPr>
          <w:rFonts w:hint="eastAsia" w:ascii="仿宋_GB2312"/>
          <w:szCs w:val="32"/>
          <w:lang w:val="en-US" w:eastAsia="zh-CN"/>
        </w:rPr>
        <w:t>重大公共卫生综合项目专项资金项目，巩固90%艾滋病扩大检测目标，持续开展HIV动员检测工作。</w:t>
      </w:r>
    </w:p>
    <w:p>
      <w:pPr>
        <w:topLinePunct/>
        <w:ind w:firstLine="612" w:firstLineChars="200"/>
        <w:rPr>
          <w:rFonts w:hint="eastAsia" w:ascii="仿宋_GB2312"/>
          <w:szCs w:val="32"/>
          <w:lang w:val="en-US" w:eastAsia="zh-CN"/>
        </w:rPr>
      </w:pPr>
      <w:r>
        <w:rPr>
          <w:rFonts w:hint="eastAsia" w:ascii="仿宋_GB2312"/>
          <w:szCs w:val="32"/>
          <w:lang w:val="en-US" w:eastAsia="zh-CN"/>
        </w:rPr>
        <w:t>慢病综合示范区工作经费项目完成慢病综合示范区标准化建设及辖区内乡村医生经费兑现。</w:t>
      </w:r>
    </w:p>
    <w:p>
      <w:pPr>
        <w:topLinePunct/>
        <w:ind w:firstLine="612" w:firstLineChars="200"/>
        <w:rPr>
          <w:rFonts w:hint="eastAsia" w:ascii="仿宋" w:hAnsi="仿宋" w:eastAsia="仿宋" w:cs="仿宋"/>
          <w:sz w:val="32"/>
          <w:szCs w:val="32"/>
          <w:lang w:eastAsia="zh-CN"/>
        </w:rPr>
      </w:pPr>
      <w:r>
        <w:rPr>
          <w:rFonts w:hint="eastAsia" w:ascii="仿宋_GB2312"/>
          <w:szCs w:val="32"/>
          <w:lang w:val="en-US" w:eastAsia="zh-CN"/>
        </w:rPr>
        <w:t>重大公共卫生综合项目（精神病防治项目）经费项目，完成辖区内严重精神障碍患者监护人经费兑现，确保此项工作有序、有效开展。</w:t>
      </w:r>
    </w:p>
    <w:p>
      <w:pPr>
        <w:ind w:firstLine="612" w:firstLineChars="200"/>
        <w:rPr>
          <w:rFonts w:ascii="仿宋_GB2312"/>
          <w:b/>
          <w:szCs w:val="32"/>
          <w:highlight w:val="none"/>
        </w:rPr>
      </w:pPr>
      <w:r>
        <w:rPr>
          <w:rFonts w:hint="eastAsia" w:ascii="仿宋_GB2312"/>
          <w:b/>
          <w:szCs w:val="32"/>
          <w:highlight w:val="none"/>
        </w:rPr>
        <w:t>二、项目单位绩效报告情况。</w:t>
      </w:r>
    </w:p>
    <w:p>
      <w:pPr>
        <w:ind w:firstLine="612"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公共卫生相关工作和任务，按要求完成各种指令性任务，按时报告相关情况。</w:t>
      </w:r>
    </w:p>
    <w:p>
      <w:pPr>
        <w:ind w:firstLine="612" w:firstLineChars="200"/>
        <w:rPr>
          <w:rFonts w:ascii="仿宋_GB2312"/>
          <w:b/>
          <w:szCs w:val="32"/>
          <w:highlight w:val="none"/>
        </w:rPr>
      </w:pPr>
      <w:r>
        <w:rPr>
          <w:rFonts w:hint="eastAsia" w:ascii="仿宋_GB2312"/>
          <w:b/>
          <w:szCs w:val="32"/>
          <w:highlight w:val="none"/>
        </w:rPr>
        <w:t>三、绩效评价工作情况</w:t>
      </w:r>
    </w:p>
    <w:p>
      <w:pPr>
        <w:ind w:firstLine="612" w:firstLineChars="200"/>
        <w:rPr>
          <w:rFonts w:hint="eastAsia" w:ascii="仿宋_GB2312"/>
          <w:szCs w:val="32"/>
          <w:highlight w:val="none"/>
        </w:rPr>
      </w:pPr>
      <w:r>
        <w:rPr>
          <w:rFonts w:hint="eastAsia" w:ascii="仿宋_GB2312"/>
          <w:szCs w:val="32"/>
          <w:highlight w:val="none"/>
        </w:rPr>
        <w:t>（一）绩效评价目的。</w:t>
      </w:r>
    </w:p>
    <w:p>
      <w:pPr>
        <w:ind w:firstLine="612"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pPr>
        <w:ind w:firstLine="612" w:firstLineChars="200"/>
        <w:rPr>
          <w:rFonts w:hint="eastAsia" w:ascii="仿宋_GB2312"/>
          <w:szCs w:val="32"/>
          <w:highlight w:val="none"/>
        </w:rPr>
      </w:pPr>
      <w:r>
        <w:rPr>
          <w:rFonts w:hint="eastAsia" w:ascii="仿宋_GB2312"/>
          <w:szCs w:val="32"/>
          <w:highlight w:val="none"/>
        </w:rPr>
        <w:t>（二）绩效评价原则、评价指标体系、评价方法</w:t>
      </w:r>
    </w:p>
    <w:p>
      <w:pPr>
        <w:ind w:firstLine="612"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pPr>
        <w:ind w:firstLine="612" w:firstLineChars="200"/>
        <w:rPr>
          <w:rFonts w:hint="eastAsia" w:ascii="仿宋_GB2312"/>
          <w:szCs w:val="32"/>
          <w:highlight w:val="none"/>
        </w:rPr>
      </w:pPr>
      <w:r>
        <w:rPr>
          <w:rFonts w:hint="eastAsia" w:ascii="仿宋_GB2312"/>
          <w:szCs w:val="32"/>
          <w:highlight w:val="none"/>
        </w:rPr>
        <w:t>（三）绩效评价工作过程。</w:t>
      </w:r>
    </w:p>
    <w:p>
      <w:pPr>
        <w:ind w:firstLine="612"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pPr>
        <w:ind w:firstLine="612"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ind w:firstLine="612"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pPr>
        <w:ind w:firstLine="612" w:firstLineChars="200"/>
        <w:rPr>
          <w:rFonts w:hint="eastAsia" w:ascii="仿宋_GB2312"/>
          <w:szCs w:val="32"/>
          <w:highlight w:val="none"/>
        </w:rPr>
      </w:pPr>
      <w:r>
        <w:rPr>
          <w:rFonts w:hint="eastAsia" w:ascii="仿宋_GB2312"/>
          <w:b/>
          <w:szCs w:val="32"/>
          <w:highlight w:val="none"/>
        </w:rPr>
        <w:t>四、绩效评价指标分析情况</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eastAsia" w:ascii="仿宋_GB2312"/>
          <w:szCs w:val="32"/>
          <w:highlight w:val="none"/>
        </w:rPr>
      </w:pPr>
      <w:r>
        <w:rPr>
          <w:rFonts w:hint="eastAsia" w:ascii="仿宋_GB2312"/>
          <w:szCs w:val="32"/>
          <w:highlight w:val="none"/>
        </w:rPr>
        <w:t>（一）项目资金情况分析。</w:t>
      </w:r>
    </w:p>
    <w:p>
      <w:pPr>
        <w:pStyle w:val="9"/>
        <w:keepNext w:val="0"/>
        <w:keepLines w:val="0"/>
        <w:pageBreakBefore w:val="0"/>
        <w:numPr>
          <w:ilvl w:val="0"/>
          <w:numId w:val="0"/>
        </w:numPr>
        <w:kinsoku/>
        <w:wordWrap/>
        <w:overflow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Cs w:val="32"/>
        </w:rPr>
        <w:t>项目资金安排落实、总投入等情况分析</w:t>
      </w:r>
      <w:r>
        <w:rPr>
          <w:rFonts w:hint="eastAsia" w:ascii="仿宋_GB2312" w:hAnsi="仿宋_GB2312" w:cs="仿宋_GB2312"/>
          <w:szCs w:val="32"/>
          <w:lang w:eastAsia="zh-CN"/>
        </w:rPr>
        <w:t>：总支出：</w:t>
      </w:r>
      <w:r>
        <w:rPr>
          <w:rFonts w:hint="eastAsia" w:ascii="仿宋_GB2312" w:hAnsi="仿宋_GB2312" w:cs="仿宋_GB2312"/>
          <w:szCs w:val="32"/>
          <w:lang w:val="en-US" w:eastAsia="zh-CN"/>
        </w:rPr>
        <w:t>6408978.65元，其中，财政拨款：5580508.60元，非财政拨款：828470.05元。</w:t>
      </w:r>
    </w:p>
    <w:p>
      <w:pPr>
        <w:pStyle w:val="9"/>
        <w:keepNext w:val="0"/>
        <w:keepLines w:val="0"/>
        <w:pageBreakBefore w:val="0"/>
        <w:numPr>
          <w:ilvl w:val="0"/>
          <w:numId w:val="0"/>
        </w:numPr>
        <w:kinsoku/>
        <w:wordWrap/>
        <w:overflowPunct/>
        <w:autoSpaceDE/>
        <w:autoSpaceDN/>
        <w:bidi w:val="0"/>
        <w:adjustRightInd/>
        <w:snapToGrid/>
        <w:spacing w:line="560" w:lineRule="exact"/>
        <w:ind w:leftChars="200"/>
        <w:jc w:val="both"/>
        <w:textAlignment w:val="auto"/>
        <w:rPr>
          <w:rFonts w:hint="default" w:ascii="Times New Roman" w:hAnsi="Times New Roman" w:eastAsia="仿宋_GB2312" w:cs="Times New Roman"/>
          <w:sz w:val="32"/>
          <w:szCs w:val="32"/>
        </w:rPr>
      </w:pP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基本公共卫生服务项目补助资金</w:t>
      </w:r>
    </w:p>
    <w:p>
      <w:pPr>
        <w:keepNext w:val="0"/>
        <w:keepLines w:val="0"/>
        <w:pageBreakBefore w:val="0"/>
        <w:kinsoku/>
        <w:wordWrap/>
        <w:overflowPunct/>
        <w:autoSpaceDE/>
        <w:autoSpaceDN/>
        <w:bidi w:val="0"/>
        <w:adjustRightInd/>
        <w:snapToGrid/>
        <w:spacing w:line="560" w:lineRule="exact"/>
        <w:ind w:left="0" w:firstLine="612"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截止202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31日</w:t>
      </w:r>
      <w:r>
        <w:rPr>
          <w:rFonts w:hint="default" w:ascii="Times New Roman" w:hAnsi="Times New Roman" w:eastAsia="仿宋_GB2312" w:cs="Times New Roman"/>
          <w:sz w:val="32"/>
          <w:szCs w:val="32"/>
        </w:rPr>
        <w:t>，各级国家12项基本公共卫生服务项目资金到位资金</w:t>
      </w:r>
      <w:r>
        <w:rPr>
          <w:rFonts w:hint="default" w:ascii="Times New Roman" w:hAnsi="Times New Roman" w:eastAsia="仿宋_GB2312" w:cs="Times New Roman"/>
          <w:sz w:val="32"/>
          <w:szCs w:val="32"/>
          <w:lang w:val="en-US" w:eastAsia="zh-CN"/>
        </w:rPr>
        <w:t>9笔</w:t>
      </w:r>
      <w:r>
        <w:rPr>
          <w:rFonts w:hint="default" w:ascii="Times New Roman" w:hAnsi="Times New Roman" w:eastAsia="仿宋_GB2312" w:cs="Times New Roman"/>
          <w:sz w:val="32"/>
          <w:szCs w:val="32"/>
        </w:rPr>
        <w:t>共计2058779.25元，其中：中央补助资金</w:t>
      </w:r>
      <w:r>
        <w:rPr>
          <w:rFonts w:hint="default" w:ascii="Times New Roman" w:hAnsi="Times New Roman" w:eastAsia="仿宋_GB2312" w:cs="Times New Roman"/>
          <w:sz w:val="32"/>
          <w:szCs w:val="32"/>
          <w:lang w:val="en-US" w:eastAsia="zh-CN"/>
        </w:rPr>
        <w:t>1830305.05</w:t>
      </w:r>
      <w:r>
        <w:rPr>
          <w:rFonts w:hint="default" w:ascii="Times New Roman" w:hAnsi="Times New Roman" w:eastAsia="仿宋_GB2312" w:cs="Times New Roman"/>
          <w:sz w:val="32"/>
          <w:szCs w:val="32"/>
        </w:rPr>
        <w:t>元、省级补助资金</w:t>
      </w:r>
      <w:r>
        <w:rPr>
          <w:rFonts w:hint="default" w:ascii="Times New Roman" w:hAnsi="Times New Roman" w:eastAsia="仿宋_GB2312" w:cs="Times New Roman"/>
          <w:sz w:val="32"/>
          <w:szCs w:val="32"/>
          <w:lang w:val="en-US" w:eastAsia="zh-CN"/>
        </w:rPr>
        <w:t>173100.00</w:t>
      </w:r>
      <w:r>
        <w:rPr>
          <w:rFonts w:hint="default" w:ascii="Times New Roman" w:hAnsi="Times New Roman" w:eastAsia="仿宋_GB2312" w:cs="Times New Roman"/>
          <w:sz w:val="32"/>
          <w:szCs w:val="32"/>
        </w:rPr>
        <w:t>元、区级补助资金</w:t>
      </w:r>
      <w:r>
        <w:rPr>
          <w:rFonts w:hint="default" w:ascii="Times New Roman" w:hAnsi="Times New Roman" w:eastAsia="仿宋_GB2312" w:cs="Times New Roman"/>
          <w:sz w:val="32"/>
          <w:szCs w:val="32"/>
          <w:lang w:val="en-US" w:eastAsia="zh-CN"/>
        </w:rPr>
        <w:t>55374.20</w:t>
      </w:r>
      <w:r>
        <w:rPr>
          <w:rFonts w:hint="default" w:ascii="Times New Roman" w:hAnsi="Times New Roman" w:eastAsia="仿宋_GB2312" w:cs="Times New Roman"/>
          <w:sz w:val="32"/>
          <w:szCs w:val="32"/>
        </w:rPr>
        <w:t>元。全部用于</w:t>
      </w:r>
      <w:r>
        <w:rPr>
          <w:rFonts w:hint="default" w:ascii="Times New Roman" w:hAnsi="Times New Roman" w:eastAsia="仿宋_GB2312" w:cs="Times New Roman"/>
          <w:sz w:val="32"/>
          <w:szCs w:val="32"/>
          <w:lang w:val="en-US" w:eastAsia="zh-CN"/>
        </w:rPr>
        <w:t>我单位</w:t>
      </w:r>
      <w:r>
        <w:rPr>
          <w:rFonts w:hint="default" w:ascii="Times New Roman" w:hAnsi="Times New Roman" w:eastAsia="仿宋_GB2312" w:cs="Times New Roman"/>
          <w:sz w:val="32"/>
          <w:szCs w:val="32"/>
        </w:rPr>
        <w:t>向辖区居民提供免费公共卫生服务</w:t>
      </w:r>
      <w:r>
        <w:rPr>
          <w:rFonts w:hint="default" w:ascii="Times New Roman" w:hAnsi="Times New Roman" w:eastAsia="仿宋_GB2312" w:cs="Times New Roman"/>
          <w:sz w:val="32"/>
          <w:szCs w:val="32"/>
          <w:lang w:val="en-US" w:eastAsia="zh-CN"/>
        </w:rPr>
        <w:t>开支</w:t>
      </w:r>
      <w:r>
        <w:rPr>
          <w:rFonts w:hint="default" w:ascii="Times New Roman" w:hAnsi="Times New Roman" w:eastAsia="仿宋_GB2312" w:cs="Times New Roman"/>
          <w:sz w:val="32"/>
          <w:szCs w:val="32"/>
        </w:rPr>
        <w:t>。区卫健局按照先预拨、后考核、再结算的方式进行基卫项目资金的拨付。截止202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31日</w:t>
      </w:r>
      <w:r>
        <w:rPr>
          <w:rFonts w:hint="default" w:ascii="Times New Roman" w:hAnsi="Times New Roman" w:eastAsia="仿宋_GB2312" w:cs="Times New Roman"/>
          <w:sz w:val="32"/>
          <w:szCs w:val="32"/>
        </w:rPr>
        <w:t>共计支出基本公共卫生服务项目资金2058779.25元，其中：202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年分别</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rPr>
        <w:t>中央、省、市、区级到位国家12类项目补助资金</w:t>
      </w:r>
      <w:r>
        <w:rPr>
          <w:rFonts w:hint="default" w:ascii="Times New Roman" w:hAnsi="Times New Roman" w:eastAsia="仿宋_GB2312" w:cs="Times New Roman"/>
          <w:sz w:val="32"/>
          <w:szCs w:val="32"/>
          <w:lang w:val="en-US" w:eastAsia="zh-CN"/>
        </w:rPr>
        <w:t>2058779.25</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所有公共卫生项目资金全部用于免费向辖区居民提供</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项基本公共卫生服务工作</w:t>
      </w:r>
      <w:r>
        <w:rPr>
          <w:rFonts w:hint="default" w:ascii="Times New Roman" w:hAnsi="Times New Roman" w:eastAsia="仿宋_GB2312" w:cs="Times New Roman"/>
          <w:sz w:val="32"/>
          <w:szCs w:val="32"/>
          <w:lang w:eastAsia="zh-CN"/>
        </w:rPr>
        <w:t>和新冠肺炎疫情防控</w:t>
      </w:r>
      <w:r>
        <w:rPr>
          <w:rFonts w:hint="default" w:ascii="Times New Roman" w:hAnsi="Times New Roman" w:eastAsia="仿宋_GB2312" w:cs="Times New Roman"/>
          <w:sz w:val="32"/>
          <w:szCs w:val="32"/>
        </w:rPr>
        <w:t>。不存在将项目资金安排用于与直接提供基本公共卫生服务无关用途的现象；基层医疗卫生机构不存在挪用、虚报冒领等违规使用资金的现象。</w:t>
      </w:r>
    </w:p>
    <w:p>
      <w:pPr>
        <w:pStyle w:val="9"/>
        <w:keepNext w:val="0"/>
        <w:keepLines w:val="0"/>
        <w:pageBreakBefore w:val="0"/>
        <w:numPr>
          <w:ilvl w:val="0"/>
          <w:numId w:val="0"/>
        </w:numPr>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基本药物制度补助资金</w:t>
      </w:r>
    </w:p>
    <w:p>
      <w:pPr>
        <w:keepNext w:val="0"/>
        <w:keepLines w:val="0"/>
        <w:pageBreakBefore w:val="0"/>
        <w:widowControl/>
        <w:suppressLineNumbers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2023年共拨入9笔，共计393211.29，其中实施</w:t>
      </w:r>
      <w:r>
        <w:rPr>
          <w:rFonts w:hint="default" w:ascii="Times New Roman" w:hAnsi="Times New Roman" w:eastAsia="仿宋_GB2312" w:cs="Times New Roman"/>
          <w:sz w:val="32"/>
          <w:szCs w:val="32"/>
          <w:lang w:eastAsia="zh-CN"/>
        </w:rPr>
        <w:t>基本药物制度</w:t>
      </w:r>
      <w:r>
        <w:rPr>
          <w:rFonts w:hint="default" w:ascii="Times New Roman" w:hAnsi="Times New Roman" w:eastAsia="仿宋_GB2312" w:cs="Times New Roman"/>
          <w:sz w:val="32"/>
          <w:szCs w:val="32"/>
          <w:lang w:val="en-US" w:eastAsia="zh-CN"/>
        </w:rPr>
        <w:t>基本药物中央补助4笔共210158.56元，实施</w:t>
      </w:r>
      <w:r>
        <w:rPr>
          <w:rFonts w:hint="default" w:ascii="Times New Roman" w:hAnsi="Times New Roman" w:eastAsia="仿宋_GB2312" w:cs="Times New Roman"/>
          <w:sz w:val="32"/>
          <w:szCs w:val="32"/>
          <w:lang w:eastAsia="zh-CN"/>
        </w:rPr>
        <w:t>基本药物制度</w:t>
      </w:r>
      <w:r>
        <w:rPr>
          <w:rFonts w:hint="default" w:ascii="Times New Roman" w:hAnsi="Times New Roman" w:eastAsia="仿宋_GB2312" w:cs="Times New Roman"/>
          <w:sz w:val="32"/>
          <w:szCs w:val="32"/>
          <w:lang w:val="en-US" w:eastAsia="zh-CN"/>
        </w:rPr>
        <w:t>基本药物省级补助5笔共183052.73元；</w:t>
      </w:r>
      <w:r>
        <w:rPr>
          <w:rFonts w:hint="default" w:ascii="Times New Roman" w:hAnsi="Times New Roman" w:eastAsia="仿宋_GB2312" w:cs="Times New Roman"/>
          <w:sz w:val="32"/>
          <w:szCs w:val="32"/>
          <w:lang w:eastAsia="zh-CN"/>
        </w:rPr>
        <w:t>基本药物制度结算补助资金</w:t>
      </w:r>
      <w:r>
        <w:rPr>
          <w:rFonts w:hint="default" w:ascii="Times New Roman" w:hAnsi="Times New Roman" w:eastAsia="仿宋_GB2312" w:cs="Times New Roman"/>
          <w:sz w:val="32"/>
          <w:szCs w:val="32"/>
          <w:lang w:val="en-US" w:eastAsia="zh-CN"/>
        </w:rPr>
        <w:t>81900.00元用于发放实施基本药物制度的10位乡村医生的基药补助；131179.2元用于支付单位劳务派遣人员费用；28532.09用于支付残疾人保障金；151600.00元用于口腔科设备及机房改造。</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2023年区级财政预算新冠肺炎疫情防控经费</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2023年拨入经费2276729.63元，用于支付2022年我中心受区卫生健康局委托代为采购的</w:t>
      </w:r>
      <w:r>
        <w:rPr>
          <w:rFonts w:hint="default" w:ascii="Times New Roman" w:hAnsi="Times New Roman" w:eastAsia="仿宋_GB2312" w:cs="Times New Roman"/>
          <w:color w:val="000000"/>
          <w:sz w:val="32"/>
          <w:szCs w:val="32"/>
          <w:highlight w:val="none"/>
          <w:lang w:eastAsia="zh-CN"/>
        </w:rPr>
        <w:t>疫情防控</w:t>
      </w:r>
      <w:r>
        <w:rPr>
          <w:rFonts w:hint="default" w:ascii="Times New Roman" w:hAnsi="Times New Roman" w:eastAsia="仿宋_GB2312" w:cs="Times New Roman"/>
          <w:color w:val="000000"/>
          <w:sz w:val="32"/>
          <w:szCs w:val="32"/>
          <w:highlight w:val="none"/>
          <w:lang w:val="en-US" w:eastAsia="zh-CN"/>
        </w:rPr>
        <w:t>物质欠款。</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lang w:eastAsia="zh-CN"/>
        </w:rPr>
        <w:t>2022年区级部分新冠肺炎疫情防控工作经费</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2023年拨入经费281992.97元，22045.00元用于中水房维护及医废处置；259947.97.00元用于防控人员劳务费。</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lang w:eastAsia="zh-CN"/>
        </w:rPr>
        <w:t>新冠肺炎疫苗省级财政补助资金</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2023年拨入经费9500.00元，用于网络及办公设备维护。</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6、</w:t>
      </w:r>
      <w:r>
        <w:rPr>
          <w:rFonts w:hint="default" w:ascii="Times New Roman" w:hAnsi="Times New Roman" w:eastAsia="仿宋_GB2312" w:cs="Times New Roman"/>
          <w:sz w:val="32"/>
          <w:szCs w:val="32"/>
          <w:lang w:eastAsia="zh-CN"/>
        </w:rPr>
        <w:t>重大活动医疗保障经费</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2023年拨入经费2笔4738.00元，用于支付医疗保障瓶装水费用。</w:t>
      </w:r>
    </w:p>
    <w:p>
      <w:pPr>
        <w:pStyle w:val="9"/>
        <w:keepNext w:val="0"/>
        <w:keepLines w:val="0"/>
        <w:pageBreakBefore w:val="0"/>
        <w:numPr>
          <w:ilvl w:val="0"/>
          <w:numId w:val="0"/>
        </w:numPr>
        <w:kinsoku/>
        <w:wordWrap/>
        <w:overflow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7、</w:t>
      </w:r>
      <w:r>
        <w:rPr>
          <w:rFonts w:hint="default" w:ascii="Times New Roman" w:hAnsi="Times New Roman" w:eastAsia="仿宋_GB2312" w:cs="Times New Roman"/>
          <w:sz w:val="32"/>
          <w:szCs w:val="32"/>
          <w:lang w:eastAsia="zh-CN"/>
        </w:rPr>
        <w:t>从业人员健康体检补助资金</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2023年拨入经费2笔</w:t>
      </w:r>
      <w:r>
        <w:rPr>
          <w:rFonts w:hint="default" w:ascii="Times New Roman" w:hAnsi="Times New Roman" w:eastAsia="仿宋_GB2312" w:cs="Times New Roman"/>
          <w:sz w:val="32"/>
          <w:szCs w:val="32"/>
          <w:highlight w:val="none"/>
          <w:lang w:val="en-US" w:eastAsia="zh-CN"/>
        </w:rPr>
        <w:t>527947.58元，33265.44元用于从业人员体检相关办公费（水、电、办公用品、印刷品、健康卡等）；69615.00元用于支付体检试剂费用；58549.80元用于支付委托检验费用；366517.34元用于支付体检工作人员劳务费。</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8、</w:t>
      </w:r>
      <w:r>
        <w:rPr>
          <w:rFonts w:hint="default" w:ascii="Times New Roman" w:hAnsi="Times New Roman" w:eastAsia="仿宋_GB2312" w:cs="Times New Roman"/>
          <w:sz w:val="32"/>
          <w:szCs w:val="32"/>
          <w:lang w:val="en-US" w:eastAsia="zh-CN"/>
        </w:rPr>
        <w:t>2023年建档立卡贫困人口（已脱贫）家庭医生签约服务个人缴费区级补助资金</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2023年拨入经费910.00元，用于建档立卡贫困人口（已脱贫）家庭医生签约经费兑现。</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eastAsia" w:ascii="Times New Roman" w:hAnsi="Times New Roman"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eastAsia="zh-CN"/>
        </w:rPr>
        <w:t>2023年严重精神障碍患者监护人“以奖代补”经费</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2023年拨入经费9600.00元，用于</w:t>
      </w:r>
      <w:r>
        <w:rPr>
          <w:rFonts w:hint="default" w:ascii="Times New Roman" w:hAnsi="Times New Roman" w:eastAsia="仿宋_GB2312" w:cs="Times New Roman"/>
          <w:color w:val="000000"/>
          <w:sz w:val="32"/>
          <w:szCs w:val="32"/>
          <w:highlight w:val="none"/>
          <w:lang w:val="en-US" w:eastAsia="zh-CN"/>
        </w:rPr>
        <w:t>支付乌龙辖区</w:t>
      </w:r>
      <w:r>
        <w:rPr>
          <w:rFonts w:hint="default" w:ascii="Times New Roman" w:hAnsi="Times New Roman" w:eastAsia="仿宋_GB2312" w:cs="Times New Roman"/>
          <w:sz w:val="32"/>
          <w:szCs w:val="32"/>
        </w:rPr>
        <w:t>严重精神障碍患者</w:t>
      </w:r>
      <w:r>
        <w:rPr>
          <w:rFonts w:hint="default" w:ascii="Times New Roman" w:hAnsi="Times New Roman" w:eastAsia="仿宋_GB2312" w:cs="Times New Roman"/>
          <w:sz w:val="32"/>
          <w:szCs w:val="32"/>
          <w:lang w:val="en-US" w:eastAsia="zh-CN"/>
        </w:rPr>
        <w:t>4人的</w:t>
      </w:r>
      <w:r>
        <w:rPr>
          <w:rFonts w:hint="default" w:ascii="Times New Roman" w:hAnsi="Times New Roman" w:eastAsia="仿宋_GB2312" w:cs="Times New Roman"/>
          <w:sz w:val="32"/>
          <w:szCs w:val="32"/>
        </w:rPr>
        <w:t>监护人监护责任以奖代补补助费用</w:t>
      </w:r>
      <w:r>
        <w:rPr>
          <w:rFonts w:hint="default" w:ascii="Times New Roman" w:hAnsi="Times New Roman" w:eastAsia="仿宋_GB2312" w:cs="Times New Roman"/>
          <w:sz w:val="32"/>
          <w:szCs w:val="32"/>
          <w:lang w:eastAsia="zh-CN"/>
        </w:rPr>
        <w:t>。</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0、</w:t>
      </w:r>
      <w:r>
        <w:rPr>
          <w:rFonts w:hint="default" w:ascii="Times New Roman" w:hAnsi="Times New Roman" w:eastAsia="仿宋_GB2312" w:cs="Times New Roman"/>
          <w:sz w:val="32"/>
          <w:szCs w:val="32"/>
          <w:lang w:eastAsia="zh-CN"/>
        </w:rPr>
        <w:t>新冠病毒感染过渡期医务人员临时性工作补助资金</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仿宋_GB2312" w:hAnsi="仿宋_GB2312" w:eastAsia="仿宋_GB2312" w:cs="仿宋_GB2312"/>
          <w:color w:val="0000FF"/>
          <w:spacing w:val="6"/>
          <w:sz w:val="32"/>
          <w:szCs w:val="32"/>
          <w:highlight w:val="none"/>
          <w:lang w:val="en-US"/>
        </w:rPr>
      </w:pPr>
      <w:r>
        <w:rPr>
          <w:rFonts w:hint="default" w:ascii="Times New Roman" w:hAnsi="Times New Roman" w:eastAsia="仿宋_GB2312" w:cs="Times New Roman"/>
          <w:sz w:val="32"/>
          <w:szCs w:val="32"/>
          <w:lang w:val="en-US" w:eastAsia="zh-CN"/>
        </w:rPr>
        <w:t>2023年拨入经费17099.88元，其中</w:t>
      </w:r>
      <w:r>
        <w:rPr>
          <w:rFonts w:hint="default" w:ascii="Times New Roman" w:hAnsi="Times New Roman" w:eastAsia="仿宋_GB2312" w:cs="Times New Roman"/>
          <w:color w:val="auto"/>
          <w:sz w:val="32"/>
          <w:szCs w:val="32"/>
          <w:lang w:val="en-US" w:eastAsia="zh-CN"/>
        </w:rPr>
        <w:t>中央补助金：12169.88元、省级补助金：1714.00元、区级补助金：3216.00元。</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分，自评完成后将自评工作材料上报呈贡区卫健局汇总。</w:t>
      </w:r>
    </w:p>
    <w:p>
      <w:pPr>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firstLine="612" w:firstLineChars="200"/>
        <w:jc w:val="both"/>
        <w:textAlignment w:val="auto"/>
        <w:rPr>
          <w:rFonts w:hint="eastAsia" w:ascii="仿宋_GB2312"/>
          <w:szCs w:val="32"/>
          <w:highlight w:val="none"/>
        </w:rPr>
      </w:pPr>
      <w:r>
        <w:rPr>
          <w:rFonts w:hint="eastAsia" w:ascii="仿宋_GB2312"/>
          <w:szCs w:val="32"/>
          <w:highlight w:val="none"/>
        </w:rPr>
        <w:t>项目绩效情况分析。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1.</w:t>
      </w:r>
      <w:r>
        <w:rPr>
          <w:rFonts w:hint="eastAsia" w:ascii="仿宋_GB2312"/>
          <w:szCs w:val="32"/>
          <w:highlight w:val="none"/>
        </w:rPr>
        <w:t>项目经济性分析。</w:t>
      </w:r>
      <w:r>
        <w:rPr>
          <w:rFonts w:hint="eastAsia" w:ascii="仿宋_GB2312" w:hAnsi="仿宋_GB2312" w:eastAsia="仿宋_GB2312" w:cs="仿宋_GB2312"/>
          <w:sz w:val="32"/>
          <w:szCs w:val="32"/>
          <w:highlight w:val="none"/>
        </w:rPr>
        <w:t>中心严格按照财政拨款预算批复文件，在预算执行过程中，节约不必要的预算支出，严格控制人员及公用经费开支，未出现决算数大于调整预算数的情况。</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2.</w:t>
      </w:r>
      <w:r>
        <w:rPr>
          <w:rFonts w:hint="eastAsia" w:ascii="仿宋_GB2312"/>
          <w:szCs w:val="32"/>
          <w:highlight w:val="none"/>
        </w:rPr>
        <w:t>项目的效率性分析。</w:t>
      </w:r>
      <w:r>
        <w:rPr>
          <w:rFonts w:hint="eastAsia" w:ascii="仿宋_GB2312" w:hAnsi="仿宋_GB2312" w:eastAsia="仿宋_GB2312" w:cs="仿宋_GB2312"/>
          <w:sz w:val="32"/>
          <w:szCs w:val="32"/>
          <w:highlight w:val="none"/>
        </w:rPr>
        <w:t>中心均按照规定的预算执行进度按质按量执行预算，每个季度通报的各预算单位预算执行进度均达到时序要求，确保开展医疗卫生事务的人员及公用经费开支。</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3.</w:t>
      </w:r>
      <w:r>
        <w:rPr>
          <w:rFonts w:hint="eastAsia" w:ascii="仿宋_GB2312"/>
          <w:szCs w:val="32"/>
          <w:highlight w:val="none"/>
        </w:rPr>
        <w:t>项目的效益性分析。</w:t>
      </w:r>
      <w:r>
        <w:rPr>
          <w:rFonts w:hint="eastAsia" w:ascii="仿宋_GB2312" w:hAnsi="仿宋_GB2312" w:eastAsia="仿宋_GB2312" w:cs="仿宋_GB2312"/>
          <w:sz w:val="32"/>
          <w:szCs w:val="32"/>
          <w:highlight w:val="none"/>
        </w:rPr>
        <w:t>通过基层公共卫生服务项目工作的推进，进一步明确</w:t>
      </w:r>
      <w:r>
        <w:rPr>
          <w:rFonts w:hint="eastAsia" w:ascii="仿宋_GB2312" w:hAnsi="仿宋_GB2312" w:eastAsia="仿宋_GB2312" w:cs="仿宋_GB2312"/>
          <w:sz w:val="32"/>
          <w:szCs w:val="32"/>
          <w:highlight w:val="none"/>
          <w:lang w:val="en-US" w:eastAsia="zh-CN"/>
        </w:rPr>
        <w:t>我中心</w:t>
      </w:r>
      <w:r>
        <w:rPr>
          <w:rFonts w:hint="eastAsia" w:ascii="仿宋_GB2312" w:hAnsi="仿宋_GB2312" w:eastAsia="仿宋_GB2312" w:cs="仿宋_GB2312"/>
          <w:sz w:val="32"/>
          <w:szCs w:val="32"/>
          <w:highlight w:val="none"/>
        </w:rPr>
        <w:t>公共卫生服务职能为主的职能定位。</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highlight w:val="none"/>
          <w:lang w:val="en-US" w:eastAsia="zh-CN"/>
        </w:rPr>
        <w:t>辖区</w:t>
      </w:r>
      <w:r>
        <w:rPr>
          <w:rFonts w:hint="eastAsia" w:ascii="仿宋_GB2312" w:hAnsi="仿宋_GB2312" w:eastAsia="仿宋_GB2312" w:cs="仿宋_GB2312"/>
          <w:sz w:val="32"/>
          <w:szCs w:val="32"/>
          <w:highlight w:val="none"/>
        </w:rPr>
        <w:t>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提升了辖区居民的健康素养水平和就医感受，</w:t>
      </w:r>
      <w:r>
        <w:rPr>
          <w:rFonts w:hint="eastAsia" w:ascii="仿宋_GB2312" w:hAnsi="仿宋_GB2312" w:eastAsia="仿宋_GB2312" w:cs="仿宋_GB2312"/>
          <w:color w:val="auto"/>
          <w:sz w:val="32"/>
          <w:szCs w:val="32"/>
          <w:highlight w:val="none"/>
        </w:rPr>
        <w:t>居民通过基层卫生服务机构能够获得安全、有效、经济、方便、综合、连续的公共卫生和基本医疗服务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得到了居民的认可。</w:t>
      </w:r>
    </w:p>
    <w:p>
      <w:pPr>
        <w:ind w:firstLine="612"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pPr>
        <w:ind w:firstLine="612"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92</w:t>
      </w:r>
      <w:r>
        <w:rPr>
          <w:rFonts w:hint="eastAsia" w:ascii="仿宋_GB2312"/>
          <w:szCs w:val="32"/>
          <w:highlight w:val="none"/>
          <w:shd w:val="clear" w:color="auto" w:fill="auto"/>
        </w:rPr>
        <w:t>分</w:t>
      </w:r>
      <w:r>
        <w:rPr>
          <w:rFonts w:hint="eastAsia" w:ascii="仿宋_GB2312"/>
          <w:szCs w:val="32"/>
          <w:highlight w:val="none"/>
        </w:rPr>
        <w:t>，评价等级为优秀。</w:t>
      </w:r>
    </w:p>
    <w:p>
      <w:pPr>
        <w:numPr>
          <w:ilvl w:val="0"/>
          <w:numId w:val="4"/>
        </w:numPr>
        <w:ind w:firstLine="612" w:firstLineChars="200"/>
        <w:rPr>
          <w:rFonts w:hint="eastAsia" w:ascii="仿宋_GB2312"/>
          <w:b/>
          <w:szCs w:val="32"/>
          <w:highlight w:val="none"/>
        </w:rPr>
      </w:pPr>
      <w:r>
        <w:rPr>
          <w:rFonts w:hint="eastAsia" w:ascii="仿宋_GB2312"/>
          <w:b/>
          <w:szCs w:val="32"/>
          <w:highlight w:val="none"/>
        </w:rPr>
        <w:t>绩效评价结果应用建议</w:t>
      </w:r>
    </w:p>
    <w:p>
      <w:pPr>
        <w:numPr>
          <w:ilvl w:val="0"/>
          <w:numId w:val="0"/>
        </w:numPr>
        <w:ind w:firstLine="612"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pPr>
        <w:ind w:firstLine="612" w:firstLineChars="200"/>
        <w:rPr>
          <w:rFonts w:ascii="仿宋_GB2312"/>
          <w:b/>
          <w:szCs w:val="32"/>
          <w:highlight w:val="none"/>
        </w:rPr>
      </w:pPr>
      <w:r>
        <w:rPr>
          <w:rFonts w:hint="eastAsia" w:ascii="仿宋_GB2312"/>
          <w:b/>
          <w:szCs w:val="32"/>
          <w:highlight w:val="none"/>
        </w:rPr>
        <w:t>七、主要经验及做法、存在的问题和建议。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（一）专项管理方面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专项立项依据充分</w:t>
      </w:r>
      <w:r>
        <w:rPr>
          <w:rFonts w:hint="eastAsia" w:ascii="仿宋_GB2312" w:hAnsi="仿宋_GB2312" w:eastAsia="仿宋_GB2312" w:cs="仿宋_GB2312"/>
          <w:sz w:val="32"/>
          <w:szCs w:val="32"/>
          <w:highlight w:val="none"/>
          <w:lang w:eastAsia="zh-CN"/>
        </w:rPr>
        <w:t>，严格执行</w:t>
      </w:r>
      <w:r>
        <w:rPr>
          <w:rFonts w:hint="eastAsia" w:ascii="仿宋_GB2312" w:hAnsi="仿宋_GB2312" w:eastAsia="仿宋_GB2312" w:cs="仿宋_GB2312"/>
          <w:sz w:val="32"/>
          <w:szCs w:val="32"/>
          <w:highlight w:val="none"/>
        </w:rPr>
        <w:t>资金管理办法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资金分配方面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w:t>
      </w:r>
      <w:r>
        <w:rPr>
          <w:rFonts w:hint="eastAsia" w:ascii="仿宋_GB2312" w:hAnsi="仿宋_GB2312" w:eastAsia="仿宋_GB2312" w:cs="仿宋_GB2312"/>
          <w:sz w:val="32"/>
          <w:szCs w:val="32"/>
          <w:highlight w:val="none"/>
          <w:lang w:eastAsia="zh-CN"/>
        </w:rPr>
        <w:t>比较</w:t>
      </w:r>
      <w:r>
        <w:rPr>
          <w:rFonts w:hint="eastAsia" w:ascii="仿宋_GB2312" w:hAnsi="仿宋_GB2312" w:eastAsia="仿宋_GB2312" w:cs="仿宋_GB2312"/>
          <w:sz w:val="32"/>
          <w:szCs w:val="32"/>
          <w:highlight w:val="none"/>
        </w:rPr>
        <w:t>合理，突出重点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无散小差现象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资金拨付方面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有时存在候滞后情况，但</w:t>
      </w:r>
      <w:r>
        <w:rPr>
          <w:rFonts w:hint="eastAsia" w:ascii="仿宋_GB2312" w:hAnsi="仿宋_GB2312" w:eastAsia="仿宋_GB2312" w:cs="仿宋_GB2312"/>
          <w:sz w:val="32"/>
          <w:szCs w:val="32"/>
          <w:highlight w:val="none"/>
        </w:rPr>
        <w:t>无滞留、闲置等现象。</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资金使用方面。资金使用合规，无截留、挪用等现象，资金使用产生</w:t>
      </w:r>
      <w:r>
        <w:rPr>
          <w:rFonts w:hint="eastAsia" w:ascii="仿宋_GB2312" w:hAnsi="仿宋_GB2312" w:eastAsia="仿宋_GB2312" w:cs="仿宋_GB2312"/>
          <w:sz w:val="32"/>
          <w:szCs w:val="32"/>
          <w:highlight w:val="none"/>
          <w:lang w:eastAsia="zh-CN"/>
        </w:rPr>
        <w:t>了一定</w:t>
      </w:r>
      <w:r>
        <w:rPr>
          <w:rFonts w:hint="eastAsia"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lang w:eastAsia="zh-CN"/>
        </w:rPr>
        <w:t>，实现了基本公共卫生服务均等化，群众受益的覆盖面有所增加、服务质量进一步提高</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1.完善制度建设，凭制度不断推进绩效管理，强化绩效管理工作，确保绩效管理工作更加规范、合理。</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eastAsia="仿宋_GB2312" w:hAnsiTheme="minorHAnsi" w:cstheme="minorBidi"/>
          <w:kern w:val="2"/>
          <w:sz w:val="32"/>
          <w:szCs w:val="32"/>
          <w:lang w:val="en-US" w:eastAsia="zh-CN" w:bidi="ar-SA"/>
        </w:rPr>
        <w:t>2.加强预算绩效监督管理，强化监督方式，以监督推进各</w:t>
      </w:r>
      <w:r>
        <w:rPr>
          <w:rFonts w:hint="eastAsia" w:ascii="仿宋_GB2312" w:hAnsiTheme="minorHAnsi" w:cstheme="minorBidi"/>
          <w:kern w:val="2"/>
          <w:sz w:val="32"/>
          <w:szCs w:val="32"/>
          <w:lang w:val="en-US" w:eastAsia="zh-CN" w:bidi="ar-SA"/>
        </w:rPr>
        <w:t>项目</w:t>
      </w:r>
      <w:r>
        <w:rPr>
          <w:rFonts w:hint="eastAsia" w:ascii="仿宋_GB2312" w:eastAsia="仿宋_GB2312" w:hAnsiTheme="minorHAnsi" w:cstheme="minorBidi"/>
          <w:kern w:val="2"/>
          <w:sz w:val="32"/>
          <w:szCs w:val="32"/>
          <w:lang w:val="en-US" w:eastAsia="zh-CN" w:bidi="ar-SA"/>
        </w:rPr>
        <w:t>更加高效、规范开展。</w:t>
      </w:r>
    </w:p>
    <w:p>
      <w:pPr>
        <w:ind w:firstLine="612" w:firstLineChars="200"/>
        <w:rPr>
          <w:highlight w:val="none"/>
        </w:rPr>
      </w:pPr>
      <w:r>
        <w:rPr>
          <w:rFonts w:hint="eastAsia" w:ascii="仿宋_GB2312"/>
          <w:b/>
          <w:szCs w:val="32"/>
          <w:highlight w:val="none"/>
        </w:rPr>
        <w:t>八、其他需说明的问题。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无其他需要说明的问题。</w:t>
      </w:r>
    </w:p>
    <w:p>
      <w:pPr>
        <w:widowControl/>
        <w:spacing w:before="293" w:beforeLines="50" w:after="293" w:afterLines="50"/>
        <w:ind w:firstLine="612"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附件：项目支出绩效自评指标评</w:t>
      </w:r>
    </w:p>
    <w:p>
      <w:pPr>
        <w:widowControl/>
        <w:spacing w:before="293" w:beforeLines="50" w:after="293" w:afterLines="50"/>
        <w:ind w:firstLine="612" w:firstLineChars="200"/>
        <w:jc w:val="both"/>
        <w:rPr>
          <w:rFonts w:hint="eastAsia" w:ascii="仿宋_GB2312" w:hAnsi="仿宋_GB2312" w:eastAsia="仿宋_GB2312" w:cs="仿宋_GB2312"/>
          <w:kern w:val="2"/>
          <w:sz w:val="32"/>
          <w:szCs w:val="32"/>
          <w:highlight w:val="none"/>
          <w:lang w:val="en-US" w:eastAsia="zh-CN" w:bidi="ar-SA"/>
        </w:rPr>
      </w:pPr>
      <w:bookmarkStart w:id="0" w:name="_GoBack"/>
      <w:bookmarkEnd w:id="0"/>
    </w:p>
    <w:p>
      <w:pPr>
        <w:widowControl/>
        <w:spacing w:before="293" w:beforeLines="50" w:after="293" w:afterLines="50"/>
        <w:ind w:firstLine="612" w:firstLineChars="200"/>
        <w:jc w:val="both"/>
        <w:rPr>
          <w:rFonts w:hint="default" w:ascii="仿宋_GB2312" w:hAnsi="仿宋_GB2312" w:eastAsia="仿宋_GB2312" w:cs="仿宋_GB2312"/>
          <w:kern w:val="2"/>
          <w:sz w:val="32"/>
          <w:szCs w:val="32"/>
          <w:highlight w:val="none"/>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昆明市呈贡区</w:t>
      </w:r>
      <w:r>
        <w:rPr>
          <w:rFonts w:hint="eastAsia" w:ascii="仿宋_GB2312" w:hAnsi="仿宋_GB2312" w:eastAsia="仿宋_GB2312" w:cs="仿宋_GB2312"/>
          <w:sz w:val="32"/>
          <w:szCs w:val="32"/>
          <w:highlight w:val="none"/>
          <w:lang w:val="en-US" w:eastAsia="zh-CN"/>
        </w:rPr>
        <w:t>乌龙街道社区卫生服务中心</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2024年2月22日 </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tbl>
      <w:tblPr>
        <w:tblStyle w:val="7"/>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11"/>
            <w:tcBorders>
              <w:top w:val="nil"/>
              <w:left w:val="nil"/>
              <w:right w:val="nil"/>
            </w:tcBorders>
            <w:noWrap w:val="0"/>
            <w:vAlign w:val="center"/>
          </w:tcPr>
          <w:p>
            <w:pPr>
              <w:widowControl/>
              <w:spacing w:before="293" w:beforeLines="50" w:after="293" w:afterLines="50"/>
              <w:jc w:val="center"/>
              <w:rPr>
                <w:rFonts w:ascii="黑体" w:hAnsi="宋体" w:eastAsia="黑体" w:cs="宋体"/>
                <w:kern w:val="0"/>
                <w:sz w:val="36"/>
                <w:szCs w:val="36"/>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w:t>
            </w:r>
            <w:r>
              <w:rPr>
                <w:rFonts w:hint="eastAsia" w:ascii="黑体" w:hAnsi="宋体" w:eastAsia="黑体" w:cs="宋体"/>
                <w:kern w:val="0"/>
                <w:sz w:val="36"/>
                <w:szCs w:val="36"/>
                <w:lang w:eastAsia="zh-CN"/>
              </w:rPr>
              <w:t>呈贡区乌龙街道社区卫生服务中心</w:t>
            </w: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15" w:type="dxa"/>
          <w:trHeight w:val="907" w:hRule="atLeast"/>
          <w:tblHeader/>
        </w:trPr>
        <w:tc>
          <w:tcPr>
            <w:tcW w:w="616"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190" w:hanging="196"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5"/>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94</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0" w:num="1"/>
      <w:rtlGutter w:val="0"/>
      <w:docGrid w:type="linesAndChars" w:linePitch="608"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9D99F3"/>
    <w:multiLevelType w:val="singleLevel"/>
    <w:tmpl w:val="F99D99F3"/>
    <w:lvl w:ilvl="0" w:tentative="0">
      <w:start w:val="6"/>
      <w:numFmt w:val="chineseCounting"/>
      <w:suff w:val="nothing"/>
      <w:lvlText w:val="%1、"/>
      <w:lvlJc w:val="left"/>
      <w:rPr>
        <w:rFonts w:hint="eastAsia"/>
      </w:rPr>
    </w:lvl>
  </w:abstractNum>
  <w:abstractNum w:abstractNumId="1">
    <w:nsid w:val="FA9E0A11"/>
    <w:multiLevelType w:val="singleLevel"/>
    <w:tmpl w:val="FA9E0A11"/>
    <w:lvl w:ilvl="0" w:tentative="0">
      <w:start w:val="3"/>
      <w:numFmt w:val="chineseCounting"/>
      <w:suff w:val="nothing"/>
      <w:lvlText w:val="（%1）"/>
      <w:lvlJc w:val="left"/>
      <w:rPr>
        <w:rFonts w:hint="eastAsia"/>
      </w:rPr>
    </w:lvl>
  </w:abstractNum>
  <w:abstractNum w:abstractNumId="2">
    <w:nsid w:val="35D43B7E"/>
    <w:multiLevelType w:val="singleLevel"/>
    <w:tmpl w:val="35D43B7E"/>
    <w:lvl w:ilvl="0" w:tentative="0">
      <w:start w:val="2"/>
      <w:numFmt w:val="chineseCounting"/>
      <w:suff w:val="nothing"/>
      <w:lvlText w:val="（%1）"/>
      <w:lvlJc w:val="left"/>
      <w:rPr>
        <w:rFonts w:hint="eastAsia"/>
      </w:rPr>
    </w:lvl>
  </w:abstractNum>
  <w:abstractNum w:abstractNumId="3">
    <w:nsid w:val="7AA5F609"/>
    <w:multiLevelType w:val="singleLevel"/>
    <w:tmpl w:val="7AA5F609"/>
    <w:lvl w:ilvl="0" w:tentative="0">
      <w:start w:val="2"/>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3"/>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2E35293"/>
    <w:rsid w:val="05AE36CA"/>
    <w:rsid w:val="0C4A0131"/>
    <w:rsid w:val="0F9C0A4B"/>
    <w:rsid w:val="10455972"/>
    <w:rsid w:val="108B1206"/>
    <w:rsid w:val="12A25546"/>
    <w:rsid w:val="1C1C3415"/>
    <w:rsid w:val="1D954836"/>
    <w:rsid w:val="20050EA8"/>
    <w:rsid w:val="2035478B"/>
    <w:rsid w:val="281C1D71"/>
    <w:rsid w:val="2B63268D"/>
    <w:rsid w:val="2B926DDF"/>
    <w:rsid w:val="2C900DFD"/>
    <w:rsid w:val="32E7364E"/>
    <w:rsid w:val="33FB1092"/>
    <w:rsid w:val="36CB5131"/>
    <w:rsid w:val="378A5996"/>
    <w:rsid w:val="3BDA767F"/>
    <w:rsid w:val="409B517A"/>
    <w:rsid w:val="42D11161"/>
    <w:rsid w:val="43F23F93"/>
    <w:rsid w:val="47441FBB"/>
    <w:rsid w:val="49AC74A5"/>
    <w:rsid w:val="4C9D15DC"/>
    <w:rsid w:val="517A3F69"/>
    <w:rsid w:val="530A53F1"/>
    <w:rsid w:val="55A904A3"/>
    <w:rsid w:val="563752A3"/>
    <w:rsid w:val="5A3C1FFE"/>
    <w:rsid w:val="5A3C6978"/>
    <w:rsid w:val="5B180558"/>
    <w:rsid w:val="5CD82B27"/>
    <w:rsid w:val="66402D4F"/>
    <w:rsid w:val="665D4F73"/>
    <w:rsid w:val="66B21CD0"/>
    <w:rsid w:val="67600811"/>
    <w:rsid w:val="6C692E30"/>
    <w:rsid w:val="6E16530A"/>
    <w:rsid w:val="6F0B2399"/>
    <w:rsid w:val="6F4D77A4"/>
    <w:rsid w:val="6FB14035"/>
    <w:rsid w:val="79EB5903"/>
    <w:rsid w:val="7A223E78"/>
    <w:rsid w:val="7A942884"/>
    <w:rsid w:val="7AF66669"/>
    <w:rsid w:val="7B920277"/>
    <w:rsid w:val="7C4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 w:hAnsi="??" w:cs="Times New Roman"/>
      <w:sz w:val="28"/>
      <w:szCs w:val="24"/>
    </w:rPr>
  </w:style>
  <w:style w:type="paragraph" w:styleId="3">
    <w:name w:val="Body Text"/>
    <w:basedOn w:val="1"/>
    <w:unhideWhenUsed/>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列出段落1"/>
    <w:basedOn w:val="1"/>
    <w:qFormat/>
    <w:uiPriority w:val="99"/>
    <w:pPr>
      <w:ind w:firstLine="420"/>
    </w:p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4421</Words>
  <Characters>4604</Characters>
  <Lines>0</Lines>
  <Paragraphs>0</Paragraphs>
  <TotalTime>16</TotalTime>
  <ScaleCrop>false</ScaleCrop>
  <LinksUpToDate>false</LinksUpToDate>
  <CharactersWithSpaces>4611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Shiyi</cp:lastModifiedBy>
  <cp:lastPrinted>2024-02-20T06:03:00Z</cp:lastPrinted>
  <dcterms:modified xsi:type="dcterms:W3CDTF">2024-09-26T07:59:28Z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C5990D30A59C4B6F8E2336441727C77F</vt:lpwstr>
  </property>
</Properties>
</file>