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after="0"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after="0"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after="0"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44"/>
          <w:szCs w:val="44"/>
        </w:rPr>
        <w:t>昆明市呈贡区第六小学2023年其他普通教育支出项目支出绩效报告</w:t>
      </w:r>
    </w:p>
    <w:p>
      <w:pPr>
        <w:keepNext w:val="0"/>
        <w:keepLines w:val="0"/>
        <w:pageBreakBefore w:val="0"/>
        <w:widowControl w:val="0"/>
        <w:kinsoku/>
        <w:wordWrap/>
        <w:overflowPunct/>
        <w:autoSpaceDE/>
        <w:autoSpaceDN/>
        <w:bidi w:val="0"/>
        <w:adjustRightInd/>
        <w:snapToGrid/>
        <w:spacing w:after="0"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业务经费项目属于（2050299）其他普通教育支出共计</w:t>
      </w:r>
      <w:r>
        <w:rPr>
          <w:rFonts w:hint="default" w:ascii="Times New Roman" w:hAnsi="Times New Roman" w:cs="Times New Roman"/>
          <w:szCs w:val="32"/>
        </w:rPr>
        <w:t>26835.80</w:t>
      </w:r>
      <w:r>
        <w:rPr>
          <w:rFonts w:hint="default" w:ascii="Times New Roman" w:hAnsi="Times New Roman" w:cs="Times New Roman"/>
          <w:szCs w:val="32"/>
        </w:rPr>
        <w:t>元，其中包含义务教育补助经费（营养改善）省级专项资金</w:t>
      </w:r>
      <w:r>
        <w:rPr>
          <w:rFonts w:hint="default" w:ascii="Times New Roman" w:hAnsi="Times New Roman" w:cs="Times New Roman"/>
          <w:szCs w:val="32"/>
        </w:rPr>
        <w:t>26035.80</w:t>
      </w:r>
      <w:r>
        <w:rPr>
          <w:rFonts w:hint="default" w:ascii="Times New Roman" w:hAnsi="Times New Roman" w:cs="Times New Roman"/>
          <w:szCs w:val="32"/>
        </w:rPr>
        <w:t>元；昆明市学科带头人和骨干教师工作经费8</w:t>
      </w:r>
      <w:r>
        <w:rPr>
          <w:rFonts w:hint="default" w:ascii="Times New Roman" w:hAnsi="Times New Roman" w:cs="Times New Roman"/>
          <w:szCs w:val="32"/>
        </w:rPr>
        <w:t>00.00</w:t>
      </w:r>
      <w:r>
        <w:rPr>
          <w:rFonts w:hint="default" w:ascii="Times New Roman" w:hAnsi="Times New Roman" w:cs="Times New Roman"/>
          <w:szCs w:val="32"/>
        </w:rPr>
        <w:t>元。</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绩效目标设定：项目支出方面的任务是弥补学校基本支出方面的不足，用于学校日常运营产生的专用材料费、办公费、水费、电费、培训费、劳务费等。</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其他普通教育支出项目共使用</w:t>
      </w:r>
      <w:r>
        <w:rPr>
          <w:rFonts w:hint="default" w:ascii="Times New Roman" w:hAnsi="Times New Roman" w:cs="Times New Roman"/>
          <w:szCs w:val="32"/>
        </w:rPr>
        <w:t>2</w:t>
      </w:r>
      <w:r>
        <w:rPr>
          <w:rFonts w:hint="default" w:ascii="Times New Roman" w:hAnsi="Times New Roman" w:cs="Times New Roman"/>
          <w:szCs w:val="32"/>
        </w:rPr>
        <w:t>个项目资金，财政拨款资金总计</w:t>
      </w:r>
      <w:r>
        <w:rPr>
          <w:rFonts w:hint="default" w:ascii="Times New Roman" w:hAnsi="Times New Roman" w:cs="Times New Roman"/>
          <w:szCs w:val="32"/>
        </w:rPr>
        <w:t>102186.37</w:t>
      </w:r>
      <w:r>
        <w:rPr>
          <w:rFonts w:hint="default" w:ascii="Times New Roman" w:hAnsi="Times New Roman" w:cs="Times New Roman"/>
          <w:szCs w:val="32"/>
        </w:rPr>
        <w:t>元，其中上年结转</w:t>
      </w:r>
      <w:r>
        <w:rPr>
          <w:rFonts w:hint="default" w:ascii="Times New Roman" w:hAnsi="Times New Roman" w:cs="Times New Roman"/>
          <w:szCs w:val="32"/>
        </w:rPr>
        <w:t>101386.37</w:t>
      </w:r>
      <w:r>
        <w:rPr>
          <w:rFonts w:hint="default" w:ascii="Times New Roman" w:hAnsi="Times New Roman" w:cs="Times New Roman"/>
          <w:szCs w:val="32"/>
        </w:rPr>
        <w:t>元，本年收到财政拨款</w:t>
      </w:r>
      <w:r>
        <w:rPr>
          <w:rFonts w:hint="default" w:ascii="Times New Roman" w:hAnsi="Times New Roman" w:cs="Times New Roman"/>
          <w:szCs w:val="32"/>
        </w:rPr>
        <w:t>800.00</w:t>
      </w:r>
      <w:r>
        <w:rPr>
          <w:rFonts w:hint="default" w:ascii="Times New Roman" w:hAnsi="Times New Roman" w:cs="Times New Roman"/>
          <w:szCs w:val="32"/>
        </w:rPr>
        <w:t>元，其他资金</w:t>
      </w:r>
      <w:r>
        <w:rPr>
          <w:rFonts w:hint="default" w:ascii="Times New Roman" w:hAnsi="Times New Roman" w:cs="Times New Roman"/>
          <w:szCs w:val="32"/>
        </w:rPr>
        <w:t>0</w:t>
      </w:r>
      <w:r>
        <w:rPr>
          <w:rFonts w:hint="default" w:ascii="Times New Roman" w:hAnsi="Times New Roman" w:cs="Times New Roman"/>
          <w:szCs w:val="32"/>
        </w:rPr>
        <w:t>元，项目资金本年实际支出</w:t>
      </w:r>
      <w:r>
        <w:rPr>
          <w:rFonts w:hint="default" w:ascii="Times New Roman" w:hAnsi="Times New Roman" w:cs="Times New Roman"/>
          <w:szCs w:val="32"/>
        </w:rPr>
        <w:t>26835.80</w:t>
      </w:r>
      <w:r>
        <w:rPr>
          <w:rFonts w:hint="default" w:ascii="Times New Roman" w:hAnsi="Times New Roman" w:cs="Times New Roman"/>
          <w:szCs w:val="32"/>
        </w:rPr>
        <w:t>元，年末结转和结余</w:t>
      </w:r>
      <w:r>
        <w:rPr>
          <w:rFonts w:hint="default" w:ascii="Times New Roman" w:hAnsi="Times New Roman" w:cs="Times New Roman"/>
          <w:szCs w:val="32"/>
        </w:rPr>
        <w:t>75350.57</w:t>
      </w:r>
      <w:r>
        <w:rPr>
          <w:rFonts w:hint="default" w:ascii="Times New Roman" w:hAnsi="Times New Roman" w:cs="Times New Roman"/>
          <w:szCs w:val="32"/>
        </w:rPr>
        <w:t>元。</w:t>
      </w:r>
      <w:bookmarkStart w:id="0" w:name="_GoBack"/>
      <w:bookmarkEnd w:id="0"/>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资金管理情况：校委会对业务经费项目资金在区政府管理办法基础上讨论制定学校项目资金管理制度，并且按照相关管理办法规范学校业务经费项目资金使用，专项资金严格按规定使用，分别核算管理，专款专用。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组织实施情况：1.由校委会小组成员负责，实施前期调研工作，充分了解评价资金的有关情况，收集查阅与评价项目有关的政策及相关资料。 根据了解到的情况和收集到的资料，并结合实际情况，制定符合实际的评价指标体系和自评方案。2.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做出评判。（4）对照评价指标体系与标准，通过分析相关评价资料，对部门整体绩效情况进行综合性评判并利用算术平均法计算打分。（5）形成评价结论并撰写自评报告。</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的进行检查和监督，及时协调解决困难和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有效性分析：科学、合理的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（一）无专项管理方面的问题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（二）无资金分配方面的问题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（三）无资金拨付方面的问题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（四）无资金使用方面的问题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校委会成员定期开展项目绩效工作管理会议，完善项目日常管理，完善学校教育教学软硬件设施，保障学校日常教育教学工作有效开展。</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kinsoku/>
        <w:wordWrap/>
        <w:overflowPunct/>
        <w:topLinePunct/>
        <w:autoSpaceDE/>
        <w:autoSpaceDN/>
        <w:bidi w:val="0"/>
        <w:adjustRightInd/>
        <w:snapToGrid/>
        <w:spacing w:after="0"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提升教师队伍素质，开展多样文化活动培养学生学习兴趣，提升学生整体综合素质，有效开展学生文艺活动，得到孩子和家长以及社会的肯定。</w:t>
      </w:r>
    </w:p>
    <w:sectPr>
      <w:pgSz w:w="11906" w:h="16838"/>
      <w:pgMar w:top="1723" w:right="1800" w:bottom="1723" w:left="1800" w:header="851" w:footer="992" w:gutter="0"/>
      <w:cols w:space="0" w:num="1"/>
      <w:docGrid w:type="linesAndChars" w:linePitch="608" w:charSpace="-47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AC"/>
    <w:rsid w:val="00270407"/>
    <w:rsid w:val="006A53AC"/>
    <w:rsid w:val="00AB642D"/>
    <w:rsid w:val="05AE36CA"/>
    <w:rsid w:val="378A5996"/>
    <w:rsid w:val="3D032FD9"/>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uto"/>
      <w:jc w:val="left"/>
    </w:pPr>
    <w:rPr>
      <w:sz w:val="18"/>
      <w:szCs w:val="18"/>
    </w:rPr>
  </w:style>
  <w:style w:type="paragraph" w:styleId="3">
    <w:name w:val="header"/>
    <w:basedOn w:val="1"/>
    <w:link w:val="6"/>
    <w:uiPriority w:val="0"/>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1869</Words>
  <Characters>103</Characters>
  <Lines>1</Lines>
  <Paragraphs>3</Paragraphs>
  <TotalTime>10</TotalTime>
  <ScaleCrop>false</ScaleCrop>
  <LinksUpToDate>false</LinksUpToDate>
  <CharactersWithSpaces>1969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2024-07-16T07:11:59Z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C57F0D9EED7E479898548E901EBD42F9</vt:lpwstr>
  </property>
</Properties>
</file>