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p>
    <w:p>
      <w:pPr>
        <w:keepNext w:val="0"/>
        <w:keepLines w:val="0"/>
        <w:pageBreakBefore w:val="0"/>
        <w:kinsoku/>
        <w:wordWrap/>
        <w:overflowPunct/>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义务教育课后服务资金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项目支出绩效报告</w:t>
      </w:r>
    </w:p>
    <w:p>
      <w:pPr>
        <w:keepNext w:val="0"/>
        <w:keepLines w:val="0"/>
        <w:pageBreakBefore w:val="0"/>
        <w:kinsoku/>
        <w:wordWrap/>
        <w:overflowPunct/>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（自评）</w:t>
      </w:r>
    </w:p>
    <w:p>
      <w:pPr>
        <w:keepNext w:val="0"/>
        <w:keepLines w:val="0"/>
        <w:pageBreakBefore w:val="0"/>
        <w:kinsoku/>
        <w:wordWrap/>
        <w:overflowPunct/>
        <w:autoSpaceDE/>
        <w:bidi w:val="0"/>
        <w:adjustRightInd/>
        <w:snapToGrid/>
        <w:spacing w:line="560" w:lineRule="exact"/>
        <w:ind w:firstLine="834" w:firstLineChars="200"/>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highlight w:val="none"/>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根据《昆明市呈贡区教育体育局关于下达2022年义务教育课后服务资金的通知》（呈教通【2023】4号），呈贡区2022年义务教育课后服务资金下达至我校346050.48元，特预算义务教育课后服务资金项目。</w:t>
      </w:r>
      <w:r>
        <w:rPr>
          <w:rFonts w:hint="eastAsia" w:ascii="仿宋_GB2312"/>
          <w:color w:val="000000" w:themeColor="text1"/>
          <w:szCs w:val="32"/>
          <w:highlight w:val="none"/>
          <w:lang w:val="en-US" w:eastAsia="zh-CN"/>
          <w14:textFill>
            <w14:solidFill>
              <w14:schemeClr w14:val="tx1"/>
            </w14:solidFill>
          </w14:textFill>
        </w:rPr>
        <w:t>此资金主要用于义务教育课后服务财政保障部分，具体用于发放课时补助等。</w:t>
      </w:r>
    </w:p>
    <w:p>
      <w:pPr>
        <w:keepNext w:val="0"/>
        <w:keepLines w:val="0"/>
        <w:pageBreakBefore w:val="0"/>
        <w:numPr>
          <w:ilvl w:val="0"/>
          <w:numId w:val="1"/>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项目实施和资金使用计划》，设立项目绩效目标为形成有特色、高质量的课后服务体系，全面育人水平明显提高，助推学生过重作业负担和校外培训负担、家庭教育支出和家长精力负担明显减轻。</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师生家长满意度一个二级指标，二级指标对应下设三级指标和得分。我校绩效指标清晰、细化、可衡量。到年末，所有指标均已达标，自评得分为100分。</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主管部门准确分配资金，通知入库，学校完成入库后，财政及时下达指标。截止2023年3月份，项目资金（公共财政预算资金）已安排落实到位。</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截止年底，项目共支出</w:t>
      </w:r>
      <w:r>
        <w:rPr>
          <w:rFonts w:hint="eastAsia" w:ascii="仿宋_GB2312"/>
          <w:color w:val="000000" w:themeColor="text1"/>
          <w:szCs w:val="32"/>
          <w:lang w:val="en-US" w:eastAsia="zh-CN"/>
          <w14:textFill>
            <w14:solidFill>
              <w14:schemeClr w14:val="tx1"/>
            </w14:solidFill>
          </w14:textFill>
        </w:rPr>
        <w:t>346050.48元，</w:t>
      </w:r>
      <w:r>
        <w:rPr>
          <w:rFonts w:hint="eastAsia" w:ascii="仿宋_GB2312" w:hAnsi="仿宋_GB2312" w:cs="仿宋_GB2312"/>
          <w:color w:val="000000" w:themeColor="text1"/>
          <w:szCs w:val="32"/>
          <w:lang w:val="en-US" w:eastAsia="zh-CN"/>
          <w14:textFill>
            <w14:solidFill>
              <w14:schemeClr w14:val="tx1"/>
            </w14:solidFill>
          </w14:textFill>
        </w:rPr>
        <w:t>达到预算执行支出进度要求，做到经济高效。</w:t>
      </w:r>
      <w:r>
        <w:rPr>
          <w:rFonts w:hint="eastAsia" w:ascii="仿宋_GB2312"/>
          <w:color w:val="000000" w:themeColor="text1"/>
          <w:szCs w:val="32"/>
          <w:lang w:val="en-US" w:eastAsia="zh-CN"/>
          <w14:textFill>
            <w14:solidFill>
              <w14:schemeClr w14:val="tx1"/>
            </w14:solidFill>
          </w14:textFill>
        </w:rPr>
        <w:t>主要用于发放参与课后服务教师课时补助和支付外请培训机构开展课后服务活动费用。</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我校项目资金进行独立核算管理，实行财务公开。未虚列虚支、虚报冒领和挤占挪用，确保按规定用途使用，做到专款专用。</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我校项目组织管理机构健全，前期成立工作领导小组，商讨制定《项目实施和资金使用计划》，然后按《计划》开展课后服务活动，不断提高服务水平，按学期结算服务费用。</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守《项目管理办法》《昆明市呈贡区教育体育局等五部门关于印发呈贡区进一步做好义务教育课后服务实施方案的通知》（呈教通【2023】6号），结合实际，制定《昆明市呈贡区第一小学课后服务实施方案》，做好项目日常监督和</w:t>
      </w:r>
      <w:r>
        <w:rPr>
          <w:rFonts w:hint="default" w:ascii="仿宋_GB2312"/>
          <w:color w:val="000000" w:themeColor="text1"/>
          <w:szCs w:val="32"/>
          <w:lang w:val="en-US" w:eastAsia="zh-CN"/>
          <w14:textFill>
            <w14:solidFill>
              <w14:schemeClr w14:val="tx1"/>
            </w14:solidFill>
          </w14:textFill>
        </w:rPr>
        <w:t>重点绩效跟踪监控</w:t>
      </w:r>
      <w:r>
        <w:rPr>
          <w:rFonts w:hint="eastAsia" w:ascii="仿宋_GB2312"/>
          <w:color w:val="000000" w:themeColor="text1"/>
          <w:szCs w:val="32"/>
          <w:lang w:val="en-US" w:eastAsia="zh-CN"/>
          <w14:textFill>
            <w14:solidFill>
              <w14:schemeClr w14:val="tx1"/>
            </w14:solidFill>
          </w14:textFill>
        </w:rPr>
        <w:t>，确保项目实施规范、有效。</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kinsoku/>
        <w:wordWrap/>
        <w:overflowPunct/>
        <w:topLinePunct/>
        <w:autoSpaceDE/>
        <w:bidi w:val="0"/>
        <w:adjustRightInd/>
        <w:snapToGrid/>
        <w:spacing w:line="560" w:lineRule="exact"/>
        <w:ind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的</w:t>
      </w:r>
      <w:r>
        <w:rPr>
          <w:rFonts w:hint="eastAsia" w:ascii="仿宋_GB2312"/>
          <w:color w:val="000000" w:themeColor="text1"/>
          <w:szCs w:val="32"/>
          <w14:textFill>
            <w14:solidFill>
              <w14:schemeClr w14:val="tx1"/>
            </w14:solidFill>
          </w14:textFill>
        </w:rPr>
        <w:t>经济性分析</w:t>
      </w:r>
    </w:p>
    <w:p>
      <w:pPr>
        <w:keepNext w:val="0"/>
        <w:keepLines w:val="0"/>
        <w:pageBreakBefore w:val="0"/>
        <w:widowControl/>
        <w:shd w:val="clear" w:color="auto" w:fill="FFFFFF"/>
        <w:kinsoku/>
        <w:wordWrap/>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2023年我校严格执行文件规定，并结合学校实际开展课后服务活动。精准测算课后服务，加强经费管理，专款专用，有效控制了成本，节约了资金。</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2023年我校按学期结算课后服务费，加强课后服务管理，课后服务水平不断提高，特色不断明显。</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项目支出助推学生过重作业负担和校外培训负担、家庭教育支出和家长精力负担明显减轻。</w:t>
      </w:r>
    </w:p>
    <w:p>
      <w:pPr>
        <w:keepNext w:val="0"/>
        <w:keepLines w:val="0"/>
        <w:pageBreakBefore w:val="0"/>
        <w:widowControl w:val="0"/>
        <w:numPr>
          <w:ilvl w:val="0"/>
          <w:numId w:val="0"/>
        </w:numPr>
        <w:kinsoku/>
        <w:wordWrap/>
        <w:overflowPunct/>
        <w:autoSpaceDE/>
        <w:autoSpaceDN/>
        <w:bidi w:val="0"/>
        <w:adjustRightInd/>
        <w:snapToGrid/>
        <w:spacing w:line="560" w:lineRule="exact"/>
        <w:ind w:leftChars="200" w:right="0" w:rightChars="0"/>
        <w:textAlignment w:val="auto"/>
        <w:outlineLvl w:val="0"/>
        <w:rPr>
          <w:rFonts w:hint="eastAsia" w:ascii="仿宋_GB2312" w:eastAsia="仿宋_GB2312"/>
          <w:color w:val="000000" w:themeColor="text1"/>
          <w:szCs w:val="32"/>
          <w:lang w:val="en-US" w:eastAsia="zh-CN"/>
          <w14:textFill>
            <w14:solidFill>
              <w14:schemeClr w14:val="tx1"/>
            </w14:solidFill>
          </w14:textFill>
        </w:rPr>
      </w:pP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wordWrap/>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课后服务资金项目历年来都</w:t>
      </w:r>
      <w:r>
        <w:rPr>
          <w:rFonts w:hint="eastAsia" w:ascii="仿宋_GB2312"/>
          <w:color w:val="000000" w:themeColor="text1"/>
          <w:szCs w:val="32"/>
          <w14:textFill>
            <w14:solidFill>
              <w14:schemeClr w14:val="tx1"/>
            </w14:solidFill>
          </w14:textFill>
        </w:rPr>
        <w:t>是持续性项目，</w:t>
      </w:r>
      <w:r>
        <w:rPr>
          <w:rFonts w:hint="eastAsia" w:ascii="仿宋_GB2312"/>
          <w:color w:val="000000" w:themeColor="text1"/>
          <w:szCs w:val="32"/>
          <w:lang w:val="en-US" w:eastAsia="zh-CN"/>
          <w14:textFill>
            <w14:solidFill>
              <w14:schemeClr w14:val="tx1"/>
            </w14:solidFill>
          </w14:textFill>
        </w:rPr>
        <w:t>上级文件从政策支持、资金来源、管理措施等方面确保项目的可持续发展</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有资金管理办法，办法</w:t>
      </w:r>
      <w:r>
        <w:rPr>
          <w:rFonts w:hint="eastAsia" w:ascii="仿宋_GB2312"/>
          <w:color w:val="000000" w:themeColor="text1"/>
          <w:szCs w:val="32"/>
          <w:lang w:val="en-US" w:eastAsia="zh-CN"/>
          <w14:textFill>
            <w14:solidFill>
              <w14:schemeClr w14:val="tx1"/>
            </w14:solidFill>
          </w14:textFill>
        </w:rPr>
        <w:t>合法</w:t>
      </w:r>
      <w:r>
        <w:rPr>
          <w:rFonts w:hint="eastAsia" w:ascii="仿宋_GB2312"/>
          <w:color w:val="000000" w:themeColor="text1"/>
          <w:szCs w:val="32"/>
          <w14:textFill>
            <w14:solidFill>
              <w14:schemeClr w14:val="tx1"/>
            </w14:solidFill>
          </w14:textFill>
        </w:rPr>
        <w:t>规范。</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资金分配合理，重点</w:t>
      </w:r>
      <w:r>
        <w:rPr>
          <w:rFonts w:hint="eastAsia" w:ascii="仿宋_GB2312"/>
          <w:color w:val="000000" w:themeColor="text1"/>
          <w:szCs w:val="32"/>
          <w:lang w:val="en-US" w:eastAsia="zh-CN"/>
          <w14:textFill>
            <w14:solidFill>
              <w14:schemeClr w14:val="tx1"/>
            </w14:solidFill>
          </w14:textFill>
        </w:rPr>
        <w:t>突出</w:t>
      </w:r>
      <w:r>
        <w:rPr>
          <w:rFonts w:hint="eastAsia" w:ascii="仿宋_GB2312"/>
          <w:color w:val="000000" w:themeColor="text1"/>
          <w:szCs w:val="32"/>
          <w14:textFill>
            <w14:solidFill>
              <w14:schemeClr w14:val="tx1"/>
            </w14:solidFill>
          </w14:textFill>
        </w:rPr>
        <w:t>，公平公正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w:t>
      </w:r>
      <w:r>
        <w:rPr>
          <w:rFonts w:hint="eastAsia" w:ascii="仿宋_GB2312"/>
          <w:color w:val="000000" w:themeColor="text1"/>
          <w:szCs w:val="32"/>
          <w:lang w:val="en-US" w:eastAsia="zh-CN"/>
          <w14:textFill>
            <w14:solidFill>
              <w14:schemeClr w14:val="tx1"/>
            </w14:solidFill>
          </w14:textFill>
        </w:rPr>
        <w:t>和主管</w:t>
      </w:r>
      <w:r>
        <w:rPr>
          <w:rFonts w:hint="eastAsia" w:ascii="仿宋_GB2312"/>
          <w:color w:val="000000" w:themeColor="text1"/>
          <w:szCs w:val="32"/>
          <w14:textFill>
            <w14:solidFill>
              <w14:schemeClr w14:val="tx1"/>
            </w14:solidFill>
          </w14:textFill>
        </w:rPr>
        <w:t>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进一步加强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充分发挥资金使用效益。</w:t>
      </w:r>
    </w:p>
    <w:p>
      <w:pPr>
        <w:keepNext w:val="0"/>
        <w:keepLines w:val="0"/>
        <w:pageBreakBefore w:val="0"/>
        <w:numPr>
          <w:ilvl w:val="0"/>
          <w:numId w:val="5"/>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主要经验做法为明确责任，提高认识，严格预算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有关建议为</w:t>
      </w:r>
      <w:r>
        <w:rPr>
          <w:rFonts w:hint="eastAsia" w:ascii="仿宋_GB2312" w:hAnsi="仿宋_GB2312" w:eastAsia="仿宋_GB2312" w:cs="仿宋_GB2312"/>
          <w:color w:val="000000" w:themeColor="text1"/>
          <w:szCs w:val="32"/>
          <w:lang w:val="en-US" w:eastAsia="zh-CN"/>
          <w14:textFill>
            <w14:solidFill>
              <w14:schemeClr w14:val="tx1"/>
            </w14:solidFill>
          </w14:textFill>
        </w:rPr>
        <w:t>确保</w:t>
      </w:r>
      <w:r>
        <w:rPr>
          <w:rFonts w:hint="eastAsia" w:ascii="仿宋_GB2312" w:hAnsi="仿宋_GB2312" w:eastAsia="仿宋_GB2312" w:cs="仿宋_GB2312"/>
          <w:color w:val="000000" w:themeColor="text1"/>
          <w:szCs w:val="32"/>
          <w14:textFill>
            <w14:solidFill>
              <w14:schemeClr w14:val="tx1"/>
            </w14:solidFill>
          </w14:textFill>
        </w:rPr>
        <w:t>课后服务质量，每学期组织至少一次课后服务成果展示活动</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及时</w:t>
      </w:r>
      <w:r>
        <w:rPr>
          <w:rFonts w:hint="eastAsia" w:ascii="仿宋_GB2312" w:hAnsi="仿宋_GB2312" w:eastAsia="仿宋_GB2312" w:cs="仿宋_GB2312"/>
          <w:color w:val="000000" w:themeColor="text1"/>
          <w:szCs w:val="32"/>
          <w14:textFill>
            <w14:solidFill>
              <w14:schemeClr w14:val="tx1"/>
            </w14:solidFill>
          </w14:textFill>
        </w:rPr>
        <w:t>对课后服务工作开展和经费使用情况进行</w:t>
      </w:r>
      <w:r>
        <w:rPr>
          <w:rFonts w:hint="eastAsia" w:ascii="仿宋_GB2312" w:hAnsi="仿宋_GB2312" w:eastAsia="仿宋_GB2312" w:cs="仿宋_GB2312"/>
          <w:color w:val="000000" w:themeColor="text1"/>
          <w:szCs w:val="32"/>
          <w:lang w:val="en-US" w:eastAsia="zh-CN"/>
          <w14:textFill>
            <w14:solidFill>
              <w14:schemeClr w14:val="tx1"/>
            </w14:solidFill>
          </w14:textFill>
        </w:rPr>
        <w:t>自检自查</w:t>
      </w:r>
      <w:r>
        <w:rPr>
          <w:rFonts w:hint="eastAsia" w:ascii="仿宋_GB2312" w:hAnsi="仿宋_GB2312" w:eastAsia="仿宋_GB2312" w:cs="仿宋_GB2312"/>
          <w:color w:val="000000" w:themeColor="text1"/>
          <w:szCs w:val="32"/>
          <w14:textFill>
            <w14:solidFill>
              <w14:schemeClr w14:val="tx1"/>
            </w14:solidFill>
          </w14:textFill>
        </w:rPr>
        <w:t>，确保工作顺利开展、经费合规使用。</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abstractNum w:abstractNumId="2">
    <w:nsid w:val="65AA14BD"/>
    <w:multiLevelType w:val="singleLevel"/>
    <w:tmpl w:val="65AA14BD"/>
    <w:lvl w:ilvl="0" w:tentative="0">
      <w:start w:val="2"/>
      <w:numFmt w:val="chineseCounting"/>
      <w:suff w:val="nothing"/>
      <w:lvlText w:val="（%1）"/>
      <w:lvlJc w:val="left"/>
    </w:lvl>
  </w:abstractNum>
  <w:abstractNum w:abstractNumId="3">
    <w:nsid w:val="65AA33FC"/>
    <w:multiLevelType w:val="singleLevel"/>
    <w:tmpl w:val="65AA33FC"/>
    <w:lvl w:ilvl="0" w:tentative="0">
      <w:start w:val="2"/>
      <w:numFmt w:val="chineseCounting"/>
      <w:suff w:val="nothing"/>
      <w:lvlText w:val="（%1）"/>
      <w:lvlJc w:val="left"/>
    </w:lvl>
  </w:abstractNum>
  <w:abstractNum w:abstractNumId="4">
    <w:nsid w:val="65AA351B"/>
    <w:multiLevelType w:val="singleLevel"/>
    <w:tmpl w:val="65AA351B"/>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DhkZjYwN2M2ZjhhNzc4MmNmNzU2NzIwODBlZDQifQ=="/>
  </w:docVars>
  <w:rsids>
    <w:rsidRoot w:val="00000000"/>
    <w:rsid w:val="00B93F2F"/>
    <w:rsid w:val="00D24FF0"/>
    <w:rsid w:val="01332C39"/>
    <w:rsid w:val="03027F56"/>
    <w:rsid w:val="04B97A5F"/>
    <w:rsid w:val="05AE36CA"/>
    <w:rsid w:val="072E6CF9"/>
    <w:rsid w:val="09522518"/>
    <w:rsid w:val="0967075C"/>
    <w:rsid w:val="09F935EE"/>
    <w:rsid w:val="0A247EFA"/>
    <w:rsid w:val="0A8002E9"/>
    <w:rsid w:val="0B7F1182"/>
    <w:rsid w:val="0E7476E7"/>
    <w:rsid w:val="0EBD108E"/>
    <w:rsid w:val="0F615EBD"/>
    <w:rsid w:val="11335637"/>
    <w:rsid w:val="115B4B8E"/>
    <w:rsid w:val="140E413A"/>
    <w:rsid w:val="15AC59B8"/>
    <w:rsid w:val="181531E0"/>
    <w:rsid w:val="18B21538"/>
    <w:rsid w:val="19A062DF"/>
    <w:rsid w:val="1C66427A"/>
    <w:rsid w:val="1E4A2212"/>
    <w:rsid w:val="1FA37E2C"/>
    <w:rsid w:val="1FAD077C"/>
    <w:rsid w:val="20003F8D"/>
    <w:rsid w:val="20796DDF"/>
    <w:rsid w:val="20BB19C4"/>
    <w:rsid w:val="2177331E"/>
    <w:rsid w:val="21994227"/>
    <w:rsid w:val="21EB5ABA"/>
    <w:rsid w:val="236678AA"/>
    <w:rsid w:val="24680AF1"/>
    <w:rsid w:val="24842B6D"/>
    <w:rsid w:val="24D26C5E"/>
    <w:rsid w:val="26B7240F"/>
    <w:rsid w:val="2818512F"/>
    <w:rsid w:val="284D4DD9"/>
    <w:rsid w:val="287B088E"/>
    <w:rsid w:val="2B6C0126"/>
    <w:rsid w:val="2D743A88"/>
    <w:rsid w:val="32543208"/>
    <w:rsid w:val="32A95302"/>
    <w:rsid w:val="33B73A4E"/>
    <w:rsid w:val="36316F31"/>
    <w:rsid w:val="374E46CA"/>
    <w:rsid w:val="378A5996"/>
    <w:rsid w:val="387B14EE"/>
    <w:rsid w:val="3A1377E3"/>
    <w:rsid w:val="3BE21884"/>
    <w:rsid w:val="3DFD6642"/>
    <w:rsid w:val="3F354B22"/>
    <w:rsid w:val="40460634"/>
    <w:rsid w:val="40D93256"/>
    <w:rsid w:val="42182FAC"/>
    <w:rsid w:val="43F57AD7"/>
    <w:rsid w:val="44C46394"/>
    <w:rsid w:val="45E66743"/>
    <w:rsid w:val="47347438"/>
    <w:rsid w:val="49BE748D"/>
    <w:rsid w:val="4C4A6122"/>
    <w:rsid w:val="4DEC76B7"/>
    <w:rsid w:val="4F1349C6"/>
    <w:rsid w:val="4FAA71B8"/>
    <w:rsid w:val="515E786A"/>
    <w:rsid w:val="51602484"/>
    <w:rsid w:val="51873DBF"/>
    <w:rsid w:val="53CE14A9"/>
    <w:rsid w:val="5577058B"/>
    <w:rsid w:val="56D1069E"/>
    <w:rsid w:val="57470B36"/>
    <w:rsid w:val="59961B8F"/>
    <w:rsid w:val="5A2E4710"/>
    <w:rsid w:val="5A3C6978"/>
    <w:rsid w:val="5AA0706B"/>
    <w:rsid w:val="5AD8212E"/>
    <w:rsid w:val="5B1F1877"/>
    <w:rsid w:val="5B860D5A"/>
    <w:rsid w:val="5BBB1A7E"/>
    <w:rsid w:val="5BD42B40"/>
    <w:rsid w:val="5C25339C"/>
    <w:rsid w:val="5DC97D6B"/>
    <w:rsid w:val="5EE72B8A"/>
    <w:rsid w:val="61677FB2"/>
    <w:rsid w:val="63AC2FEA"/>
    <w:rsid w:val="64BA46B5"/>
    <w:rsid w:val="65A01FEE"/>
    <w:rsid w:val="65F638C0"/>
    <w:rsid w:val="660C1F29"/>
    <w:rsid w:val="67600811"/>
    <w:rsid w:val="6B405AFC"/>
    <w:rsid w:val="6B444766"/>
    <w:rsid w:val="6D9C2C6E"/>
    <w:rsid w:val="6F683873"/>
    <w:rsid w:val="70A007CE"/>
    <w:rsid w:val="70B35346"/>
    <w:rsid w:val="71121CE9"/>
    <w:rsid w:val="728B6F7A"/>
    <w:rsid w:val="73025A7C"/>
    <w:rsid w:val="73E94DDC"/>
    <w:rsid w:val="73F12089"/>
    <w:rsid w:val="75894FDD"/>
    <w:rsid w:val="75B415C0"/>
    <w:rsid w:val="76312C11"/>
    <w:rsid w:val="76F23C6B"/>
    <w:rsid w:val="775766A7"/>
    <w:rsid w:val="78074C6F"/>
    <w:rsid w:val="782849C5"/>
    <w:rsid w:val="7EB2316F"/>
    <w:rsid w:val="7F301E5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2024-02-20T06:53:45Z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8DE75BC78794472483E8D8034960BC75_12</vt:lpwstr>
  </property>
</Properties>
</file>