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kinsoku/>
        <w:wordWrap/>
        <w:overflowPunct/>
        <w:autoSpaceDE/>
        <w:bidi w:val="0"/>
        <w:adjustRightInd/>
        <w:snapToGrid/>
        <w:spacing w:line="560" w:lineRule="exact"/>
        <w:textAlignment w:val="auto"/>
        <w:rPr>
          <w:rFonts w:ascii="黑体" w:eastAsia="黑体"/>
          <w:color w:val="000000" w:themeColor="text1"/>
          <w:szCs w:val="32"/>
          <w14:textFill>
            <w14:solidFill>
              <w14:schemeClr w14:val="tx1"/>
            </w14:solidFill>
          </w14:textFill>
        </w:rPr>
      </w:pPr>
    </w:p>
    <w:p>
      <w:pPr>
        <w:keepNext w:val="0"/>
        <w:keepLines w:val="0"/>
        <w:pageBreakBefore w:val="0"/>
        <w:kinsoku/>
        <w:wordWrap/>
        <w:overflowPunct/>
        <w:autoSpaceDE/>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校园食品安全及卫生工作经费</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等</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项目支出</w:t>
      </w:r>
    </w:p>
    <w:p>
      <w:pPr>
        <w:keepNext w:val="0"/>
        <w:keepLines w:val="0"/>
        <w:pageBreakBefore w:val="0"/>
        <w:kinsoku/>
        <w:wordWrap/>
        <w:overflowPunct/>
        <w:autoSpaceDE/>
        <w:bidi w:val="0"/>
        <w:adjustRightInd/>
        <w:snapToGrid/>
        <w:spacing w:line="560" w:lineRule="exact"/>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绩效报告</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（自评）</w:t>
      </w:r>
    </w:p>
    <w:p>
      <w:pPr>
        <w:keepNext w:val="0"/>
        <w:keepLines w:val="0"/>
        <w:pageBreakBefore w:val="0"/>
        <w:kinsoku/>
        <w:wordWrap/>
        <w:overflowPunct/>
        <w:autoSpaceDE/>
        <w:bidi w:val="0"/>
        <w:adjustRightInd/>
        <w:snapToGrid/>
        <w:spacing w:line="560" w:lineRule="exact"/>
        <w:ind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highlight w:val="none"/>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预算呈财行〔2020〕84号校园食品安全及卫生工作经费11034.76元，呈财行〔2021〕42号食品安全、卫生工作及疫情防控工作经费（无偿献血活动补助资金）180.00元，呈财行〔2021〕42号中小学心理健康教育专项补助资金48382.63元，呈财行〔2021〕42号“三防”建设经费补助（校园安全管理工作资金）10596.00元，以上合计70193.39元。</w:t>
      </w:r>
      <w:r>
        <w:rPr>
          <w:rFonts w:hint="eastAsia" w:ascii="仿宋_GB2312"/>
          <w:color w:val="000000" w:themeColor="text1"/>
          <w:szCs w:val="32"/>
          <w:highlight w:val="none"/>
          <w:lang w:val="en-US" w:eastAsia="zh-CN"/>
          <w14:textFill>
            <w14:solidFill>
              <w14:schemeClr w14:val="tx1"/>
            </w14:solidFill>
          </w14:textFill>
        </w:rPr>
        <w:t>此资金</w:t>
      </w:r>
      <w:r>
        <w:rPr>
          <w:rFonts w:hint="eastAsia" w:eastAsia="仿宋_GB2312"/>
          <w:color w:val="000000" w:themeColor="text1"/>
          <w:sz w:val="32"/>
          <w:highlight w:val="none"/>
          <w14:textFill>
            <w14:solidFill>
              <w14:schemeClr w14:val="tx1"/>
            </w14:solidFill>
          </w14:textFill>
        </w:rPr>
        <w:t>专项用于</w:t>
      </w:r>
      <w:r>
        <w:rPr>
          <w:rFonts w:hint="eastAsia"/>
          <w:color w:val="000000" w:themeColor="text1"/>
          <w:sz w:val="32"/>
          <w:highlight w:val="none"/>
          <w:lang w:eastAsia="zh-CN"/>
          <w14:textFill>
            <w14:solidFill>
              <w14:schemeClr w14:val="tx1"/>
            </w14:solidFill>
          </w14:textFill>
        </w:rPr>
        <w:t>学校食品安全、卫生、心理健康教育等</w:t>
      </w:r>
      <w:r>
        <w:rPr>
          <w:rFonts w:hint="eastAsia"/>
          <w:color w:val="000000" w:themeColor="text1"/>
          <w:sz w:val="32"/>
          <w:highlight w:val="none"/>
          <w:lang w:val="en-US" w:eastAsia="zh-CN"/>
          <w14:textFill>
            <w14:solidFill>
              <w14:schemeClr w14:val="tx1"/>
            </w14:solidFill>
          </w14:textFill>
        </w:rPr>
        <w:t>支出。</w:t>
      </w:r>
    </w:p>
    <w:p>
      <w:pPr>
        <w:keepNext w:val="0"/>
        <w:keepLines w:val="0"/>
        <w:pageBreakBefore w:val="0"/>
        <w:numPr>
          <w:ilvl w:val="0"/>
          <w:numId w:val="1"/>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绩效目标设定及指标完成情况</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根据资金文件和《项目实施和资金使用计划》，设立项目绩效目标为保障学校教育教学活动正常开展。</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共设立产出指标、效益指标和满意度指标三个一级指标，产出指标下设产出数量、产出质量、产出时效、产出成本四个二级指标，效益指标下设经济效益、社会效益、环境效益、可持续性影响四个二级指标，满意度指标下设师生家长满意度一个二级指标，二级指标对应下设三级指标和得分。我校绩效指标清晰、细化、可衡量。到年末，所有指标均已达标，自评得分为96.5分。主要扣分项为成本指标得分，设定经济成本（应支出数）为70193.39元，满分5分，实际支出22735.76元，得分1.5分。</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作为自有资金提交使用申请和完成项目入库后，财政于3月份期间及时下达指标。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color w:val="000000" w:themeColor="text1"/>
          <w:szCs w:val="32"/>
          <w:lang w:val="en-US" w:eastAsia="zh-CN"/>
          <w14:textFill>
            <w14:solidFill>
              <w14:schemeClr w14:val="tx1"/>
            </w14:solidFill>
          </w14:textFill>
        </w:rPr>
      </w:pPr>
      <w:r>
        <w:rPr>
          <w:rFonts w:hint="eastAsia" w:ascii="仿宋_GB2312" w:hAnsi="仿宋_GB2312" w:cs="仿宋_GB2312"/>
          <w:color w:val="000000" w:themeColor="text1"/>
          <w:szCs w:val="32"/>
          <w:lang w:val="en-US" w:eastAsia="zh-CN"/>
          <w14:textFill>
            <w14:solidFill>
              <w14:schemeClr w14:val="tx1"/>
            </w14:solidFill>
          </w14:textFill>
        </w:rPr>
        <w:t>截止年底，项目共支出</w:t>
      </w:r>
      <w:r>
        <w:rPr>
          <w:rFonts w:hint="eastAsia" w:ascii="仿宋_GB2312"/>
          <w:color w:val="000000" w:themeColor="text1"/>
          <w:szCs w:val="32"/>
          <w:lang w:val="en-US" w:eastAsia="zh-CN"/>
          <w14:textFill>
            <w14:solidFill>
              <w14:schemeClr w14:val="tx1"/>
            </w14:solidFill>
          </w14:textFill>
        </w:rPr>
        <w:t>22735.76元，主要用于支付购置劳动工具款、发放无偿献血补助、支付外请专家进行心理健康专题讲座费用、支付消防设施检测维修款等。</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我校项目资金进行独立核算管理，实行财务公开。未虚列虚支、虚报冒领和挤占挪用，确保按规定用途使用，做到专款专用。</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工作领导小组，商讨制定《项目实施和资金使用计划》，然后按《计划》并结合实际情况开展采购、检测、培训等活动。各项支出活动严格相关程序，如审批、询价、上会研究等，确保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我校严格遵守《项目管理办法》，做好日常监督和</w:t>
      </w:r>
      <w:r>
        <w:rPr>
          <w:rFonts w:hint="default" w:ascii="仿宋_GB2312"/>
          <w:color w:val="000000" w:themeColor="text1"/>
          <w:szCs w:val="32"/>
          <w:lang w:val="en-US" w:eastAsia="zh-CN"/>
          <w14:textFill>
            <w14:solidFill>
              <w14:schemeClr w14:val="tx1"/>
            </w14:solidFill>
          </w14:textFill>
        </w:rPr>
        <w:t>重点绩效跟踪监控</w:t>
      </w:r>
      <w:r>
        <w:rPr>
          <w:rFonts w:hint="eastAsia" w:ascii="仿宋_GB2312"/>
          <w:color w:val="000000" w:themeColor="text1"/>
          <w:szCs w:val="32"/>
          <w:lang w:val="en-US" w:eastAsia="zh-CN"/>
          <w14:textFill>
            <w14:solidFill>
              <w14:schemeClr w14:val="tx1"/>
            </w14:solidFill>
          </w14:textFill>
        </w:rPr>
        <w:t>，确保项目实施规范、有效。</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kinsoku/>
        <w:wordWrap/>
        <w:overflowPunct/>
        <w:topLinePunct/>
        <w:autoSpaceDE/>
        <w:bidi w:val="0"/>
        <w:adjustRightInd/>
        <w:snapToGrid/>
        <w:spacing w:line="560" w:lineRule="exact"/>
        <w:ind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的</w:t>
      </w:r>
      <w:r>
        <w:rPr>
          <w:rFonts w:hint="eastAsia" w:ascii="仿宋_GB2312"/>
          <w:color w:val="000000" w:themeColor="text1"/>
          <w:szCs w:val="32"/>
          <w14:textFill>
            <w14:solidFill>
              <w14:schemeClr w14:val="tx1"/>
            </w14:solidFill>
          </w14:textFill>
        </w:rPr>
        <w:t>经济性分析</w:t>
      </w:r>
    </w:p>
    <w:p>
      <w:pPr>
        <w:keepNext w:val="0"/>
        <w:keepLines w:val="0"/>
        <w:pageBreakBefore w:val="0"/>
        <w:widowControl/>
        <w:shd w:val="clear" w:color="auto" w:fill="FFFFFF"/>
        <w:kinsoku/>
        <w:wordWrap/>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2023年我校相关经费严格使用范围，支出过程严格立项、询价、上会研究、验收等程序，有效控制了成本，节约了资金。</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2023年我校相关经费支出按《计划》执行，项目完成情况良好。</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项目支出有效保障了学校教育教学活动正常开展。</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wordWrap/>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eastAsia="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相关项目已完成，但安全、卫生工作为常规性工作，所以2024年将持续相关</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eastAsia="zh-CN"/>
          <w14:textFill>
            <w14:solidFill>
              <w14:schemeClr w14:val="tx1"/>
            </w14:solidFill>
          </w14:textFill>
        </w:rPr>
        <w:t>。</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有资金管理办法，办法</w:t>
      </w:r>
      <w:r>
        <w:rPr>
          <w:rFonts w:hint="eastAsia" w:ascii="仿宋_GB2312"/>
          <w:color w:val="000000" w:themeColor="text1"/>
          <w:szCs w:val="32"/>
          <w:lang w:val="en-US" w:eastAsia="zh-CN"/>
          <w14:textFill>
            <w14:solidFill>
              <w14:schemeClr w14:val="tx1"/>
            </w14:solidFill>
          </w14:textFill>
        </w:rPr>
        <w:t>合法</w:t>
      </w:r>
      <w:r>
        <w:rPr>
          <w:rFonts w:hint="eastAsia" w:ascii="仿宋_GB2312"/>
          <w:color w:val="000000" w:themeColor="text1"/>
          <w:szCs w:val="32"/>
          <w14:textFill>
            <w14:solidFill>
              <w14:schemeClr w14:val="tx1"/>
            </w14:solidFill>
          </w14:textFill>
        </w:rPr>
        <w:t>规范。</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资金分配合理，重点</w:t>
      </w:r>
      <w:r>
        <w:rPr>
          <w:rFonts w:hint="eastAsia" w:ascii="仿宋_GB2312"/>
          <w:color w:val="000000" w:themeColor="text1"/>
          <w:szCs w:val="32"/>
          <w:lang w:val="en-US" w:eastAsia="zh-CN"/>
          <w14:textFill>
            <w14:solidFill>
              <w14:schemeClr w14:val="tx1"/>
            </w14:solidFill>
          </w14:textFill>
        </w:rPr>
        <w:t>突出</w:t>
      </w:r>
      <w:r>
        <w:rPr>
          <w:rFonts w:hint="eastAsia" w:ascii="仿宋_GB2312"/>
          <w:color w:val="000000" w:themeColor="text1"/>
          <w:szCs w:val="32"/>
          <w14:textFill>
            <w14:solidFill>
              <w14:schemeClr w14:val="tx1"/>
            </w14:solidFill>
          </w14:textFill>
        </w:rPr>
        <w:t>，公平公正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numPr>
          <w:ilvl w:val="0"/>
          <w:numId w:val="4"/>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无。项目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bookmarkStart w:id="0" w:name="_GoBack"/>
      <w:bookmarkEnd w:id="0"/>
    </w:p>
    <w:p>
      <w:pPr>
        <w:keepNext w:val="0"/>
        <w:keepLines w:val="0"/>
        <w:pageBreakBefore w:val="0"/>
        <w:kinsoku/>
        <w:wordWrap/>
        <w:overflowPunct/>
        <w:topLinePunct/>
        <w:autoSpaceDE/>
        <w:bidi w:val="0"/>
        <w:adjustRightInd/>
        <w:snapToGrid/>
        <w:spacing w:line="560" w:lineRule="exact"/>
        <w:ind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w:t>
      </w:r>
      <w:r>
        <w:rPr>
          <w:rFonts w:hint="eastAsia" w:ascii="仿宋_GB2312"/>
          <w:color w:val="000000" w:themeColor="text1"/>
          <w:szCs w:val="32"/>
          <w:lang w:val="en-US" w:eastAsia="zh-CN"/>
          <w14:textFill>
            <w14:solidFill>
              <w14:schemeClr w14:val="tx1"/>
            </w14:solidFill>
          </w14:textFill>
        </w:rPr>
        <w:t>和主管</w:t>
      </w:r>
      <w:r>
        <w:rPr>
          <w:rFonts w:hint="eastAsia" w:ascii="仿宋_GB2312"/>
          <w:color w:val="000000" w:themeColor="text1"/>
          <w:szCs w:val="32"/>
          <w14:textFill>
            <w14:solidFill>
              <w14:schemeClr w14:val="tx1"/>
            </w14:solidFill>
          </w14:textFill>
        </w:rPr>
        <w:t>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进一步加强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充分发挥资金使用效益。</w:t>
      </w:r>
    </w:p>
    <w:p>
      <w:pPr>
        <w:keepNext w:val="0"/>
        <w:keepLines w:val="0"/>
        <w:pageBreakBefore w:val="0"/>
        <w:numPr>
          <w:ilvl w:val="0"/>
          <w:numId w:val="5"/>
        </w:numPr>
        <w:kinsoku/>
        <w:wordWrap/>
        <w:overflowPunct/>
        <w:topLinePunct/>
        <w:autoSpaceDE/>
        <w:bidi w:val="0"/>
        <w:adjustRightInd/>
        <w:snapToGrid/>
        <w:spacing w:line="560" w:lineRule="exact"/>
        <w:ind w:firstLine="594"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主要经验做法、改进措施和有关建议等。</w:t>
      </w:r>
    </w:p>
    <w:p>
      <w:pPr>
        <w:keepNext w:val="0"/>
        <w:keepLines w:val="0"/>
        <w:pageBreakBefore w:val="0"/>
        <w:numPr>
          <w:ilvl w:val="0"/>
          <w:numId w:val="0"/>
        </w:numPr>
        <w:kinsoku/>
        <w:wordWrap/>
        <w:overflowPunct/>
        <w:topLinePunct/>
        <w:autoSpaceDE/>
        <w:bidi w:val="0"/>
        <w:adjustRightInd/>
        <w:snapToGrid/>
        <w:spacing w:line="560" w:lineRule="exact"/>
        <w:ind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主要经验做法为明确责任，提高认识，严格预算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838F"/>
    <w:multiLevelType w:val="singleLevel"/>
    <w:tmpl w:val="6426838F"/>
    <w:lvl w:ilvl="0" w:tentative="0">
      <w:start w:val="4"/>
      <w:numFmt w:val="decimal"/>
      <w:suff w:val="nothing"/>
      <w:lvlText w:val="%1."/>
      <w:lvlJc w:val="left"/>
    </w:lvl>
  </w:abstractNum>
  <w:abstractNum w:abstractNumId="1">
    <w:nsid w:val="642ABB4D"/>
    <w:multiLevelType w:val="singleLevel"/>
    <w:tmpl w:val="642ABB4D"/>
    <w:lvl w:ilvl="0" w:tentative="0">
      <w:start w:val="1"/>
      <w:numFmt w:val="decimal"/>
      <w:suff w:val="nothing"/>
      <w:lvlText w:val="%1."/>
      <w:lvlJc w:val="left"/>
    </w:lvl>
  </w:abstractNum>
  <w:abstractNum w:abstractNumId="2">
    <w:nsid w:val="65AA14BD"/>
    <w:multiLevelType w:val="singleLevel"/>
    <w:tmpl w:val="65AA14BD"/>
    <w:lvl w:ilvl="0" w:tentative="0">
      <w:start w:val="2"/>
      <w:numFmt w:val="chineseCounting"/>
      <w:suff w:val="nothing"/>
      <w:lvlText w:val="（%1）"/>
      <w:lvlJc w:val="left"/>
    </w:lvl>
  </w:abstractNum>
  <w:abstractNum w:abstractNumId="3">
    <w:nsid w:val="65AA33FC"/>
    <w:multiLevelType w:val="singleLevel"/>
    <w:tmpl w:val="65AA33FC"/>
    <w:lvl w:ilvl="0" w:tentative="0">
      <w:start w:val="2"/>
      <w:numFmt w:val="chineseCounting"/>
      <w:suff w:val="nothing"/>
      <w:lvlText w:val="（%1）"/>
      <w:lvlJc w:val="left"/>
    </w:lvl>
  </w:abstractNum>
  <w:abstractNum w:abstractNumId="4">
    <w:nsid w:val="65AA351B"/>
    <w:multiLevelType w:val="singleLevel"/>
    <w:tmpl w:val="65AA351B"/>
    <w:lvl w:ilvl="0" w:tentative="0">
      <w:start w:val="2"/>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DhkZjYwN2M2ZjhhNzc4MmNmNzU2NzIwODBlZDQifQ=="/>
  </w:docVars>
  <w:rsids>
    <w:rsidRoot w:val="00000000"/>
    <w:rsid w:val="01332C39"/>
    <w:rsid w:val="03027F56"/>
    <w:rsid w:val="03062D2F"/>
    <w:rsid w:val="03990047"/>
    <w:rsid w:val="03A55E11"/>
    <w:rsid w:val="04B97A5F"/>
    <w:rsid w:val="05AE36CA"/>
    <w:rsid w:val="09522518"/>
    <w:rsid w:val="0A8002E9"/>
    <w:rsid w:val="0A8750A3"/>
    <w:rsid w:val="0B7F1182"/>
    <w:rsid w:val="0C367B59"/>
    <w:rsid w:val="0CCD6F54"/>
    <w:rsid w:val="11D553DD"/>
    <w:rsid w:val="123F6075"/>
    <w:rsid w:val="190A1374"/>
    <w:rsid w:val="19A062DF"/>
    <w:rsid w:val="1B2914A9"/>
    <w:rsid w:val="1BAB226E"/>
    <w:rsid w:val="1C66427A"/>
    <w:rsid w:val="1F085A02"/>
    <w:rsid w:val="1FAD077C"/>
    <w:rsid w:val="20003F8D"/>
    <w:rsid w:val="20BB19C4"/>
    <w:rsid w:val="20E00635"/>
    <w:rsid w:val="21994227"/>
    <w:rsid w:val="236678AA"/>
    <w:rsid w:val="24680AF1"/>
    <w:rsid w:val="24842B6D"/>
    <w:rsid w:val="249B1878"/>
    <w:rsid w:val="24D26C5E"/>
    <w:rsid w:val="25473008"/>
    <w:rsid w:val="258A1146"/>
    <w:rsid w:val="27E56B08"/>
    <w:rsid w:val="287B088E"/>
    <w:rsid w:val="2B6C0126"/>
    <w:rsid w:val="2BF33EE9"/>
    <w:rsid w:val="2D743A88"/>
    <w:rsid w:val="32E76094"/>
    <w:rsid w:val="35FD1771"/>
    <w:rsid w:val="36316F31"/>
    <w:rsid w:val="378A5996"/>
    <w:rsid w:val="37F012DD"/>
    <w:rsid w:val="3A1377E3"/>
    <w:rsid w:val="3A9A1C9A"/>
    <w:rsid w:val="3CF61143"/>
    <w:rsid w:val="3DFD6642"/>
    <w:rsid w:val="3F354B22"/>
    <w:rsid w:val="3F6F51DD"/>
    <w:rsid w:val="3F78172E"/>
    <w:rsid w:val="40A45A57"/>
    <w:rsid w:val="42182FAC"/>
    <w:rsid w:val="43F57AD7"/>
    <w:rsid w:val="44C46394"/>
    <w:rsid w:val="45E66743"/>
    <w:rsid w:val="492A007A"/>
    <w:rsid w:val="493109E5"/>
    <w:rsid w:val="4BF54CBC"/>
    <w:rsid w:val="4C4A6122"/>
    <w:rsid w:val="4DEC76B7"/>
    <w:rsid w:val="4E772300"/>
    <w:rsid w:val="4F1349C6"/>
    <w:rsid w:val="4F961BB1"/>
    <w:rsid w:val="4FAA71B8"/>
    <w:rsid w:val="50772144"/>
    <w:rsid w:val="515E786A"/>
    <w:rsid w:val="51602484"/>
    <w:rsid w:val="51873DBF"/>
    <w:rsid w:val="52171E30"/>
    <w:rsid w:val="52720E14"/>
    <w:rsid w:val="537D2167"/>
    <w:rsid w:val="53CE14A9"/>
    <w:rsid w:val="54422A68"/>
    <w:rsid w:val="54A61DFA"/>
    <w:rsid w:val="5577058B"/>
    <w:rsid w:val="56D1069E"/>
    <w:rsid w:val="57470B36"/>
    <w:rsid w:val="59961B8F"/>
    <w:rsid w:val="5A2E4710"/>
    <w:rsid w:val="5A3C6978"/>
    <w:rsid w:val="5AA0706B"/>
    <w:rsid w:val="5B1F1877"/>
    <w:rsid w:val="5B860D5A"/>
    <w:rsid w:val="5DC97D6B"/>
    <w:rsid w:val="61E90314"/>
    <w:rsid w:val="62917095"/>
    <w:rsid w:val="63AC2FEA"/>
    <w:rsid w:val="64AD0D70"/>
    <w:rsid w:val="64BA46B5"/>
    <w:rsid w:val="656F7435"/>
    <w:rsid w:val="65A01FEE"/>
    <w:rsid w:val="65F638C0"/>
    <w:rsid w:val="660C1F29"/>
    <w:rsid w:val="67600811"/>
    <w:rsid w:val="68892DDB"/>
    <w:rsid w:val="6B444766"/>
    <w:rsid w:val="6B575C06"/>
    <w:rsid w:val="6D917280"/>
    <w:rsid w:val="6D9C2C6E"/>
    <w:rsid w:val="70A007CE"/>
    <w:rsid w:val="70B35346"/>
    <w:rsid w:val="73E94DDC"/>
    <w:rsid w:val="74F11C15"/>
    <w:rsid w:val="76F23C6B"/>
    <w:rsid w:val="7731279D"/>
    <w:rsid w:val="78074C6F"/>
    <w:rsid w:val="781F6A99"/>
    <w:rsid w:val="782849C5"/>
    <w:rsid w:val="7BAE260E"/>
    <w:rsid w:val="7CFD1A9F"/>
    <w:rsid w:val="7EB2316F"/>
    <w:rsid w:val="7F301E59"/>
    <w:rsid w:val="7F930769"/>
    <w:rsid w:val="7FD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2024-02-20T06:50:57Z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E96920E56E4548AF88C39E58E02F5C20_12</vt:lpwstr>
  </property>
</Properties>
</file>