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研训经费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highlight w:val="none"/>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2023年我校预算呈财行〔2023〕40号教师研训经费149414.70元，呈财行〔2021〕42号体育人才培训专项经费20000.00元，</w:t>
      </w:r>
      <w:r>
        <w:rPr>
          <w:rFonts w:hint="eastAsia" w:ascii="仿宋_GB2312"/>
          <w:color w:val="000000" w:themeColor="text1"/>
          <w:szCs w:val="32"/>
          <w:lang w:eastAsia="zh-CN"/>
          <w14:textFill>
            <w14:solidFill>
              <w14:schemeClr w14:val="tx1"/>
            </w14:solidFill>
          </w14:textFill>
        </w:rPr>
        <w:t>以上合计</w:t>
      </w:r>
      <w:r>
        <w:rPr>
          <w:rFonts w:hint="eastAsia" w:ascii="仿宋_GB2312"/>
          <w:color w:val="000000" w:themeColor="text1"/>
          <w:szCs w:val="32"/>
          <w:lang w:val="en-US" w:eastAsia="zh-CN"/>
          <w14:textFill>
            <w14:solidFill>
              <w14:schemeClr w14:val="tx1"/>
            </w14:solidFill>
          </w14:textFill>
        </w:rPr>
        <w:t>169414.70元。</w:t>
      </w:r>
      <w:r>
        <w:rPr>
          <w:rFonts w:hint="eastAsia" w:ascii="仿宋_GB2312"/>
          <w:color w:val="000000" w:themeColor="text1"/>
          <w:szCs w:val="32"/>
          <w:highlight w:val="none"/>
          <w:lang w:val="en-US" w:eastAsia="zh-CN"/>
          <w14:textFill>
            <w14:solidFill>
              <w14:schemeClr w14:val="tx1"/>
            </w14:solidFill>
          </w14:textFill>
        </w:rPr>
        <w:t>此资金</w:t>
      </w:r>
      <w:r>
        <w:rPr>
          <w:rFonts w:hint="eastAsia" w:eastAsia="仿宋_GB2312"/>
          <w:color w:val="000000" w:themeColor="text1"/>
          <w:sz w:val="32"/>
          <w:highlight w:val="none"/>
          <w14:textFill>
            <w14:solidFill>
              <w14:schemeClr w14:val="tx1"/>
            </w14:solidFill>
          </w14:textFill>
        </w:rPr>
        <w:t>专项用于</w:t>
      </w:r>
      <w:r>
        <w:rPr>
          <w:rFonts w:hint="eastAsia"/>
          <w:color w:val="000000" w:themeColor="text1"/>
          <w:sz w:val="32"/>
          <w:highlight w:val="none"/>
          <w:lang w:val="en-US" w:eastAsia="zh-CN"/>
          <w14:textFill>
            <w14:solidFill>
              <w14:schemeClr w14:val="tx1"/>
            </w14:solidFill>
          </w14:textFill>
        </w:rPr>
        <w:t>教师研训支出。</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根据资金文件和《项目实施和资金使用计划》，设立项目绩效目标为保障名校长工作基地和工作室研训活动的正常开展，促进学校教育教研水平的提高。</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99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体育人才培训专项经费</w:t>
      </w:r>
      <w:r>
        <w:rPr>
          <w:rFonts w:hint="eastAsia" w:ascii="仿宋_GB2312" w:hAnsi="仿宋_GB2312" w:cs="仿宋_GB2312"/>
          <w:color w:val="000000" w:themeColor="text1"/>
          <w:szCs w:val="32"/>
          <w:lang w:val="en-US" w:eastAsia="zh-CN"/>
          <w14:textFill>
            <w14:solidFill>
              <w14:schemeClr w14:val="tx1"/>
            </w14:solidFill>
          </w14:textFill>
        </w:rPr>
        <w:t>作为自有资金提交使用申请和完成项目入库后，财政于3月份期间及时下达指标；</w:t>
      </w:r>
      <w:r>
        <w:rPr>
          <w:rFonts w:hint="eastAsia" w:ascii="仿宋_GB2312"/>
          <w:color w:val="000000" w:themeColor="text1"/>
          <w:szCs w:val="32"/>
          <w:lang w:val="en-US" w:eastAsia="zh-CN"/>
          <w14:textFill>
            <w14:solidFill>
              <w14:schemeClr w14:val="tx1"/>
            </w14:solidFill>
          </w14:textFill>
        </w:rPr>
        <w:t>教师研训经费</w:t>
      </w: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主管部门准确分配资金，通知入库，学校完成入库后，财政于10月份期间及时下达指标。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截止年底，项目共支出165651.70</w:t>
      </w:r>
      <w:r>
        <w:rPr>
          <w:rFonts w:hint="eastAsia" w:ascii="仿宋_GB2312"/>
          <w:color w:val="000000" w:themeColor="text1"/>
          <w:szCs w:val="32"/>
          <w:lang w:val="en-US" w:eastAsia="zh-CN"/>
          <w14:textFill>
            <w14:solidFill>
              <w14:schemeClr w14:val="tx1"/>
            </w14:solidFill>
          </w14:textFill>
        </w:rPr>
        <w:t>元，</w:t>
      </w:r>
      <w:r>
        <w:rPr>
          <w:rFonts w:hint="eastAsia" w:ascii="仿宋_GB2312" w:hAnsi="仿宋_GB2312" w:cs="仿宋_GB2312"/>
          <w:color w:val="000000" w:themeColor="text1"/>
          <w:szCs w:val="32"/>
          <w:lang w:val="en-US" w:eastAsia="zh-CN"/>
          <w14:textFill>
            <w14:solidFill>
              <w14:schemeClr w14:val="tx1"/>
            </w14:solidFill>
          </w14:textFill>
        </w:rPr>
        <w:t>达到预算执行支出进度要求，做到经济高效。</w:t>
      </w:r>
      <w:r>
        <w:rPr>
          <w:rFonts w:hint="eastAsia" w:ascii="仿宋_GB2312"/>
          <w:color w:val="000000" w:themeColor="text1"/>
          <w:szCs w:val="32"/>
          <w:lang w:val="en-US" w:eastAsia="zh-CN"/>
          <w14:textFill>
            <w14:solidFill>
              <w14:schemeClr w14:val="tx1"/>
            </w14:solidFill>
          </w14:textFill>
        </w:rPr>
        <w:t>主要用于报销外出培训差旅费、支付培训费、讲座费、图书购置款等。</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并结合实际情况开展培训。各项支出活动严格相关程序，如审批、询价、上会研究等，确保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2023年我校研训经费严格使用范围，支出过程严格立项、询价、上会研究、验收等程序，有效控制了成本，节约了资金。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2023年我校研训经费支出按《计划》执行，项目完成情况良好。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项目支出有效保障了名校长工作基地和工作室研训活动的正常开展，促进学校教育教研水平的提高</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研训经费项目历年来都</w:t>
      </w:r>
      <w:r>
        <w:rPr>
          <w:rFonts w:hint="eastAsia" w:ascii="仿宋_GB2312"/>
          <w:color w:val="000000" w:themeColor="text1"/>
          <w:szCs w:val="32"/>
          <w14:textFill>
            <w14:solidFill>
              <w14:schemeClr w14:val="tx1"/>
            </w14:solidFill>
          </w14:textFill>
        </w:rPr>
        <w:t>是持续性项目，</w:t>
      </w:r>
      <w:r>
        <w:rPr>
          <w:rFonts w:hint="eastAsia" w:ascii="仿宋_GB2312"/>
          <w:color w:val="000000" w:themeColor="text1"/>
          <w:szCs w:val="32"/>
          <w:lang w:val="en-US" w:eastAsia="zh-CN"/>
          <w14:textFill>
            <w14:solidFill>
              <w14:schemeClr w14:val="tx1"/>
            </w14:solidFill>
          </w14:textFill>
        </w:rPr>
        <w:t>上级部门从资金来源、管理措施等方面确保项目的可持续发展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p>
    <w:p>
      <w:pPr>
        <w:keepNext w:val="0"/>
        <w:keepLines w:val="0"/>
        <w:pageBreakBefore w:val="0"/>
        <w:kinsoku/>
        <w:wordWrap/>
        <w:overflowPunct/>
        <w:autoSpaceDE/>
        <w:autoSpaceDN/>
        <w:bidi w:val="0"/>
        <w:adjustRightInd/>
        <w:snapToGrid/>
        <w:spacing w:line="560" w:lineRule="exact"/>
        <w:ind w:left="0" w:leftChars="0" w:right="0" w:rightChars="0"/>
        <w:jc w:val="right"/>
        <w:textAlignment w:val="auto"/>
        <w:rPr>
          <w:rFonts w:hint="eastAsia" w:ascii="仿宋_GB2312"/>
          <w:color w:val="000000" w:themeColor="text1"/>
          <w:szCs w:val="32"/>
          <w:lang w:eastAsia="zh-CN"/>
          <w14:textFill>
            <w14:solidFill>
              <w14:schemeClr w14:val="tx1"/>
            </w14:solidFill>
          </w14:textFill>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3027F56"/>
    <w:rsid w:val="04B97A5F"/>
    <w:rsid w:val="05AE36CA"/>
    <w:rsid w:val="09522518"/>
    <w:rsid w:val="0A8002E9"/>
    <w:rsid w:val="0B7F1182"/>
    <w:rsid w:val="13274995"/>
    <w:rsid w:val="15442488"/>
    <w:rsid w:val="19011A15"/>
    <w:rsid w:val="19A062DF"/>
    <w:rsid w:val="1C66427A"/>
    <w:rsid w:val="1F085A02"/>
    <w:rsid w:val="1FAD077C"/>
    <w:rsid w:val="20003F8D"/>
    <w:rsid w:val="20BB19C4"/>
    <w:rsid w:val="20E00635"/>
    <w:rsid w:val="21994227"/>
    <w:rsid w:val="236678AA"/>
    <w:rsid w:val="24680AF1"/>
    <w:rsid w:val="24842B6D"/>
    <w:rsid w:val="24D26C5E"/>
    <w:rsid w:val="287B088E"/>
    <w:rsid w:val="2B6C0126"/>
    <w:rsid w:val="2D743A88"/>
    <w:rsid w:val="32E76094"/>
    <w:rsid w:val="36316F31"/>
    <w:rsid w:val="378A5996"/>
    <w:rsid w:val="3A1377E3"/>
    <w:rsid w:val="3A9A1C9A"/>
    <w:rsid w:val="3DFD6642"/>
    <w:rsid w:val="3F354B22"/>
    <w:rsid w:val="3F78172E"/>
    <w:rsid w:val="40A45A57"/>
    <w:rsid w:val="42182FAC"/>
    <w:rsid w:val="43F57AD7"/>
    <w:rsid w:val="44C46394"/>
    <w:rsid w:val="45E66743"/>
    <w:rsid w:val="493109E5"/>
    <w:rsid w:val="4C4A6122"/>
    <w:rsid w:val="4DEC76B7"/>
    <w:rsid w:val="4F1349C6"/>
    <w:rsid w:val="4F961BB1"/>
    <w:rsid w:val="4FAA71B8"/>
    <w:rsid w:val="515E786A"/>
    <w:rsid w:val="51602484"/>
    <w:rsid w:val="51873DBF"/>
    <w:rsid w:val="53CE14A9"/>
    <w:rsid w:val="5577058B"/>
    <w:rsid w:val="56D1069E"/>
    <w:rsid w:val="57470B36"/>
    <w:rsid w:val="59961B8F"/>
    <w:rsid w:val="5A2E4710"/>
    <w:rsid w:val="5A3C6978"/>
    <w:rsid w:val="5AA0706B"/>
    <w:rsid w:val="5B1F1877"/>
    <w:rsid w:val="5B860D5A"/>
    <w:rsid w:val="5DC97D6B"/>
    <w:rsid w:val="61E90314"/>
    <w:rsid w:val="63AC2FEA"/>
    <w:rsid w:val="64BA46B5"/>
    <w:rsid w:val="65A01FEE"/>
    <w:rsid w:val="65F638C0"/>
    <w:rsid w:val="660C1F29"/>
    <w:rsid w:val="67600811"/>
    <w:rsid w:val="68892DDB"/>
    <w:rsid w:val="68FA2D8A"/>
    <w:rsid w:val="6B444766"/>
    <w:rsid w:val="6D9C2C6E"/>
    <w:rsid w:val="70A007CE"/>
    <w:rsid w:val="70B35346"/>
    <w:rsid w:val="73E94DDC"/>
    <w:rsid w:val="76F23C6B"/>
    <w:rsid w:val="78074C6F"/>
    <w:rsid w:val="782849C5"/>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E96920E56E4548AF88C39E58E02F5C20_12</vt:lpwstr>
  </property>
</Properties>
</file>