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2022年昆明市学科带头人和骨干教师工作经费</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pStyle w:val="2"/>
        <w:keepNext w:val="0"/>
        <w:keepLines w:val="0"/>
        <w:pageBreakBefore w:val="0"/>
        <w:widowControl/>
        <w:suppressLineNumbers w:val="0"/>
        <w:kinsoku/>
        <w:wordWrap/>
        <w:overflowPunct/>
        <w:autoSpaceDE/>
        <w:bidi w:val="0"/>
        <w:adjustRightInd/>
        <w:snapToGrid/>
        <w:spacing w:line="560" w:lineRule="exact"/>
        <w:ind w:firstLine="594"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根据《昆明市财政局 昆明市教育体育局关于下达2022年昆明市学科带头人和骨干教师工作经费的通知》（昆财教〔</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2023〕83 号</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），主管部门将2022年昆明市学科带头人和骨干教师工作经费(2016-2021)3800.00元分配至我单位，特做相关经费项目预算。此经费专项用于发放在任期内审核合格的昆明市学科带头人和骨干教师</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根据资金文件和《项目实施和资金使用计划》，设立项目绩效目标为及时发放教科研津贴，充分发挥学科带头人和骨干教师队伍的示范和引领作用。</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主管部门准确分配资金，通知入库，学校完成入库后，财政及时下达指标。截止2023年9月份，项目资金（公共财政预算资金）已安排落实到位。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3800.00元，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专项用于</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发放在任期内审核合格的昆明市学科带头人和骨干教师</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color w:val="000000" w:themeColor="text1"/>
          <w:szCs w:val="32"/>
          <w:lang w:val="en-US"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我校项目组织管理机构健全，前期成立工作领导小组，商讨制定《项目实施和资金使用计划》，然后按《计划》及时准确</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发放在任期内审核合格的昆明市学科带头人和骨干教师</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stheme="minorBidi"/>
          <w:color w:val="000000" w:themeColor="text1"/>
          <w:kern w:val="2"/>
          <w:sz w:val="32"/>
          <w:szCs w:val="32"/>
          <w:lang w:val="en-US" w:eastAsia="zh-CN" w:bidi="ar-SA"/>
          <w14:textFill>
            <w14:solidFill>
              <w14:schemeClr w14:val="tx1"/>
            </w14:solidFill>
          </w14:textFill>
        </w:rPr>
        <w:t>我校准确、按标准</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发放在任期内审核合格的昆明市学科带头人和骨干教师</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stheme="minorBidi"/>
          <w:color w:val="000000" w:themeColor="text1"/>
          <w:kern w:val="2"/>
          <w:sz w:val="32"/>
          <w:szCs w:val="32"/>
          <w:lang w:val="en-US" w:eastAsia="zh-CN" w:bidi="ar-SA"/>
          <w14:textFill>
            <w14:solidFill>
              <w14:schemeClr w14:val="tx1"/>
            </w14:solidFill>
          </w14:textFill>
        </w:rPr>
        <w:t>我校于9月份期间及时准确按标准</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发放在任期内审核合格的昆明市学科带头人和骨干教师</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充分发挥学科带头人和骨干教师队伍的示范和引领作用。</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昆明市学科带头人和骨干教师</w:t>
      </w:r>
      <w:r>
        <w:rPr>
          <w:rFonts w:hint="eastAsia" w:ascii="仿宋_GB2312" w:cstheme="minorBidi"/>
          <w:color w:val="000000" w:themeColor="text1"/>
          <w:kern w:val="2"/>
          <w:sz w:val="32"/>
          <w:szCs w:val="32"/>
          <w:lang w:val="en-US" w:eastAsia="zh-CN" w:bidi="ar-SA"/>
          <w14:textFill>
            <w14:solidFill>
              <w14:schemeClr w14:val="tx1"/>
            </w14:solidFill>
          </w14:textFill>
        </w:rPr>
        <w:t>的</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教科研津贴</w:t>
      </w:r>
      <w:r>
        <w:rPr>
          <w:rFonts w:hint="eastAsia" w:ascii="仿宋_GB2312" w:cstheme="minorBidi"/>
          <w:color w:val="000000" w:themeColor="text1"/>
          <w:kern w:val="2"/>
          <w:sz w:val="32"/>
          <w:szCs w:val="32"/>
          <w:lang w:val="en-US" w:eastAsia="zh-CN" w:bidi="ar-SA"/>
          <w14:textFill>
            <w14:solidFill>
              <w14:schemeClr w14:val="tx1"/>
            </w14:solidFill>
          </w14:textFill>
        </w:rPr>
        <w:t>，使其更好地</w:t>
      </w:r>
      <w:r>
        <w:rPr>
          <w:rFonts w:hint="eastAsia" w:ascii="仿宋_GB2312"/>
          <w:color w:val="000000" w:themeColor="text1"/>
          <w:szCs w:val="32"/>
          <w:lang w:val="en-US" w:eastAsia="zh-CN"/>
          <w14:textFill>
            <w14:solidFill>
              <w14:schemeClr w14:val="tx1"/>
            </w14:solidFill>
          </w14:textFill>
        </w:rPr>
        <w:t>发挥示范和引领作用。</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此项目为</w:t>
      </w:r>
      <w:r>
        <w:rPr>
          <w:rFonts w:hint="eastAsia" w:ascii="仿宋_GB2312"/>
          <w:color w:val="000000" w:themeColor="text1"/>
          <w:szCs w:val="32"/>
          <w14:textFill>
            <w14:solidFill>
              <w14:schemeClr w14:val="tx1"/>
            </w14:solidFill>
          </w14:textFill>
        </w:rPr>
        <w:t>持续性项目，</w:t>
      </w:r>
      <w:r>
        <w:rPr>
          <w:rFonts w:hint="eastAsia" w:ascii="仿宋_GB2312"/>
          <w:color w:val="000000" w:themeColor="text1"/>
          <w:szCs w:val="32"/>
          <w:lang w:val="en-US" w:eastAsia="zh-CN"/>
          <w14:textFill>
            <w14:solidFill>
              <w14:schemeClr w14:val="tx1"/>
            </w14:solidFill>
          </w14:textFill>
        </w:rPr>
        <w:t>上级文件从政策支持、资金来源、管理措施等方面确保项目的可持续发展</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p>
    <w:p>
      <w:pPr>
        <w:keepNext w:val="0"/>
        <w:keepLines w:val="0"/>
        <w:pageBreakBefore w:val="0"/>
        <w:numPr>
          <w:ilvl w:val="0"/>
          <w:numId w:val="0"/>
        </w:numPr>
        <w:kinsoku/>
        <w:wordWrap/>
        <w:overflowPunct/>
        <w:topLinePunct/>
        <w:autoSpaceDE/>
        <w:bidi w:val="0"/>
        <w:adjustRightInd/>
        <w:snapToGrid/>
        <w:spacing w:line="560" w:lineRule="exact"/>
        <w:textAlignment w:val="auto"/>
        <w:rPr>
          <w:rFonts w:hint="eastAsia" w:ascii="仿宋_GB2312"/>
          <w:color w:val="000000" w:themeColor="text1"/>
          <w:szCs w:val="32"/>
          <w:lang w:eastAsia="zh-CN"/>
          <w14:textFill>
            <w14:solidFill>
              <w14:schemeClr w14:val="tx1"/>
            </w14:solidFill>
          </w14:textFill>
        </w:rPr>
      </w:pP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2A34FF5"/>
    <w:rsid w:val="03027F56"/>
    <w:rsid w:val="04B97A5F"/>
    <w:rsid w:val="05AE36CA"/>
    <w:rsid w:val="09522518"/>
    <w:rsid w:val="0A8002E9"/>
    <w:rsid w:val="0B7F1182"/>
    <w:rsid w:val="171F6205"/>
    <w:rsid w:val="19A062DF"/>
    <w:rsid w:val="1C66427A"/>
    <w:rsid w:val="1D660B43"/>
    <w:rsid w:val="1FAD077C"/>
    <w:rsid w:val="20003F8D"/>
    <w:rsid w:val="20BB19C4"/>
    <w:rsid w:val="21994227"/>
    <w:rsid w:val="22E047A3"/>
    <w:rsid w:val="236678AA"/>
    <w:rsid w:val="23F70746"/>
    <w:rsid w:val="24680AF1"/>
    <w:rsid w:val="24842B6D"/>
    <w:rsid w:val="24D26C5E"/>
    <w:rsid w:val="287B088E"/>
    <w:rsid w:val="2B6C0126"/>
    <w:rsid w:val="2CDA085F"/>
    <w:rsid w:val="2D743A88"/>
    <w:rsid w:val="36316F31"/>
    <w:rsid w:val="378A5996"/>
    <w:rsid w:val="3A1377E3"/>
    <w:rsid w:val="3A9A1C9A"/>
    <w:rsid w:val="3DFD6642"/>
    <w:rsid w:val="3F354B22"/>
    <w:rsid w:val="42182FAC"/>
    <w:rsid w:val="42B75E86"/>
    <w:rsid w:val="43F57AD7"/>
    <w:rsid w:val="44C46394"/>
    <w:rsid w:val="45E66743"/>
    <w:rsid w:val="468E21A3"/>
    <w:rsid w:val="494958A1"/>
    <w:rsid w:val="4C4A6122"/>
    <w:rsid w:val="4DEC76B7"/>
    <w:rsid w:val="4F1349C6"/>
    <w:rsid w:val="4F961BB1"/>
    <w:rsid w:val="4FAA71B8"/>
    <w:rsid w:val="515E786A"/>
    <w:rsid w:val="51602484"/>
    <w:rsid w:val="51873DBF"/>
    <w:rsid w:val="53CE14A9"/>
    <w:rsid w:val="5577058B"/>
    <w:rsid w:val="56D1069E"/>
    <w:rsid w:val="57470B36"/>
    <w:rsid w:val="59961B8F"/>
    <w:rsid w:val="5A2E4710"/>
    <w:rsid w:val="5A3C6978"/>
    <w:rsid w:val="5AA0706B"/>
    <w:rsid w:val="5B1F1877"/>
    <w:rsid w:val="5B860D5A"/>
    <w:rsid w:val="5DC97D6B"/>
    <w:rsid w:val="63AC2FEA"/>
    <w:rsid w:val="64544156"/>
    <w:rsid w:val="64BA46B5"/>
    <w:rsid w:val="65A01FEE"/>
    <w:rsid w:val="65F638C0"/>
    <w:rsid w:val="660C1F29"/>
    <w:rsid w:val="67600811"/>
    <w:rsid w:val="69B67B76"/>
    <w:rsid w:val="6B444766"/>
    <w:rsid w:val="6D9C2C6E"/>
    <w:rsid w:val="70A007CE"/>
    <w:rsid w:val="70B35346"/>
    <w:rsid w:val="73E94DDC"/>
    <w:rsid w:val="766E036B"/>
    <w:rsid w:val="76F23C6B"/>
    <w:rsid w:val="78074C6F"/>
    <w:rsid w:val="782849C5"/>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8B00985FC2EC430D8B97DEB1BBFCA386_12</vt:lpwstr>
  </property>
</Properties>
</file>