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8A3E6">
      <w:pPr>
        <w:spacing w:line="600" w:lineRule="exact"/>
        <w:jc w:val="center"/>
        <w:rPr>
          <w:rFonts w:hint="eastAsia" w:ascii="方正小标宋_GBK" w:eastAsia="方正小标宋_GBK"/>
          <w:sz w:val="36"/>
          <w:szCs w:val="36"/>
          <w:lang w:val="en-US" w:eastAsia="zh-CN"/>
        </w:rPr>
      </w:pPr>
      <w:r>
        <w:rPr>
          <w:rFonts w:hint="eastAsia" w:ascii="方正小标宋_GBK" w:eastAsia="方正小标宋_GBK"/>
          <w:sz w:val="36"/>
          <w:szCs w:val="36"/>
          <w:lang w:val="en-US" w:eastAsia="zh-CN"/>
        </w:rPr>
        <w:t>昆明市呈贡区雨花街道社区卫生服务中心</w:t>
      </w:r>
    </w:p>
    <w:p w14:paraId="6269937E">
      <w:pPr>
        <w:spacing w:line="600" w:lineRule="exact"/>
        <w:jc w:val="center"/>
        <w:rPr>
          <w:rFonts w:ascii="方正小标宋_GBK" w:eastAsia="方正小标宋_GBK"/>
          <w:sz w:val="36"/>
          <w:szCs w:val="36"/>
        </w:rPr>
      </w:pPr>
      <w:r>
        <w:rPr>
          <w:rFonts w:hint="eastAsia" w:ascii="方正小标宋_GBK" w:eastAsia="方正小标宋_GBK"/>
          <w:sz w:val="36"/>
          <w:szCs w:val="36"/>
          <w:lang w:val="en-US" w:eastAsia="zh-CN"/>
        </w:rPr>
        <w:t>关于2023年</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14:paraId="240DAE6C">
      <w:pPr>
        <w:spacing w:line="600" w:lineRule="exact"/>
        <w:ind w:firstLine="594" w:firstLineChars="200"/>
        <w:rPr>
          <w:rFonts w:ascii="仿宋_GB2312"/>
          <w:b/>
          <w:szCs w:val="32"/>
        </w:rPr>
      </w:pPr>
    </w:p>
    <w:p w14:paraId="42634EF6">
      <w:pPr>
        <w:topLinePunct/>
        <w:ind w:firstLine="594" w:firstLineChars="200"/>
        <w:rPr>
          <w:rFonts w:ascii="黑体" w:eastAsia="黑体"/>
          <w:szCs w:val="32"/>
        </w:rPr>
      </w:pPr>
      <w:r>
        <w:rPr>
          <w:rFonts w:hint="eastAsia" w:ascii="黑体" w:eastAsia="黑体"/>
          <w:szCs w:val="32"/>
        </w:rPr>
        <w:t>一、项目基本情况</w:t>
      </w:r>
      <w:bookmarkStart w:id="0" w:name="_GoBack"/>
      <w:bookmarkEnd w:id="0"/>
    </w:p>
    <w:p w14:paraId="68C93720">
      <w:pPr>
        <w:topLinePunct/>
        <w:ind w:firstLine="594" w:firstLineChars="200"/>
        <w:rPr>
          <w:rFonts w:hint="eastAsia" w:ascii="仿宋_GB2312"/>
          <w:szCs w:val="32"/>
        </w:rPr>
      </w:pPr>
      <w:r>
        <w:rPr>
          <w:rFonts w:hint="eastAsia" w:ascii="仿宋_GB2312"/>
          <w:szCs w:val="32"/>
        </w:rPr>
        <w:t>（一）项目基本情况简介</w:t>
      </w:r>
    </w:p>
    <w:p w14:paraId="57AE40DE">
      <w:pPr>
        <w:topLinePunct/>
        <w:ind w:firstLine="594" w:firstLineChars="200"/>
        <w:rPr>
          <w:rFonts w:hint="eastAsia" w:ascii="仿宋_GB2312"/>
          <w:szCs w:val="32"/>
        </w:rPr>
      </w:pPr>
      <w:r>
        <w:rPr>
          <w:rFonts w:hint="eastAsia" w:ascii="仿宋_GB2312"/>
          <w:color w:val="auto"/>
          <w:szCs w:val="32"/>
          <w:lang w:val="en-US" w:eastAsia="zh-CN"/>
        </w:rPr>
        <w:t>2023年我单位</w:t>
      </w:r>
      <w:r>
        <w:rPr>
          <w:rFonts w:hint="eastAsia" w:ascii="仿宋_GB2312"/>
          <w:color w:val="auto"/>
          <w:szCs w:val="32"/>
        </w:rPr>
        <w:t>项</w:t>
      </w:r>
      <w:r>
        <w:rPr>
          <w:rFonts w:hint="eastAsia" w:ascii="仿宋_GB2312"/>
          <w:color w:val="auto"/>
          <w:szCs w:val="32"/>
          <w:lang w:val="en-US" w:eastAsia="zh-CN"/>
        </w:rPr>
        <w:t>目支出主要包括：</w:t>
      </w:r>
    </w:p>
    <w:p w14:paraId="470B7E1D">
      <w:pPr>
        <w:topLinePunct/>
        <w:ind w:firstLine="594" w:firstLineChars="200"/>
        <w:rPr>
          <w:rFonts w:hint="eastAsia" w:ascii="仿宋_GB2312" w:hAnsi="仿宋_GB2312" w:cs="仿宋_GB2312"/>
          <w:color w:val="auto"/>
          <w:szCs w:val="32"/>
          <w:lang w:val="en-US" w:eastAsia="zh-CN"/>
        </w:rPr>
      </w:pPr>
      <w:r>
        <w:rPr>
          <w:rFonts w:hint="eastAsia" w:ascii="仿宋_GB2312" w:hAnsi="仿宋_GB2312" w:cs="仿宋_GB2312"/>
          <w:color w:val="auto"/>
          <w:szCs w:val="32"/>
          <w:lang w:val="en-US" w:eastAsia="zh-CN"/>
        </w:rPr>
        <w:t>1、</w:t>
      </w:r>
      <w:r>
        <w:rPr>
          <w:rFonts w:hint="eastAsia" w:ascii="仿宋_GB2312" w:hAnsi="仿宋_GB2312" w:eastAsia="仿宋_GB2312" w:cs="仿宋_GB2312"/>
          <w:color w:val="auto"/>
          <w:szCs w:val="32"/>
          <w:lang w:val="en-US" w:eastAsia="zh-CN"/>
        </w:rPr>
        <w:t>基本公共卫生服务项目补助资金（含中央、省级）</w:t>
      </w:r>
      <w:r>
        <w:rPr>
          <w:rFonts w:hint="eastAsia" w:ascii="仿宋_GB2312" w:hAnsi="仿宋_GB2312" w:cs="仿宋_GB2312"/>
          <w:color w:val="auto"/>
          <w:szCs w:val="32"/>
          <w:lang w:val="en-US" w:eastAsia="zh-CN"/>
        </w:rPr>
        <w:t>用于</w:t>
      </w:r>
      <w:r>
        <w:rPr>
          <w:rFonts w:hint="eastAsia" w:ascii="仿宋_GB2312" w:hAnsi="仿宋_GB2312" w:eastAsia="仿宋_GB2312" w:cs="仿宋_GB2312"/>
          <w:color w:val="auto"/>
          <w:szCs w:val="32"/>
          <w:lang w:val="en-US" w:eastAsia="zh-CN"/>
        </w:rPr>
        <w:t>保证</w:t>
      </w:r>
      <w:r>
        <w:rPr>
          <w:rFonts w:hint="default" w:ascii="仿宋_GB2312" w:hAnsi="仿宋_GB2312" w:eastAsia="仿宋_GB2312" w:cs="仿宋_GB2312"/>
          <w:color w:val="auto"/>
          <w:szCs w:val="32"/>
          <w:lang w:val="en-US" w:eastAsia="zh-CN"/>
        </w:rPr>
        <w:t>202</w:t>
      </w: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lang w:val="en-US" w:eastAsia="zh-CN"/>
        </w:rPr>
        <w:t>年基层医疗卫生机构为城乡居民提供基本公共卫生服务工作的顺利开展，免费为辖区</w:t>
      </w:r>
      <w:r>
        <w:rPr>
          <w:rFonts w:hint="eastAsia" w:ascii="仿宋_GB2312" w:hAnsi="仿宋_GB2312" w:cs="仿宋_GB2312"/>
          <w:color w:val="auto"/>
          <w:szCs w:val="32"/>
          <w:lang w:val="en-US" w:eastAsia="zh-CN"/>
        </w:rPr>
        <w:t>群众</w:t>
      </w:r>
      <w:r>
        <w:rPr>
          <w:rFonts w:hint="eastAsia" w:ascii="仿宋_GB2312" w:hAnsi="仿宋_GB2312" w:eastAsia="仿宋_GB2312" w:cs="仿宋_GB2312"/>
          <w:color w:val="auto"/>
          <w:szCs w:val="32"/>
          <w:lang w:val="en-US" w:eastAsia="zh-CN"/>
        </w:rPr>
        <w:t>提供健康档案、健康教育、预防接种、传染病防治、儿童保健、孕产妇保健、老年人保健、高血压、糖尿病、严重精神障碍患者等慢性病管理、卫生监督协管等国家基本公共卫生服务项目。通过基本公共卫生服务工作持续开展，基层加强了患者管理、健康教育及服务满意度提升等工作，知晓率进一步提高，治病防病意识不断加强，治疗依从性明显提高。规范财政资金管理，牢固树立预算绩效理念，强化项目支出责任，提高财政资金使用效益，提升项目实施能力。项目实施，可促进居民健康意识的提高和不良生活方式的改变，逐步树立起自我健康管理的理念；可以减少主要健康危险因素，预防和控制传染病及慢性病的发生和流行；可以提高公共卫生服务和突发公共卫生服务应急处置能力，建立起维护居民健康的第一道屏障，对于提高居民健康素质有重要促进作用</w:t>
      </w:r>
      <w:r>
        <w:rPr>
          <w:rFonts w:hint="eastAsia" w:ascii="仿宋_GB2312" w:hAnsi="仿宋_GB2312" w:cs="仿宋_GB2312"/>
          <w:color w:val="auto"/>
          <w:szCs w:val="32"/>
          <w:lang w:val="en-US" w:eastAsia="zh-CN"/>
        </w:rPr>
        <w:t>。</w:t>
      </w:r>
    </w:p>
    <w:p w14:paraId="6C0C958E">
      <w:pPr>
        <w:topLinePunct/>
        <w:ind w:firstLine="594" w:firstLineChars="200"/>
        <w:rPr>
          <w:rFonts w:hint="eastAsia" w:ascii="仿宋_GB2312" w:hAnsi="仿宋_GB2312" w:eastAsia="仿宋_GB2312" w:cs="仿宋_GB2312"/>
          <w:color w:val="auto"/>
          <w:szCs w:val="32"/>
          <w:lang w:val="en-US" w:eastAsia="zh-CN"/>
        </w:rPr>
      </w:pPr>
      <w:r>
        <w:rPr>
          <w:rFonts w:hint="eastAsia" w:ascii="仿宋_GB2312" w:hAnsi="仿宋_GB2312" w:cs="仿宋_GB2312"/>
          <w:color w:val="auto"/>
          <w:szCs w:val="32"/>
          <w:lang w:val="en-US" w:eastAsia="zh-CN"/>
        </w:rPr>
        <w:t>2、</w:t>
      </w:r>
      <w:r>
        <w:rPr>
          <w:rFonts w:hint="eastAsia" w:ascii="仿宋_GB2312" w:hAnsi="仿宋_GB2312" w:eastAsia="仿宋_GB2312" w:cs="仿宋_GB2312"/>
          <w:color w:val="auto"/>
          <w:szCs w:val="32"/>
          <w:lang w:val="en-US" w:eastAsia="zh-CN"/>
        </w:rPr>
        <w:t>基本药物制度补助资金（含中央、省级）用于执行国家基本药物制度，保障群众安全用药，规范医疗门诊。规范使用补助资金。引导科学就医和安全合理用药。在实施基本药物制度后，我中心坚持</w:t>
      </w:r>
      <w:r>
        <w:rPr>
          <w:rFonts w:hint="default"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lang w:val="en-US" w:eastAsia="zh-CN"/>
        </w:rPr>
        <w:t>保基本、强基层、建机制</w:t>
      </w:r>
      <w:r>
        <w:rPr>
          <w:rFonts w:hint="default"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lang w:val="en-US" w:eastAsia="zh-CN"/>
        </w:rPr>
        <w:t>的医改基本原则，了解我中心基本药物补助资金的使用情况和取得的效果，总结实施国家基本药物制度项目管理经验，发现项目实施中存在的问题，进一步加强和规范项目资金管理，在保证国家基本药物制度规范实施的前提下节约成本，有效推进医药卫生体系改革。通过使用基药补助资金规范使用，节约医疗成本，降低患者看病成本，推进医疗业务有序开展。</w:t>
      </w:r>
    </w:p>
    <w:p w14:paraId="41409B54">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eastAsia="仿宋_GB2312" w:cs="仿宋_GB2312"/>
          <w:color w:val="auto"/>
          <w:szCs w:val="32"/>
          <w:lang w:val="en-US" w:eastAsia="zh-CN"/>
        </w:rPr>
      </w:pP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lang w:val="en-US" w:eastAsia="zh-CN"/>
        </w:rPr>
        <w:t>重大传染病防控中央补助资金</w:t>
      </w:r>
      <w:r>
        <w:rPr>
          <w:rFonts w:hint="eastAsia" w:ascii="仿宋_GB2312" w:hAnsi="仿宋_GB2312" w:cs="仿宋_GB2312"/>
          <w:color w:val="auto"/>
          <w:szCs w:val="32"/>
          <w:lang w:val="en-US" w:eastAsia="zh-CN"/>
        </w:rPr>
        <w:t>用于</w:t>
      </w:r>
      <w:r>
        <w:rPr>
          <w:rFonts w:hint="eastAsia" w:ascii="仿宋_GB2312" w:hAnsi="仿宋_GB2312" w:eastAsia="仿宋_GB2312" w:cs="仿宋_GB2312"/>
          <w:color w:val="auto"/>
          <w:szCs w:val="32"/>
          <w:lang w:val="en-US" w:eastAsia="zh-CN"/>
        </w:rPr>
        <w:t>重大传染病防控</w:t>
      </w:r>
      <w:r>
        <w:rPr>
          <w:rFonts w:hint="eastAsia" w:ascii="仿宋_GB2312" w:hAnsi="仿宋_GB2312" w:cs="仿宋_GB2312"/>
          <w:color w:val="auto"/>
          <w:szCs w:val="32"/>
          <w:lang w:val="en-US" w:eastAsia="zh-CN"/>
        </w:rPr>
        <w:t>，用于冷链存储、运转、监测等相关设备的维护更新，预防接种信息系统建设及维护等预防接种相关工作，及结核病原学患者密切接触者筛查工作。</w:t>
      </w:r>
    </w:p>
    <w:p w14:paraId="65B94864">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color w:val="auto"/>
          <w:szCs w:val="32"/>
          <w:lang w:val="en-US" w:eastAsia="zh-CN"/>
        </w:rPr>
      </w:pPr>
      <w:r>
        <w:rPr>
          <w:rFonts w:hint="eastAsia" w:ascii="仿宋_GB2312" w:hAnsi="仿宋_GB2312" w:cs="仿宋_GB2312"/>
          <w:color w:val="auto"/>
          <w:szCs w:val="32"/>
          <w:lang w:val="en-US" w:eastAsia="zh-CN"/>
        </w:rPr>
        <w:t>4、</w:t>
      </w:r>
      <w:r>
        <w:rPr>
          <w:rFonts w:hint="eastAsia" w:ascii="仿宋_GB2312" w:hAnsi="仿宋_GB2312" w:eastAsia="仿宋_GB2312" w:cs="仿宋_GB2312"/>
          <w:color w:val="auto"/>
          <w:szCs w:val="32"/>
          <w:lang w:val="en-US" w:eastAsia="zh-CN"/>
        </w:rPr>
        <w:t>新冠病毒感染过渡期医务人员临时性工作补助资金（含中央、省级、区级）</w:t>
      </w:r>
      <w:r>
        <w:rPr>
          <w:rFonts w:hint="eastAsia" w:ascii="仿宋_GB2312" w:hAnsi="仿宋_GB2312" w:cs="仿宋_GB2312"/>
          <w:color w:val="auto"/>
          <w:szCs w:val="32"/>
          <w:lang w:val="en-US" w:eastAsia="zh-CN"/>
        </w:rPr>
        <w:t>用于</w:t>
      </w:r>
      <w:r>
        <w:rPr>
          <w:rFonts w:hint="eastAsia" w:ascii="仿宋_GB2312" w:hAnsi="仿宋_GB2312" w:eastAsia="仿宋_GB2312" w:cs="仿宋_GB2312"/>
          <w:color w:val="auto"/>
          <w:szCs w:val="32"/>
          <w:lang w:val="en-US" w:eastAsia="zh-CN"/>
        </w:rPr>
        <w:t>新冠病毒感染过渡期医务人员临时性工作补助</w:t>
      </w:r>
      <w:r>
        <w:rPr>
          <w:rFonts w:hint="eastAsia" w:ascii="仿宋_GB2312" w:hAnsi="仿宋_GB2312" w:cs="仿宋_GB2312"/>
          <w:color w:val="auto"/>
          <w:szCs w:val="32"/>
          <w:lang w:val="en-US" w:eastAsia="zh-CN"/>
        </w:rPr>
        <w:t>。</w:t>
      </w:r>
    </w:p>
    <w:p w14:paraId="3A846BCE">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eastAsia="仿宋_GB2312" w:cs="仿宋_GB2312"/>
          <w:color w:val="auto"/>
          <w:szCs w:val="32"/>
          <w:lang w:val="en-US" w:eastAsia="zh-CN"/>
        </w:rPr>
      </w:pPr>
      <w:r>
        <w:rPr>
          <w:rFonts w:hint="eastAsia" w:ascii="仿宋_GB2312" w:hAnsi="仿宋_GB2312" w:cs="仿宋_GB2312"/>
          <w:color w:val="auto"/>
          <w:szCs w:val="32"/>
          <w:lang w:val="en-US" w:eastAsia="zh-CN"/>
        </w:rPr>
        <w:t>5、</w:t>
      </w:r>
      <w:r>
        <w:rPr>
          <w:rFonts w:hint="default" w:ascii="仿宋_GB2312" w:hAnsi="仿宋_GB2312" w:eastAsia="仿宋_GB2312" w:cs="仿宋_GB2312"/>
          <w:color w:val="auto"/>
          <w:szCs w:val="32"/>
          <w:lang w:val="en-US" w:eastAsia="zh-CN"/>
        </w:rPr>
        <w:t>重大活动医疗保障经费</w:t>
      </w:r>
      <w:r>
        <w:rPr>
          <w:rFonts w:hint="eastAsia" w:ascii="仿宋_GB2312" w:hAnsi="仿宋_GB2312" w:cs="仿宋_GB2312"/>
          <w:color w:val="auto"/>
          <w:szCs w:val="32"/>
          <w:lang w:val="en-US" w:eastAsia="zh-CN"/>
        </w:rPr>
        <w:t>用于预防呈贡区突发公共卫生事件，保障区级各项重大活动顺利进行，配备救护车和医护人员及医疗药品器械等物资，做好呈贡区重大活动医疗保障工作。</w:t>
      </w:r>
    </w:p>
    <w:p w14:paraId="1DBA8DB5">
      <w:pPr>
        <w:topLinePunct/>
        <w:ind w:firstLine="594" w:firstLineChars="200"/>
        <w:rPr>
          <w:rFonts w:hint="eastAsia" w:ascii="仿宋_GB2312"/>
          <w:szCs w:val="32"/>
        </w:rPr>
      </w:pPr>
      <w:r>
        <w:rPr>
          <w:rFonts w:hint="eastAsia" w:ascii="仿宋_GB2312"/>
          <w:szCs w:val="32"/>
        </w:rPr>
        <w:t>（二）绩效目标设定及指标完成情况。</w:t>
      </w:r>
    </w:p>
    <w:p w14:paraId="07EF045A">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szCs w:val="32"/>
          <w:lang w:val="en-US" w:eastAsia="zh-CN"/>
        </w:rPr>
      </w:pPr>
      <w:r>
        <w:rPr>
          <w:rFonts w:hint="eastAsia" w:ascii="仿宋_GB2312"/>
          <w:szCs w:val="32"/>
          <w:lang w:val="en-US" w:eastAsia="zh-CN"/>
        </w:rPr>
        <w:t>绩效目标设定：</w:t>
      </w:r>
    </w:p>
    <w:p w14:paraId="6F391846">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eastAsia="仿宋_GB2312" w:cs="仿宋_GB2312"/>
          <w:color w:val="auto"/>
          <w:szCs w:val="32"/>
          <w:lang w:val="en-US" w:eastAsia="zh-CN"/>
        </w:rPr>
      </w:pPr>
      <w:r>
        <w:rPr>
          <w:rFonts w:hint="eastAsia" w:ascii="仿宋_GB2312" w:hAnsi="仿宋_GB2312" w:cs="仿宋_GB2312"/>
          <w:color w:val="auto"/>
          <w:szCs w:val="32"/>
          <w:lang w:val="en-US" w:eastAsia="zh-CN"/>
        </w:rPr>
        <w:t>1、</w:t>
      </w:r>
      <w:r>
        <w:rPr>
          <w:rFonts w:hint="eastAsia" w:ascii="仿宋_GB2312" w:hAnsi="仿宋_GB2312" w:eastAsia="仿宋_GB2312" w:cs="仿宋_GB2312"/>
          <w:color w:val="auto"/>
          <w:szCs w:val="32"/>
          <w:lang w:val="en-US" w:eastAsia="zh-CN"/>
        </w:rPr>
        <w:t>基本公共卫生服务项目补助资金</w:t>
      </w:r>
      <w:r>
        <w:rPr>
          <w:rFonts w:hint="eastAsia" w:ascii="仿宋_GB2312" w:hAnsi="仿宋_GB2312" w:cs="仿宋_GB2312"/>
          <w:color w:val="auto"/>
          <w:szCs w:val="32"/>
          <w:lang w:val="en-US" w:eastAsia="zh-CN"/>
        </w:rPr>
        <w:t>：</w:t>
      </w:r>
      <w:r>
        <w:rPr>
          <w:rFonts w:hint="eastAsia" w:ascii="仿宋_GB2312" w:hAnsi="仿宋_GB2312" w:eastAsia="仿宋_GB2312" w:cs="仿宋_GB2312"/>
          <w:color w:val="auto"/>
          <w:szCs w:val="32"/>
          <w:lang w:val="en-US" w:eastAsia="zh-CN"/>
        </w:rPr>
        <w:t>免费向城乡居民提供基本公共卫生服务，促进基本公共卫生服务均等化。按照《国家基本公共卫生服务规范(第三版)》为城乡居民建立健康档案，开展健康教育、预防接种等服务。将 0-6岁儿童、65岁以上老年人、孕产妇、原发性高血压和 2型糖尿病患者、严重精神障碍患者、肺结核患者列为重点人群，提供针对性的健康管理服务。重点行业领域监督检查覆盖率达到 95%以上，国家随机监督抽查任务完结率达到 90%以上。为 65岁以上老年人提供医养结合服务和为 65岁以上失能老年人提供健康评估与健康服务。</w:t>
      </w:r>
    </w:p>
    <w:p w14:paraId="671E5511">
      <w:pPr>
        <w:topLinePunct/>
        <w:ind w:firstLine="594" w:firstLineChars="200"/>
        <w:rPr>
          <w:rFonts w:hint="eastAsia" w:ascii="仿宋_GB2312" w:hAnsi="仿宋_GB2312" w:cs="仿宋_GB2312"/>
          <w:color w:val="auto"/>
          <w:szCs w:val="32"/>
          <w:lang w:val="en-US" w:eastAsia="zh-CN"/>
        </w:rPr>
      </w:pPr>
      <w:r>
        <w:rPr>
          <w:rFonts w:hint="eastAsia" w:ascii="仿宋_GB2312"/>
          <w:szCs w:val="32"/>
          <w:lang w:val="en-US" w:eastAsia="zh-CN"/>
        </w:rPr>
        <w:t>2、</w:t>
      </w:r>
      <w:r>
        <w:rPr>
          <w:rFonts w:hint="eastAsia" w:ascii="仿宋_GB2312" w:hAnsi="仿宋_GB2312" w:eastAsia="仿宋_GB2312" w:cs="仿宋_GB2312"/>
          <w:color w:val="auto"/>
          <w:szCs w:val="32"/>
          <w:lang w:val="en-US" w:eastAsia="zh-CN"/>
        </w:rPr>
        <w:t>基本药物制度补助资金</w:t>
      </w:r>
      <w:r>
        <w:rPr>
          <w:rFonts w:hint="eastAsia" w:ascii="仿宋_GB2312" w:hAnsi="仿宋_GB2312" w:cs="仿宋_GB2312"/>
          <w:color w:val="auto"/>
          <w:szCs w:val="32"/>
          <w:lang w:val="en-US" w:eastAsia="zh-CN"/>
        </w:rPr>
        <w:t>：保证所有政府办基层医疗卫生机构实施国家基本药物制度，推进综合改革顺利进行。对实施国家基本药物制度的村卫生室给予补助，支持国家基本药物制度在村卫生室顺利实施。</w:t>
      </w:r>
    </w:p>
    <w:p w14:paraId="23230227">
      <w:pPr>
        <w:topLinePunct/>
        <w:ind w:firstLine="594" w:firstLineChars="200"/>
        <w:rPr>
          <w:rFonts w:hint="eastAsia" w:ascii="仿宋_GB2312" w:hAnsi="仿宋_GB2312" w:cs="仿宋_GB2312"/>
          <w:color w:val="auto"/>
          <w:szCs w:val="32"/>
          <w:lang w:val="en-US" w:eastAsia="zh-CN"/>
        </w:rPr>
      </w:pPr>
      <w:r>
        <w:rPr>
          <w:rFonts w:hint="eastAsia" w:ascii="仿宋_GB2312" w:hAnsi="仿宋_GB2312" w:cs="仿宋_GB2312"/>
          <w:color w:val="auto"/>
          <w:szCs w:val="32"/>
          <w:lang w:val="en-US" w:eastAsia="zh-CN"/>
        </w:rPr>
        <w:t>3、</w:t>
      </w:r>
      <w:r>
        <w:rPr>
          <w:rFonts w:hint="eastAsia" w:ascii="仿宋_GB2312" w:hAnsi="仿宋_GB2312" w:eastAsia="仿宋_GB2312" w:cs="仿宋_GB2312"/>
          <w:color w:val="auto"/>
          <w:szCs w:val="32"/>
          <w:lang w:val="en-US" w:eastAsia="zh-CN"/>
        </w:rPr>
        <w:t>重大传染病防控中央补助资金</w:t>
      </w:r>
      <w:r>
        <w:rPr>
          <w:rFonts w:hint="eastAsia" w:ascii="仿宋_GB2312" w:hAnsi="仿宋_GB2312" w:cs="仿宋_GB2312"/>
          <w:color w:val="auto"/>
          <w:szCs w:val="32"/>
          <w:lang w:val="en-US" w:eastAsia="zh-CN"/>
        </w:rPr>
        <w:t>：做好国家免疫规划疫苗及国家要求的应急储备疫苗需求计划，组织辖区内0-6岁适龄儿童的国家免疫规划疫苗接种实施，保证疫苗应用效果评估和疑似预防接种异常反应监测达到国家和省级要求，保证以街道为单位适龄儿童国家免疫规划疫苗接种率达到90%以上，保护儿童身体健康。人群包虫病筛查任务、包虫病监测任务和家犬驱虫任务完成率在85%以上。开展重大慢性病早期筛查干预项目，落实慢性病及其相关危险因素监测。加强严重精神障碍患者筛查、登记报告和随访服务，开展社会心理服务体系建设试点。掌握新冠肺炎疫情、主要病原和影响因素等状况及变化趋势。推动优化、整合及拓展现有传染病监测网络，为长期、连续、系统地收集疫情信息，实现数据的深度分析与综合利用提供技术支持。开展病毒性腹泻哨点监测，掌握病毒性腹泻流行情况，为制定防制策略提供依据。开展病毒性腹泻暴发疫情监测，掌握病毒性腹泻暴发疫情的主要病原及其流行特征，调查处置病毒性腹泻暴发疫情。开展细菌性传染病暴发疫情监测。减少艾滋病新发感染率，降低艾滋病病死率。艾滋病疫情稳中有降，无经输血传播，母婴传播率控制在2%以下，艾滋病病毒感染者和病人检测发现率达90%,存活感染者和病人正在接受抗病毒治疗的比例达90%,治疗有效率达90%。加强项目管理，按照项目方案完成工作，达到项目目标，资金按进度执行完毕。</w:t>
      </w:r>
    </w:p>
    <w:p w14:paraId="29CE9898">
      <w:pPr>
        <w:topLinePunct/>
        <w:ind w:firstLine="594" w:firstLineChars="200"/>
        <w:rPr>
          <w:rFonts w:hint="eastAsia" w:ascii="仿宋_GB2312" w:hAnsi="仿宋_GB2312" w:cs="仿宋_GB2312"/>
          <w:color w:val="auto"/>
          <w:szCs w:val="32"/>
          <w:lang w:val="en-US" w:eastAsia="zh-CN"/>
        </w:rPr>
      </w:pPr>
      <w:r>
        <w:rPr>
          <w:rFonts w:hint="eastAsia" w:ascii="仿宋_GB2312" w:hAnsi="仿宋_GB2312" w:cs="仿宋_GB2312"/>
          <w:color w:val="auto"/>
          <w:szCs w:val="32"/>
          <w:lang w:val="en-US" w:eastAsia="zh-CN"/>
        </w:rPr>
        <w:t>4、</w:t>
      </w:r>
      <w:r>
        <w:rPr>
          <w:rFonts w:hint="eastAsia" w:ascii="仿宋_GB2312" w:hAnsi="仿宋_GB2312" w:eastAsia="仿宋_GB2312" w:cs="仿宋_GB2312"/>
          <w:color w:val="auto"/>
          <w:szCs w:val="32"/>
          <w:lang w:val="en-US" w:eastAsia="zh-CN"/>
        </w:rPr>
        <w:t>新冠病毒感染过渡期医务人员临时性工作补助资金</w:t>
      </w:r>
      <w:r>
        <w:rPr>
          <w:rFonts w:hint="eastAsia" w:ascii="仿宋_GB2312" w:hAnsi="仿宋_GB2312" w:cs="仿宋_GB2312"/>
          <w:color w:val="auto"/>
          <w:szCs w:val="32"/>
          <w:lang w:val="en-US" w:eastAsia="zh-CN"/>
        </w:rPr>
        <w:t>：根据有关要求，下达新冠病毒感染过渡期医务人员区级临时性工作补助资金，及时足额兑付个人。</w:t>
      </w:r>
    </w:p>
    <w:p w14:paraId="2FC08AA7">
      <w:pPr>
        <w:topLinePunct/>
        <w:ind w:firstLine="594" w:firstLineChars="200"/>
        <w:rPr>
          <w:rFonts w:hint="eastAsia" w:ascii="仿宋_GB2312" w:hAnsi="仿宋_GB2312" w:cs="仿宋_GB2312"/>
          <w:color w:val="auto"/>
          <w:szCs w:val="32"/>
          <w:lang w:val="en-US" w:eastAsia="zh-CN"/>
        </w:rPr>
      </w:pPr>
      <w:r>
        <w:rPr>
          <w:rFonts w:hint="eastAsia" w:ascii="仿宋_GB2312" w:hAnsi="仿宋_GB2312" w:cs="仿宋_GB2312"/>
          <w:color w:val="auto"/>
          <w:szCs w:val="32"/>
          <w:lang w:val="en-US" w:eastAsia="zh-CN"/>
        </w:rPr>
        <w:t>5、</w:t>
      </w:r>
      <w:r>
        <w:rPr>
          <w:rFonts w:hint="default" w:ascii="仿宋_GB2312" w:hAnsi="仿宋_GB2312" w:eastAsia="仿宋_GB2312" w:cs="仿宋_GB2312"/>
          <w:color w:val="auto"/>
          <w:szCs w:val="32"/>
          <w:lang w:val="en-US" w:eastAsia="zh-CN"/>
        </w:rPr>
        <w:t>重大活动医疗保障经费</w:t>
      </w:r>
      <w:r>
        <w:rPr>
          <w:rFonts w:hint="eastAsia" w:ascii="仿宋_GB2312" w:hAnsi="仿宋_GB2312" w:cs="仿宋_GB2312"/>
          <w:color w:val="auto"/>
          <w:szCs w:val="32"/>
          <w:lang w:val="en-US" w:eastAsia="zh-CN"/>
        </w:rPr>
        <w:t>：预防突发公共卫生事件，保障区级各项活动顺利进行，做好医疗保障工作。</w:t>
      </w:r>
    </w:p>
    <w:p w14:paraId="3CF2F98C">
      <w:pPr>
        <w:topLinePunct/>
        <w:ind w:firstLine="594" w:firstLineChars="200"/>
        <w:rPr>
          <w:rFonts w:hint="eastAsia" w:ascii="仿宋_GB2312" w:hAnsi="仿宋_GB2312" w:cs="仿宋_GB2312"/>
          <w:color w:val="auto"/>
          <w:szCs w:val="32"/>
          <w:lang w:val="en-US" w:eastAsia="zh-CN"/>
        </w:rPr>
      </w:pPr>
      <w:r>
        <w:rPr>
          <w:rFonts w:hint="eastAsia" w:ascii="仿宋_GB2312" w:hAnsi="仿宋_GB2312" w:cs="仿宋_GB2312"/>
          <w:color w:val="auto"/>
          <w:szCs w:val="32"/>
          <w:lang w:val="en-US" w:eastAsia="zh-CN"/>
        </w:rPr>
        <w:t>指标完成情况：</w:t>
      </w:r>
    </w:p>
    <w:p w14:paraId="04875B80">
      <w:pPr>
        <w:numPr>
          <w:ilvl w:val="0"/>
          <w:numId w:val="1"/>
        </w:numPr>
        <w:topLinePunct/>
        <w:ind w:firstLine="594"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项目绩效目标完成任务量：截止2023年12月31日，中心完成绩效目标任务100%。</w:t>
      </w:r>
    </w:p>
    <w:p w14:paraId="2CE763A6">
      <w:pPr>
        <w:numPr>
          <w:ilvl w:val="0"/>
          <w:numId w:val="0"/>
        </w:numPr>
        <w:topLinePunct/>
        <w:ind w:firstLine="594" w:firstLineChars="200"/>
        <w:rPr>
          <w:rFonts w:hint="default" w:ascii="仿宋_GB2312" w:hAnsi="仿宋_GB2312" w:cs="仿宋_GB2312"/>
          <w:color w:val="auto"/>
          <w:szCs w:val="32"/>
          <w:lang w:val="en-US" w:eastAsia="zh-CN"/>
        </w:rPr>
      </w:pPr>
      <w:r>
        <w:rPr>
          <w:rFonts w:hint="eastAsia" w:ascii="仿宋" w:hAnsi="仿宋" w:eastAsia="仿宋" w:cs="仿宋"/>
          <w:sz w:val="32"/>
          <w:szCs w:val="32"/>
          <w:lang w:val="en-US" w:eastAsia="zh-CN"/>
        </w:rPr>
        <w:t>2、项目绩效目标完成质量：中心在上级领导及部门有序的安排下，不断提高服务水平，满意度为100%。</w:t>
      </w:r>
    </w:p>
    <w:p w14:paraId="2C4C993E">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14:paraId="1672C8B3">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eastAsia="仿宋_GB2312" w:cs="仿宋_GB2312"/>
          <w:szCs w:val="32"/>
          <w:lang w:val="en-US" w:eastAsia="zh-CN"/>
        </w:rPr>
      </w:pPr>
      <w:r>
        <w:rPr>
          <w:rFonts w:hint="eastAsia" w:ascii="仿宋_GB2312" w:hAnsi="仿宋_GB2312" w:cs="仿宋_GB2312"/>
          <w:szCs w:val="32"/>
          <w:lang w:val="en-US" w:eastAsia="zh-CN"/>
        </w:rPr>
        <w:t>2023年我单位项目资金总支出271.83万元，其中包括：</w:t>
      </w:r>
      <w:r>
        <w:rPr>
          <w:rFonts w:hint="eastAsia" w:ascii="仿宋_GB2312" w:hAnsi="仿宋_GB2312" w:eastAsia="仿宋_GB2312" w:cs="仿宋_GB2312"/>
          <w:color w:val="auto"/>
          <w:szCs w:val="32"/>
          <w:lang w:val="en-US" w:eastAsia="zh-CN"/>
        </w:rPr>
        <w:t>基本药物制度补助资金（含中央、省级）</w:t>
      </w:r>
      <w:r>
        <w:rPr>
          <w:rFonts w:hint="eastAsia" w:ascii="仿宋_GB2312" w:hAnsi="仿宋_GB2312" w:cs="仿宋_GB2312"/>
          <w:color w:val="auto"/>
          <w:szCs w:val="32"/>
          <w:lang w:val="en-US" w:eastAsia="zh-CN"/>
        </w:rPr>
        <w:t>支出32.24万元，占总支出的11.86%、</w:t>
      </w:r>
      <w:r>
        <w:rPr>
          <w:rFonts w:hint="eastAsia" w:ascii="仿宋_GB2312" w:hAnsi="仿宋_GB2312" w:eastAsia="仿宋_GB2312" w:cs="仿宋_GB2312"/>
          <w:color w:val="auto"/>
          <w:szCs w:val="32"/>
          <w:lang w:val="en-US" w:eastAsia="zh-CN"/>
        </w:rPr>
        <w:t>基本公共卫生服务项目补助资金（含中央、省级）</w:t>
      </w:r>
      <w:r>
        <w:rPr>
          <w:rFonts w:hint="eastAsia" w:ascii="仿宋_GB2312" w:hAnsi="仿宋_GB2312" w:cs="仿宋_GB2312"/>
          <w:color w:val="auto"/>
          <w:szCs w:val="32"/>
          <w:lang w:val="en-US" w:eastAsia="zh-CN"/>
        </w:rPr>
        <w:t>支出225.59万元，占总支出的82.98%、</w:t>
      </w:r>
      <w:r>
        <w:rPr>
          <w:rFonts w:hint="eastAsia" w:ascii="仿宋_GB2312" w:hAnsi="仿宋_GB2312" w:eastAsia="仿宋_GB2312" w:cs="仿宋_GB2312"/>
          <w:color w:val="auto"/>
          <w:szCs w:val="32"/>
          <w:lang w:val="en-US" w:eastAsia="zh-CN"/>
        </w:rPr>
        <w:t>重大传染病防控中央补助资金</w:t>
      </w:r>
      <w:r>
        <w:rPr>
          <w:rFonts w:hint="eastAsia" w:ascii="仿宋_GB2312" w:hAnsi="仿宋_GB2312" w:cs="仿宋_GB2312"/>
          <w:color w:val="auto"/>
          <w:szCs w:val="32"/>
          <w:lang w:val="en-US" w:eastAsia="zh-CN"/>
        </w:rPr>
        <w:t>支出3.77万元，占总支出的1.39%、</w:t>
      </w:r>
      <w:r>
        <w:rPr>
          <w:rFonts w:hint="eastAsia" w:ascii="仿宋_GB2312" w:hAnsi="仿宋_GB2312" w:eastAsia="仿宋_GB2312" w:cs="仿宋_GB2312"/>
          <w:color w:val="auto"/>
          <w:szCs w:val="32"/>
          <w:lang w:val="en-US" w:eastAsia="zh-CN"/>
        </w:rPr>
        <w:t>新冠病毒感染过渡期医务人员临时性工作补助资金（含中央、省级、区级）</w:t>
      </w:r>
      <w:r>
        <w:rPr>
          <w:rFonts w:hint="eastAsia" w:ascii="仿宋_GB2312" w:hAnsi="仿宋_GB2312" w:cs="仿宋_GB2312"/>
          <w:color w:val="auto"/>
          <w:szCs w:val="32"/>
          <w:lang w:val="en-US" w:eastAsia="zh-CN"/>
        </w:rPr>
        <w:t>支出9.95万元，占总支出的3.67%、</w:t>
      </w:r>
      <w:r>
        <w:rPr>
          <w:rFonts w:hint="default" w:ascii="仿宋_GB2312" w:hAnsi="仿宋_GB2312" w:eastAsia="仿宋_GB2312" w:cs="仿宋_GB2312"/>
          <w:color w:val="auto"/>
          <w:szCs w:val="32"/>
          <w:lang w:val="en-US" w:eastAsia="zh-CN"/>
        </w:rPr>
        <w:t>重大活动医疗保障经费</w:t>
      </w:r>
      <w:r>
        <w:rPr>
          <w:rFonts w:hint="eastAsia" w:ascii="仿宋_GB2312" w:hAnsi="仿宋_GB2312" w:cs="仿宋_GB2312"/>
          <w:color w:val="auto"/>
          <w:szCs w:val="32"/>
          <w:lang w:val="en-US" w:eastAsia="zh-CN"/>
        </w:rPr>
        <w:t>0.28万元，占总支出的0.1%。</w:t>
      </w:r>
      <w:r>
        <w:rPr>
          <w:rFonts w:hint="default" w:ascii="仿宋_GB2312" w:hAnsi="仿宋_GB2312" w:eastAsia="仿宋_GB2312" w:cs="仿宋_GB2312"/>
          <w:color w:val="auto"/>
          <w:szCs w:val="32"/>
          <w:lang w:val="en-US" w:eastAsia="zh-CN"/>
        </w:rPr>
        <w:t>我</w:t>
      </w:r>
      <w:r>
        <w:rPr>
          <w:rFonts w:hint="eastAsia" w:ascii="仿宋_GB2312" w:hAnsi="仿宋_GB2312" w:eastAsia="仿宋_GB2312" w:cs="仿宋_GB2312"/>
          <w:color w:val="auto"/>
          <w:szCs w:val="32"/>
          <w:lang w:val="en-US" w:eastAsia="zh-CN"/>
        </w:rPr>
        <w:t>中心严格预算绩效管理，资金分配、拨付、使用严格按照中心财务管理制度及三重一大制度执行，督促各业务科室积极开展工作，形成资金支出。</w:t>
      </w:r>
    </w:p>
    <w:p w14:paraId="3BC98253">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14:paraId="251A81DA">
      <w:pPr>
        <w:topLinePunct/>
        <w:ind w:firstLine="594" w:firstLineChars="20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项目组织情况分析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我单位按季度对6个村卫生室开展基本公共卫生服务工作情况和基本药物制度工作情况进行考核，</w:t>
      </w:r>
      <w:r>
        <w:rPr>
          <w:rFonts w:hint="eastAsia" w:ascii="仿宋_GB2312" w:hAnsi="仿宋_GB2312" w:cs="仿宋_GB2312"/>
          <w:color w:val="auto"/>
          <w:szCs w:val="32"/>
          <w:lang w:val="en-US" w:eastAsia="zh-CN"/>
        </w:rPr>
        <w:t xml:space="preserve">按照考核结果兑现基本公共卫生经费和基本药物制度经费。 </w:t>
      </w:r>
    </w:p>
    <w:p w14:paraId="1E1AFA63">
      <w:pPr>
        <w:spacing w:line="600" w:lineRule="atLeast"/>
        <w:ind w:firstLine="594"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eastAsia="仿宋_GB2312"/>
          <w:b w:val="0"/>
          <w:bCs w:val="0"/>
          <w:sz w:val="32"/>
          <w:szCs w:val="32"/>
        </w:rPr>
        <w:t>高度重视，确保责任落实</w:t>
      </w:r>
      <w:r>
        <w:rPr>
          <w:rFonts w:hint="eastAsia" w:ascii="仿宋_GB2312"/>
          <w:b w:val="0"/>
          <w:bCs w:val="0"/>
          <w:sz w:val="32"/>
          <w:szCs w:val="32"/>
          <w:lang w:eastAsia="zh-CN"/>
        </w:rPr>
        <w:t>，</w:t>
      </w:r>
      <w:r>
        <w:rPr>
          <w:rFonts w:hint="eastAsia" w:ascii="仿宋_GB2312" w:eastAsia="仿宋_GB2312"/>
          <w:b w:val="0"/>
          <w:bCs w:val="0"/>
          <w:sz w:val="32"/>
          <w:szCs w:val="32"/>
        </w:rPr>
        <w:t>强化意识，确保工作推进</w:t>
      </w:r>
      <w:r>
        <w:rPr>
          <w:rFonts w:hint="eastAsia" w:ascii="仿宋_GB2312"/>
          <w:b w:val="0"/>
          <w:bCs w:val="0"/>
          <w:sz w:val="32"/>
          <w:szCs w:val="32"/>
          <w:lang w:eastAsia="zh-CN"/>
        </w:rPr>
        <w:t>，</w:t>
      </w:r>
      <w:r>
        <w:rPr>
          <w:rFonts w:hint="eastAsia" w:ascii="仿宋_GB2312" w:eastAsia="仿宋_GB2312"/>
          <w:b w:val="0"/>
          <w:bCs w:val="0"/>
          <w:sz w:val="32"/>
          <w:szCs w:val="32"/>
        </w:rPr>
        <w:t>紧盯目标，确保任务完成</w:t>
      </w:r>
      <w:r>
        <w:rPr>
          <w:rFonts w:hint="eastAsia" w:ascii="仿宋_GB2312"/>
          <w:b w:val="0"/>
          <w:bCs w:val="0"/>
          <w:sz w:val="32"/>
          <w:szCs w:val="32"/>
          <w:lang w:eastAsia="zh-CN"/>
        </w:rPr>
        <w:t>。</w:t>
      </w:r>
    </w:p>
    <w:p w14:paraId="66C2A9AE">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14:paraId="0E097AB9">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项目的经济性</w:t>
      </w:r>
      <w:r>
        <w:rPr>
          <w:rFonts w:hint="eastAsia" w:ascii="仿宋_GB2312" w:hAnsi="仿宋_GB2312" w:cs="仿宋_GB2312"/>
          <w:szCs w:val="32"/>
          <w:lang w:eastAsia="zh-CN"/>
        </w:rPr>
        <w:t>：</w:t>
      </w:r>
      <w:r>
        <w:rPr>
          <w:rFonts w:hint="eastAsia" w:ascii="仿宋_GB2312" w:eastAsia="仿宋_GB2312" w:hAnsiTheme="minorHAnsi" w:cstheme="minorBidi"/>
          <w:color w:val="auto"/>
          <w:kern w:val="2"/>
          <w:sz w:val="32"/>
          <w:szCs w:val="32"/>
          <w:lang w:val="en-US" w:eastAsia="zh-CN" w:bidi="ar-SA"/>
        </w:rPr>
        <w:t>指标设立适龄儿童国家免疫规划疫苗接种率、7岁以下儿童健康管理率</w:t>
      </w:r>
      <w:r>
        <w:rPr>
          <w:rFonts w:hint="eastAsia" w:ascii="仿宋_GB2312" w:cstheme="minorBidi"/>
          <w:color w:val="auto"/>
          <w:kern w:val="2"/>
          <w:sz w:val="32"/>
          <w:szCs w:val="32"/>
          <w:lang w:val="en-US" w:eastAsia="zh-CN" w:bidi="ar-SA"/>
        </w:rPr>
        <w:t>、孕产妇系统管理率、3岁以下儿童系统管理率、老年人中医药健康管理率、肺结核患者管理率、社区在册居家严重精神障碍患者健康管理率、儿童中医药健康管理率。</w:t>
      </w:r>
    </w:p>
    <w:p w14:paraId="61FD1B67">
      <w:p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项目的效率性</w:t>
      </w:r>
      <w:r>
        <w:rPr>
          <w:rFonts w:hint="eastAsia" w:ascii="仿宋_GB2312" w:hAnsi="仿宋_GB2312" w:cs="仿宋_GB2312"/>
          <w:szCs w:val="32"/>
          <w:lang w:val="en-US" w:eastAsia="zh-CN"/>
        </w:rPr>
        <w:t>：</w:t>
      </w:r>
      <w:r>
        <w:rPr>
          <w:rFonts w:hint="eastAsia" w:ascii="仿宋_GB2312" w:eastAsia="仿宋_GB2312" w:hAnsiTheme="minorHAnsi" w:cstheme="minorBidi"/>
          <w:color w:val="auto"/>
          <w:kern w:val="2"/>
          <w:sz w:val="32"/>
          <w:szCs w:val="32"/>
          <w:lang w:val="en-US" w:eastAsia="zh-CN" w:bidi="ar-SA"/>
        </w:rPr>
        <w:t>指标设立居民规范化电子健康档案覆盖率</w:t>
      </w:r>
      <w:r>
        <w:rPr>
          <w:rFonts w:hint="eastAsia" w:ascii="仿宋_GB2312" w:cstheme="minorBidi"/>
          <w:color w:val="auto"/>
          <w:kern w:val="2"/>
          <w:sz w:val="32"/>
          <w:szCs w:val="32"/>
          <w:lang w:val="en-US" w:eastAsia="zh-CN" w:bidi="ar-SA"/>
        </w:rPr>
        <w:t>、高血压患者基层规范管理服务率、2型糖尿病患者基层规范管理服务率、65岁以上老年人城乡社区规范健康管理服务率、传染病和突发公共卫生时间报告率。</w:t>
      </w:r>
    </w:p>
    <w:p w14:paraId="522D33E3">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lang w:val="en-US" w:eastAsia="zh-CN"/>
        </w:rPr>
        <w:t>项目的有效性</w:t>
      </w:r>
      <w:r>
        <w:rPr>
          <w:rFonts w:hint="eastAsia" w:ascii="仿宋_GB2312" w:hAnsi="仿宋_GB2312" w:cs="仿宋_GB2312"/>
          <w:szCs w:val="32"/>
          <w:lang w:val="en-US" w:eastAsia="zh-CN"/>
        </w:rPr>
        <w:t>：</w:t>
      </w:r>
      <w:r>
        <w:rPr>
          <w:rFonts w:hint="eastAsia" w:ascii="仿宋_GB2312" w:cstheme="minorBidi"/>
          <w:color w:val="auto"/>
          <w:kern w:val="2"/>
          <w:sz w:val="32"/>
          <w:szCs w:val="32"/>
          <w:lang w:val="en-US" w:eastAsia="zh-CN" w:bidi="ar-SA"/>
        </w:rPr>
        <w:t>指标</w:t>
      </w:r>
      <w:r>
        <w:rPr>
          <w:rFonts w:hint="eastAsia" w:ascii="仿宋_GB2312" w:eastAsia="仿宋_GB2312" w:hAnsiTheme="minorHAnsi" w:cstheme="minorBidi"/>
          <w:color w:val="auto"/>
          <w:kern w:val="2"/>
          <w:sz w:val="32"/>
          <w:szCs w:val="32"/>
          <w:lang w:val="en-US" w:eastAsia="zh-CN" w:bidi="ar-SA"/>
        </w:rPr>
        <w:t>设立城乡居民公共卫生差距</w:t>
      </w:r>
      <w:r>
        <w:rPr>
          <w:rFonts w:hint="eastAsia" w:ascii="仿宋_GB2312" w:cstheme="minorBidi"/>
          <w:color w:val="auto"/>
          <w:kern w:val="2"/>
          <w:sz w:val="32"/>
          <w:szCs w:val="32"/>
          <w:lang w:val="en-US" w:eastAsia="zh-CN" w:bidi="ar-SA"/>
        </w:rPr>
        <w:t>、居民健康素养水平、国家随机监督抽查任务完结率。</w:t>
      </w:r>
    </w:p>
    <w:p w14:paraId="7C6D98F7">
      <w:pPr>
        <w:topLinePunct/>
        <w:ind w:firstLine="594" w:firstLineChars="200"/>
        <w:jc w:val="both"/>
        <w:rPr>
          <w:rFonts w:hint="default" w:ascii="仿宋_GB2312" w:hAnsi="仿宋_GB2312" w:cs="仿宋_GB2312"/>
          <w:szCs w:val="32"/>
          <w:lang w:val="en-US" w:eastAsia="zh-CN"/>
        </w:rPr>
      </w:pPr>
      <w:r>
        <w:rPr>
          <w:rFonts w:hint="eastAsia" w:ascii="仿宋_GB2312" w:hAnsi="仿宋_GB2312" w:eastAsia="仿宋_GB2312" w:cs="仿宋_GB2312"/>
          <w:szCs w:val="32"/>
        </w:rPr>
        <w:t>项目的可持续性</w:t>
      </w:r>
      <w:r>
        <w:rPr>
          <w:rFonts w:hint="eastAsia" w:ascii="仿宋_GB2312" w:hAnsi="仿宋_GB2312" w:cs="仿宋_GB2312"/>
          <w:szCs w:val="32"/>
          <w:lang w:eastAsia="zh-CN"/>
        </w:rPr>
        <w:t>：</w:t>
      </w:r>
      <w:r>
        <w:rPr>
          <w:rFonts w:hint="eastAsia" w:ascii="仿宋_GB2312" w:hAnsi="仿宋_GB2312" w:cs="仿宋_GB2312"/>
          <w:szCs w:val="32"/>
          <w:lang w:val="en-US" w:eastAsia="zh-CN"/>
        </w:rPr>
        <w:t>指标设立服务水平，</w:t>
      </w:r>
      <w:r>
        <w:rPr>
          <w:rFonts w:hint="eastAsia" w:ascii="仿宋" w:hAnsi="仿宋" w:eastAsia="仿宋"/>
          <w:szCs w:val="32"/>
        </w:rPr>
        <w:t>保障和提升属地人民健康水平</w:t>
      </w:r>
      <w:r>
        <w:rPr>
          <w:rFonts w:hint="eastAsia" w:ascii="仿宋_GB2312" w:hAnsi="仿宋_GB2312" w:cs="仿宋_GB2312"/>
          <w:szCs w:val="32"/>
        </w:rPr>
        <w:t>，</w:t>
      </w:r>
      <w:r>
        <w:rPr>
          <w:rFonts w:hint="eastAsia" w:ascii="仿宋_GB2312" w:hAnsi="仿宋" w:cs="仿宋"/>
          <w:szCs w:val="32"/>
          <w:lang w:val="zh-TW"/>
        </w:rPr>
        <w:t>助力呈贡区经济社会的发展。</w:t>
      </w:r>
    </w:p>
    <w:p w14:paraId="65CA99D5">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14:paraId="221222C0">
      <w:pPr>
        <w:topLinePunct/>
        <w:ind w:firstLine="594" w:firstLineChars="200"/>
        <w:rPr>
          <w:rFonts w:hint="eastAsia" w:ascii="仿宋_GB2312"/>
          <w:szCs w:val="32"/>
        </w:rPr>
      </w:pPr>
      <w:r>
        <w:rPr>
          <w:rFonts w:hint="eastAsia" w:ascii="仿宋_GB2312"/>
          <w:szCs w:val="32"/>
        </w:rPr>
        <w:t>（一）专项管理方面的问题</w:t>
      </w:r>
    </w:p>
    <w:p w14:paraId="74C392AF">
      <w:pPr>
        <w:topLinePunct/>
        <w:ind w:firstLine="594" w:firstLineChars="200"/>
        <w:rPr>
          <w:rFonts w:hint="eastAsia" w:ascii="仿宋_GB2312"/>
          <w:szCs w:val="32"/>
        </w:rPr>
      </w:pPr>
      <w:r>
        <w:rPr>
          <w:rFonts w:hint="eastAsia" w:ascii="仿宋_GB2312"/>
          <w:szCs w:val="32"/>
        </w:rPr>
        <w:t>专项立项依据充分</w:t>
      </w:r>
      <w:r>
        <w:rPr>
          <w:rFonts w:hint="eastAsia" w:ascii="仿宋_GB2312"/>
          <w:szCs w:val="32"/>
          <w:lang w:eastAsia="zh-CN"/>
        </w:rPr>
        <w:t>，项目</w:t>
      </w:r>
      <w:r>
        <w:rPr>
          <w:rFonts w:hint="eastAsia" w:ascii="仿宋_GB2312"/>
          <w:szCs w:val="32"/>
        </w:rPr>
        <w:t>资金</w:t>
      </w:r>
      <w:r>
        <w:rPr>
          <w:rFonts w:hint="eastAsia" w:ascii="仿宋_GB2312" w:hAnsi="仿宋_GB2312" w:cs="仿宋_GB2312"/>
          <w:szCs w:val="32"/>
          <w:lang w:eastAsia="zh-CN"/>
        </w:rPr>
        <w:t>严格按照</w:t>
      </w:r>
      <w:r>
        <w:rPr>
          <w:rFonts w:hint="eastAsia" w:ascii="仿宋_GB2312"/>
          <w:szCs w:val="32"/>
          <w:lang w:val="en-US" w:eastAsia="zh-CN"/>
        </w:rPr>
        <w:t>《云南省财政厅 云南省卫生健康委员会  云南省医疗保障局关于印发基本公共卫生服务等5项补助资金管理办法实施细则的通知》云财社</w:t>
      </w:r>
      <w:r>
        <w:rPr>
          <w:rFonts w:hint="eastAsia" w:ascii="宋体" w:hAnsi="宋体" w:eastAsia="宋体" w:cs="宋体"/>
          <w:szCs w:val="32"/>
          <w:lang w:val="en-US" w:eastAsia="zh-CN"/>
        </w:rPr>
        <w:t>〔2020〕316</w:t>
      </w:r>
      <w:r>
        <w:rPr>
          <w:rFonts w:hint="eastAsia" w:ascii="仿宋_GB2312"/>
          <w:szCs w:val="32"/>
          <w:lang w:val="en-US" w:eastAsia="zh-CN"/>
        </w:rPr>
        <w:t>号文件、区卫健</w:t>
      </w:r>
      <w:r>
        <w:rPr>
          <w:rFonts w:hint="eastAsia" w:ascii="仿宋_GB2312" w:hAnsi="仿宋_GB2312" w:cs="仿宋_GB2312"/>
          <w:szCs w:val="32"/>
          <w:lang w:eastAsia="zh-CN"/>
        </w:rPr>
        <w:t>局资金使用方案、专项资金审批表使用资金。</w:t>
      </w:r>
    </w:p>
    <w:p w14:paraId="4B412F71">
      <w:pPr>
        <w:topLinePunct/>
        <w:ind w:firstLine="594" w:firstLineChars="200"/>
        <w:rPr>
          <w:rFonts w:hint="eastAsia" w:ascii="仿宋_GB2312"/>
          <w:szCs w:val="32"/>
        </w:rPr>
      </w:pPr>
      <w:r>
        <w:rPr>
          <w:rFonts w:hint="eastAsia" w:ascii="仿宋_GB2312"/>
          <w:szCs w:val="32"/>
        </w:rPr>
        <w:t>（二）资金分配方面的问题</w:t>
      </w:r>
    </w:p>
    <w:p w14:paraId="402DDA65">
      <w:pPr>
        <w:numPr>
          <w:ilvl w:val="0"/>
          <w:numId w:val="0"/>
        </w:numPr>
        <w:topLinePunct/>
        <w:ind w:firstLine="594" w:firstLineChars="200"/>
        <w:rPr>
          <w:rFonts w:ascii="仿宋_GB2312"/>
          <w:szCs w:val="32"/>
        </w:rPr>
      </w:pPr>
      <w:r>
        <w:rPr>
          <w:rFonts w:hint="eastAsia" w:ascii="仿宋_GB2312"/>
          <w:szCs w:val="32"/>
          <w:lang w:val="en-US" w:eastAsia="zh-CN"/>
        </w:rPr>
        <w:t>基本公共卫生服务项目</w:t>
      </w:r>
      <w:r>
        <w:rPr>
          <w:rFonts w:hint="eastAsia" w:ascii="仿宋_GB2312"/>
          <w:szCs w:val="32"/>
          <w:lang w:eastAsia="zh-CN"/>
        </w:rPr>
        <w:t>均严格按照各项基本公共卫生项目兑现标准及区卫健局考核结果分配兑现，</w:t>
      </w:r>
      <w:r>
        <w:rPr>
          <w:rFonts w:hint="eastAsia" w:ascii="仿宋_GB2312"/>
          <w:szCs w:val="32"/>
          <w:lang w:val="en-US" w:eastAsia="zh-CN"/>
        </w:rPr>
        <w:t>实施基本药物制度补助资金严格按照700元/月/人的标准分配给各卫生室，其余涉及分配资金项目均严格按照区卫健局专项资金审批表、区疾控中心等相关部门工作量实际情况进行分配</w:t>
      </w:r>
      <w:r>
        <w:rPr>
          <w:rFonts w:hint="eastAsia" w:ascii="仿宋_GB2312"/>
          <w:szCs w:val="32"/>
        </w:rPr>
        <w:t>。</w:t>
      </w:r>
    </w:p>
    <w:p w14:paraId="7D4641BF">
      <w:pPr>
        <w:topLinePunct/>
        <w:ind w:firstLine="594" w:firstLineChars="200"/>
        <w:rPr>
          <w:rFonts w:hint="eastAsia" w:ascii="仿宋_GB2312"/>
          <w:szCs w:val="32"/>
        </w:rPr>
      </w:pPr>
      <w:r>
        <w:rPr>
          <w:rFonts w:hint="eastAsia" w:ascii="仿宋_GB2312"/>
          <w:szCs w:val="32"/>
        </w:rPr>
        <w:t>（三）资金拨付方面的问题</w:t>
      </w:r>
    </w:p>
    <w:p w14:paraId="47C481DE">
      <w:pPr>
        <w:topLinePunct/>
        <w:ind w:firstLine="594" w:firstLineChars="200"/>
        <w:rPr>
          <w:rFonts w:ascii="仿宋_GB2312"/>
          <w:szCs w:val="32"/>
        </w:rPr>
      </w:pPr>
      <w:r>
        <w:rPr>
          <w:rFonts w:hint="eastAsia" w:ascii="仿宋_GB2312"/>
          <w:szCs w:val="32"/>
        </w:rPr>
        <w:t>拨付及时，无滞留、闲置等现象。</w:t>
      </w:r>
    </w:p>
    <w:p w14:paraId="4AE81B75">
      <w:pPr>
        <w:topLinePunct/>
        <w:ind w:firstLine="594" w:firstLineChars="200"/>
        <w:rPr>
          <w:rFonts w:hint="eastAsia" w:ascii="仿宋_GB2312"/>
          <w:szCs w:val="32"/>
        </w:rPr>
      </w:pPr>
      <w:r>
        <w:rPr>
          <w:rFonts w:hint="eastAsia" w:ascii="仿宋_GB2312"/>
          <w:szCs w:val="32"/>
          <w:lang w:eastAsia="zh-CN"/>
        </w:rPr>
        <w:t>（</w:t>
      </w:r>
      <w:r>
        <w:rPr>
          <w:rFonts w:hint="eastAsia" w:ascii="仿宋_GB2312"/>
          <w:szCs w:val="32"/>
          <w:lang w:val="en-US" w:eastAsia="zh-CN"/>
        </w:rPr>
        <w:t>四</w:t>
      </w:r>
      <w:r>
        <w:rPr>
          <w:rFonts w:hint="eastAsia" w:ascii="仿宋_GB2312"/>
          <w:szCs w:val="32"/>
          <w:lang w:eastAsia="zh-CN"/>
        </w:rPr>
        <w:t>）</w:t>
      </w:r>
      <w:r>
        <w:rPr>
          <w:rFonts w:hint="eastAsia" w:ascii="仿宋_GB2312"/>
          <w:szCs w:val="32"/>
        </w:rPr>
        <w:t>资金使用方面的问题</w:t>
      </w:r>
    </w:p>
    <w:p w14:paraId="1BEB83E5">
      <w:pPr>
        <w:numPr>
          <w:ilvl w:val="0"/>
          <w:numId w:val="0"/>
        </w:numPr>
        <w:topLinePunct/>
        <w:ind w:firstLine="594" w:firstLineChars="200"/>
        <w:rPr>
          <w:rFonts w:ascii="仿宋_GB2312"/>
          <w:szCs w:val="32"/>
        </w:rPr>
      </w:pPr>
      <w:r>
        <w:rPr>
          <w:rFonts w:hint="eastAsia" w:ascii="仿宋_GB2312"/>
          <w:szCs w:val="32"/>
        </w:rPr>
        <w:t>资金使用合规，无截留、挪用等现象。</w:t>
      </w:r>
    </w:p>
    <w:p w14:paraId="4E5C7CFB">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14:paraId="499854B6">
      <w:pPr>
        <w:topLinePunct/>
        <w:ind w:firstLine="594" w:firstLineChars="200"/>
        <w:rPr>
          <w:rFonts w:hint="eastAsia" w:ascii="仿宋_GB2312"/>
          <w:szCs w:val="32"/>
        </w:rPr>
      </w:pPr>
      <w:r>
        <w:rPr>
          <w:rFonts w:hint="eastAsia" w:ascii="仿宋_GB2312"/>
          <w:szCs w:val="32"/>
        </w:rPr>
        <w:t>（一）后续工作计划</w:t>
      </w:r>
    </w:p>
    <w:p w14:paraId="0D7D0A81">
      <w:pPr>
        <w:topLinePunct/>
        <w:ind w:firstLine="594" w:firstLineChars="200"/>
        <w:rPr>
          <w:rFonts w:hint="eastAsia" w:ascii="仿宋_GB2312" w:eastAsia="仿宋_GB2312"/>
          <w:szCs w:val="32"/>
          <w:lang w:val="en-US" w:eastAsia="zh-CN"/>
        </w:rPr>
      </w:pPr>
      <w:r>
        <w:rPr>
          <w:rFonts w:hint="eastAsia" w:ascii="仿宋_GB2312"/>
          <w:szCs w:val="32"/>
          <w:lang w:eastAsia="zh-CN"/>
        </w:rPr>
        <w:t>持续推进各项目工作有序、有效开展，合规、合法、合理安排使用项目资金。</w:t>
      </w:r>
    </w:p>
    <w:p w14:paraId="4520EDB6">
      <w:pPr>
        <w:numPr>
          <w:ilvl w:val="0"/>
          <w:numId w:val="2"/>
        </w:numPr>
        <w:topLinePunct/>
        <w:ind w:firstLine="594" w:firstLineChars="200"/>
        <w:rPr>
          <w:rFonts w:hint="eastAsia" w:ascii="仿宋_GB2312"/>
          <w:szCs w:val="32"/>
        </w:rPr>
      </w:pPr>
      <w:r>
        <w:rPr>
          <w:rFonts w:hint="eastAsia" w:ascii="仿宋_GB2312"/>
          <w:szCs w:val="32"/>
        </w:rPr>
        <w:t>主要经验做法、改进措施和有关建议等。</w:t>
      </w:r>
    </w:p>
    <w:p w14:paraId="2593B4F5">
      <w:pPr>
        <w:numPr>
          <w:ilvl w:val="0"/>
          <w:numId w:val="0"/>
        </w:numPr>
        <w:topLinePunct/>
        <w:ind w:firstLine="594" w:firstLineChars="200"/>
        <w:rPr>
          <w:rFonts w:hint="eastAsia" w:ascii="仿宋_GB2312"/>
          <w:szCs w:val="32"/>
        </w:rPr>
      </w:pPr>
      <w:r>
        <w:rPr>
          <w:rFonts w:hint="eastAsia" w:ascii="仿宋_GB2312"/>
          <w:szCs w:val="32"/>
          <w:lang w:val="en-US" w:eastAsia="zh-CN"/>
        </w:rPr>
        <w:t>无</w:t>
      </w:r>
    </w:p>
    <w:p w14:paraId="156A73EB"/>
    <w:p w14:paraId="1E31D1E4"/>
    <w:p w14:paraId="2BF1B84D"/>
    <w:p w14:paraId="0F835382"/>
    <w:p w14:paraId="0BD59EC1">
      <w:pPr>
        <w:rPr>
          <w:rFonts w:hint="eastAsia"/>
          <w:lang w:val="en-US" w:eastAsia="zh-CN"/>
        </w:rPr>
      </w:pPr>
    </w:p>
    <w:p w14:paraId="329C2DAE">
      <w:pPr>
        <w:rPr>
          <w:rFonts w:hint="eastAsia"/>
          <w:lang w:val="en-US" w:eastAsia="zh-CN"/>
        </w:rPr>
      </w:pPr>
    </w:p>
    <w:p w14:paraId="1411AC6D">
      <w:pPr>
        <w:rPr>
          <w:rFonts w:hint="eastAsia"/>
          <w:lang w:val="en-US" w:eastAsia="zh-CN"/>
        </w:rPr>
      </w:pPr>
    </w:p>
    <w:p w14:paraId="77B4FC02">
      <w:pPr>
        <w:rPr>
          <w:rFonts w:hint="eastAsia"/>
          <w:lang w:val="en-US" w:eastAsia="zh-CN"/>
        </w:rPr>
      </w:pPr>
    </w:p>
    <w:p w14:paraId="57E1408F">
      <w:pPr>
        <w:jc w:val="right"/>
        <w:rPr>
          <w:rFonts w:hint="eastAsia"/>
          <w:lang w:val="en-US" w:eastAsia="zh-CN"/>
        </w:rPr>
      </w:pPr>
      <w:r>
        <w:rPr>
          <w:rFonts w:hint="eastAsia"/>
          <w:lang w:val="en-US" w:eastAsia="zh-CN"/>
        </w:rPr>
        <w:t>昆明市呈贡区雨花街道社区卫生服务中心</w:t>
      </w:r>
    </w:p>
    <w:p w14:paraId="391519E6">
      <w:pPr>
        <w:jc w:val="center"/>
        <w:rPr>
          <w:rFonts w:hint="default"/>
          <w:lang w:val="en-US" w:eastAsia="zh-CN"/>
        </w:rPr>
      </w:pPr>
      <w:r>
        <w:rPr>
          <w:rFonts w:hint="eastAsia"/>
          <w:lang w:val="en-US" w:eastAsia="zh-CN"/>
        </w:rPr>
        <w:t xml:space="preserve">                2024年2月20日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46AF7"/>
    <w:multiLevelType w:val="singleLevel"/>
    <w:tmpl w:val="DB946AF7"/>
    <w:lvl w:ilvl="0" w:tentative="0">
      <w:start w:val="2"/>
      <w:numFmt w:val="chineseCounting"/>
      <w:suff w:val="nothing"/>
      <w:lvlText w:val="（%1）"/>
      <w:lvlJc w:val="left"/>
      <w:rPr>
        <w:rFonts w:hint="eastAsia"/>
      </w:rPr>
    </w:lvl>
  </w:abstractNum>
  <w:abstractNum w:abstractNumId="1">
    <w:nsid w:val="FF4BAF7F"/>
    <w:multiLevelType w:val="singleLevel"/>
    <w:tmpl w:val="FF4BAF7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NDIwOGFmNWNmODdiODFmNmQ2ZGM2NWM4NjU4M2QifQ=="/>
  </w:docVars>
  <w:rsids>
    <w:rsidRoot w:val="00000000"/>
    <w:rsid w:val="00C1638E"/>
    <w:rsid w:val="05AE36CA"/>
    <w:rsid w:val="06475B39"/>
    <w:rsid w:val="096059B7"/>
    <w:rsid w:val="0C3C77C2"/>
    <w:rsid w:val="271B0BF0"/>
    <w:rsid w:val="378A5996"/>
    <w:rsid w:val="426B4856"/>
    <w:rsid w:val="5A3C6978"/>
    <w:rsid w:val="67600811"/>
    <w:rsid w:val="6EB011EB"/>
    <w:rsid w:val="7F651B7D"/>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toc 1"/>
    <w:basedOn w:val="1"/>
    <w:next w:val="1"/>
    <w:autoRedefine/>
    <w:qFormat/>
    <w:uiPriority w:val="0"/>
    <w:pPr>
      <w:spacing w:before="360"/>
      <w:jc w:val="left"/>
    </w:pPr>
    <w:rPr>
      <w:rFonts w:ascii="Arial" w:hAnsi="Arial" w:eastAsia="宋体" w:cs="Arial"/>
      <w:b/>
      <w:bCs/>
      <w:caps/>
      <w:sz w:val="24"/>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3191</Words>
  <Characters>3297</Characters>
  <Lines>0</Lines>
  <Paragraphs>0</Paragraphs>
  <TotalTime>0</TotalTime>
  <ScaleCrop>false</ScaleCrop>
  <LinksUpToDate>false</LinksUpToDate>
  <CharactersWithSpaces>3323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linxin</cp:lastModifiedBy>
  <dcterms:modified xsi:type="dcterms:W3CDTF">2024-09-26T06:14:24Z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7D17E4C004414B64827659430A3FCB62_12</vt:lpwstr>
  </property>
</Properties>
</file>